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3D79A" w14:textId="77777777" w:rsidR="00C11073" w:rsidRDefault="00C11073" w:rsidP="001B1E38">
      <w:pPr>
        <w:tabs>
          <w:tab w:val="left" w:pos="9356"/>
        </w:tabs>
        <w:ind w:right="-279"/>
        <w:rPr>
          <w:sz w:val="36"/>
          <w:lang w:val="fr-FR"/>
        </w:rPr>
      </w:pPr>
    </w:p>
    <w:p w14:paraId="2883B3E1" w14:textId="7774AF74" w:rsidR="004E64C5" w:rsidRPr="009D3817" w:rsidRDefault="00D30DCB" w:rsidP="00C11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spacing w:after="0" w:line="240" w:lineRule="auto"/>
        <w:jc w:val="center"/>
        <w:rPr>
          <w:b/>
          <w:noProof/>
          <w:sz w:val="44"/>
          <w:lang w:val="fr-FR"/>
        </w:rPr>
      </w:pPr>
      <w:r w:rsidRPr="009D3817">
        <w:rPr>
          <w:b/>
          <w:noProof/>
          <w:sz w:val="44"/>
          <w:lang w:val="fr-FR"/>
        </w:rPr>
        <w:t xml:space="preserve">Modalités </w:t>
      </w:r>
      <w:r w:rsidR="000C18EB" w:rsidRPr="009D3817">
        <w:rPr>
          <w:b/>
          <w:noProof/>
          <w:sz w:val="44"/>
          <w:lang w:val="fr-FR"/>
        </w:rPr>
        <w:t>de traitement</w:t>
      </w:r>
      <w:r w:rsidRPr="009D3817">
        <w:rPr>
          <w:b/>
          <w:noProof/>
          <w:sz w:val="44"/>
          <w:lang w:val="fr-FR"/>
        </w:rPr>
        <w:t xml:space="preserve"> des instructions sans paiement</w:t>
      </w:r>
    </w:p>
    <w:p w14:paraId="7A142F1A" w14:textId="77777777" w:rsidR="001B1E38" w:rsidRDefault="001B1E38" w:rsidP="006D6846">
      <w:pPr>
        <w:tabs>
          <w:tab w:val="left" w:pos="9356"/>
        </w:tabs>
        <w:ind w:right="-279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0"/>
        <w:gridCol w:w="2680"/>
        <w:gridCol w:w="5440"/>
      </w:tblGrid>
      <w:tr w:rsidR="004F6025" w14:paraId="51BBC5CB" w14:textId="77777777" w:rsidTr="00C11073">
        <w:tc>
          <w:tcPr>
            <w:tcW w:w="1230" w:type="dxa"/>
            <w:vMerge w:val="restart"/>
            <w:shd w:val="clear" w:color="auto" w:fill="BFBFBF" w:themeFill="background1" w:themeFillShade="BF"/>
          </w:tcPr>
          <w:p w14:paraId="735FEB15" w14:textId="77777777"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r w:rsidRPr="004F6025">
              <w:rPr>
                <w:b/>
                <w:lang w:val="fr-FR"/>
              </w:rPr>
              <w:t>Versioning</w:t>
            </w:r>
          </w:p>
        </w:tc>
        <w:tc>
          <w:tcPr>
            <w:tcW w:w="2680" w:type="dxa"/>
            <w:shd w:val="clear" w:color="auto" w:fill="F2F2F2" w:themeFill="background1" w:themeFillShade="F2"/>
          </w:tcPr>
          <w:p w14:paraId="41CA8189" w14:textId="77777777"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5440" w:type="dxa"/>
          </w:tcPr>
          <w:p w14:paraId="10D836D2" w14:textId="77777777" w:rsidR="004F6025" w:rsidRDefault="000C1C9B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1.0</w:t>
            </w:r>
          </w:p>
        </w:tc>
      </w:tr>
      <w:tr w:rsidR="004F6025" w:rsidRPr="008751AF" w14:paraId="23E315D0" w14:textId="77777777" w:rsidTr="00C11073">
        <w:tc>
          <w:tcPr>
            <w:tcW w:w="1230" w:type="dxa"/>
            <w:vMerge/>
            <w:shd w:val="clear" w:color="auto" w:fill="BFBFBF" w:themeFill="background1" w:themeFillShade="BF"/>
          </w:tcPr>
          <w:p w14:paraId="5A6DD591" w14:textId="77777777"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680" w:type="dxa"/>
            <w:shd w:val="clear" w:color="auto" w:fill="F2F2F2" w:themeFill="background1" w:themeFillShade="F2"/>
          </w:tcPr>
          <w:p w14:paraId="42A6F3F1" w14:textId="77777777" w:rsidR="004F6025" w:rsidRDefault="004F6025" w:rsidP="001B1E38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Date de mise à jour</w:t>
            </w:r>
          </w:p>
        </w:tc>
        <w:tc>
          <w:tcPr>
            <w:tcW w:w="5440" w:type="dxa"/>
          </w:tcPr>
          <w:p w14:paraId="19E93D58" w14:textId="743F9336" w:rsidR="004F6025" w:rsidRPr="00B12372" w:rsidRDefault="009B6D27" w:rsidP="00454884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14</w:t>
            </w:r>
            <w:bookmarkStart w:id="0" w:name="_GoBack"/>
            <w:bookmarkEnd w:id="0"/>
            <w:r w:rsidR="00D30DCB">
              <w:rPr>
                <w:lang w:val="fr-FR"/>
              </w:rPr>
              <w:t xml:space="preserve"> novembre </w:t>
            </w:r>
            <w:r w:rsidR="00CC0B75" w:rsidRPr="00B12372">
              <w:rPr>
                <w:lang w:val="fr-FR"/>
              </w:rPr>
              <w:t>2016</w:t>
            </w:r>
          </w:p>
        </w:tc>
      </w:tr>
    </w:tbl>
    <w:p w14:paraId="616818AB" w14:textId="0DCC4C13" w:rsidR="001E0D83" w:rsidRDefault="001E0D83">
      <w:pPr>
        <w:rPr>
          <w:lang w:val="fr-FR"/>
        </w:rPr>
      </w:pPr>
    </w:p>
    <w:p w14:paraId="076E7174" w14:textId="77777777" w:rsidR="00B26098" w:rsidRPr="004F6025" w:rsidRDefault="004F6025" w:rsidP="00982218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PRESENTATION DE LA PRATIQUE EXISTANTE</w:t>
      </w:r>
      <w:r w:rsidR="00893912">
        <w:rPr>
          <w:rFonts w:eastAsia="MS Mincho" w:cs="Times New Roman"/>
          <w:b/>
          <w:caps/>
          <w:noProof/>
          <w:sz w:val="32"/>
          <w:szCs w:val="32"/>
          <w:lang w:val="fr-FR"/>
        </w:rPr>
        <w:t xml:space="preserve"> &amp; </w:t>
      </w:r>
      <w:r w:rsidR="00BA66D3">
        <w:rPr>
          <w:rFonts w:eastAsia="MS Mincho" w:cs="Times New Roman"/>
          <w:b/>
          <w:caps/>
          <w:noProof/>
          <w:sz w:val="32"/>
          <w:szCs w:val="32"/>
          <w:lang w:val="fr-FR"/>
        </w:rPr>
        <w:t xml:space="preserve">description des </w:t>
      </w:r>
      <w:r w:rsidR="00893912">
        <w:rPr>
          <w:rFonts w:eastAsia="MS Mincho" w:cs="Times New Roman"/>
          <w:b/>
          <w:caps/>
          <w:noProof/>
          <w:sz w:val="32"/>
          <w:szCs w:val="32"/>
          <w:lang w:val="fr-FR"/>
        </w:rPr>
        <w:t>Impacts</w:t>
      </w:r>
    </w:p>
    <w:p w14:paraId="33032A2F" w14:textId="77777777" w:rsidR="00B26098" w:rsidRPr="004F6025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341"/>
      </w:tblGrid>
      <w:tr w:rsidR="00D103DA" w:rsidRPr="00EB02EC" w14:paraId="119FE31B" w14:textId="77777777" w:rsidTr="007F6CFC">
        <w:tc>
          <w:tcPr>
            <w:tcW w:w="22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762C03" w14:textId="77777777" w:rsidR="00D103DA" w:rsidRPr="00D103DA" w:rsidRDefault="00D103DA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D103DA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</w:t>
            </w:r>
            <w:r w:rsidR="00893912">
              <w:rPr>
                <w:rFonts w:eastAsia="MS Mincho" w:cs="Times New Roman"/>
                <w:b/>
                <w:noProof/>
                <w:szCs w:val="32"/>
                <w:lang w:val="fr-FR"/>
              </w:rPr>
              <w:t>de la pratique existante</w:t>
            </w:r>
          </w:p>
        </w:tc>
        <w:tc>
          <w:tcPr>
            <w:tcW w:w="7341" w:type="dxa"/>
            <w:tcBorders>
              <w:bottom w:val="single" w:sz="4" w:space="0" w:color="auto"/>
            </w:tcBorders>
          </w:tcPr>
          <w:p w14:paraId="1D285ABF" w14:textId="77777777" w:rsidR="00C755C6" w:rsidRPr="00EB02EC" w:rsidRDefault="00C755C6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EB02EC">
              <w:rPr>
                <w:rFonts w:eastAsia="MS Mincho" w:cs="Times New Roman"/>
                <w:noProof/>
                <w:szCs w:val="32"/>
                <w:lang w:val="fr-FR"/>
              </w:rPr>
              <w:t>En Euroclear France, il existait 2 modalités de traitement des instructions de livraison sans paiement :</w:t>
            </w:r>
          </w:p>
          <w:p w14:paraId="5D5AB773" w14:textId="2A496330" w:rsidR="00C755C6" w:rsidRDefault="00C755C6" w:rsidP="00C755C6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L’utilisation de la filière ‘Franco’ d’Euroclear France, débouchant sur des instruction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s de livraison unilatér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ales ;</w:t>
            </w:r>
          </w:p>
          <w:p w14:paraId="39DA9556" w14:textId="55CF3DDD" w:rsidR="00DA7878" w:rsidRPr="00C755C6" w:rsidRDefault="00C755C6" w:rsidP="00C755C6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L’utilisation d’instructions de livraison contre paiement à montant 0 via l’utilisation de la filière ‘SLAB’ d’</w:t>
            </w:r>
            <w:r w:rsid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>Eu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roclear France.</w:t>
            </w:r>
          </w:p>
        </w:tc>
      </w:tr>
      <w:tr w:rsidR="00D103DA" w:rsidRPr="00EB02EC" w14:paraId="576B6E90" w14:textId="77777777" w:rsidTr="00C1000A">
        <w:tc>
          <w:tcPr>
            <w:tcW w:w="2235" w:type="dxa"/>
            <w:tcBorders>
              <w:left w:val="nil"/>
              <w:right w:val="nil"/>
            </w:tcBorders>
          </w:tcPr>
          <w:p w14:paraId="3DD834A3" w14:textId="77777777" w:rsidR="00D103DA" w:rsidRPr="00FF4EFB" w:rsidRDefault="00D103DA" w:rsidP="00B26098">
            <w:pPr>
              <w:rPr>
                <w:rFonts w:eastAsia="MS Mincho" w:cs="Times New Roman"/>
                <w:b/>
                <w:noProof/>
                <w:sz w:val="2"/>
                <w:szCs w:val="32"/>
                <w:lang w:val="fr-FR"/>
              </w:rPr>
            </w:pPr>
          </w:p>
          <w:p w14:paraId="2A68230A" w14:textId="77777777" w:rsidR="00E206BA" w:rsidRPr="00D103DA" w:rsidRDefault="00E206BA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left w:val="nil"/>
              <w:right w:val="nil"/>
            </w:tcBorders>
          </w:tcPr>
          <w:p w14:paraId="7814F798" w14:textId="77777777" w:rsidR="00D103DA" w:rsidRPr="00C755C6" w:rsidRDefault="00D103DA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:rsidRPr="00EB02EC" w14:paraId="197118F5" w14:textId="77777777" w:rsidTr="00644076">
        <w:tc>
          <w:tcPr>
            <w:tcW w:w="22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F7D7D54" w14:textId="77777777" w:rsidR="004E64C5" w:rsidRDefault="004E64C5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l’impact de T2S</w:t>
            </w:r>
          </w:p>
          <w:p w14:paraId="1C3DD264" w14:textId="77777777" w:rsidR="00E50F17" w:rsidRDefault="00E50F17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  <w:p w14:paraId="0ABCF5C3" w14:textId="77777777" w:rsidR="00E50F17" w:rsidRPr="00D103DA" w:rsidRDefault="00E50F17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bottom w:val="single" w:sz="4" w:space="0" w:color="auto"/>
            </w:tcBorders>
          </w:tcPr>
          <w:p w14:paraId="4C565BB7" w14:textId="44F0A051" w:rsidR="00C755C6" w:rsidRPr="00C755C6" w:rsidRDefault="009D3817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Avec la mise en œuvre de </w:t>
            </w:r>
            <w:r w:rsidR="00C755C6">
              <w:rPr>
                <w:rFonts w:eastAsia="MS Mincho" w:cs="Times New Roman"/>
                <w:noProof/>
                <w:szCs w:val="32"/>
                <w:lang w:val="fr-FR"/>
              </w:rPr>
              <w:t>T2S</w:t>
            </w:r>
            <w:r w:rsidR="00C755C6" w:rsidRPr="00C755C6">
              <w:rPr>
                <w:rFonts w:eastAsia="MS Mincho" w:cs="Times New Roman"/>
                <w:noProof/>
                <w:szCs w:val="32"/>
                <w:lang w:val="fr-FR"/>
              </w:rPr>
              <w:t xml:space="preserve">, </w:t>
            </w:r>
            <w:r w:rsidR="00C755C6">
              <w:rPr>
                <w:rFonts w:eastAsia="MS Mincho" w:cs="Times New Roman"/>
                <w:noProof/>
                <w:szCs w:val="32"/>
                <w:lang w:val="fr-FR"/>
              </w:rPr>
              <w:t>il existe 3</w:t>
            </w:r>
            <w:r w:rsidR="00C755C6" w:rsidRPr="00C755C6">
              <w:rPr>
                <w:rFonts w:eastAsia="MS Mincho" w:cs="Times New Roman"/>
                <w:noProof/>
                <w:szCs w:val="32"/>
                <w:lang w:val="fr-FR"/>
              </w:rPr>
              <w:t xml:space="preserve"> modalités de traitement des instructions de livraison sans paiement :</w:t>
            </w:r>
          </w:p>
          <w:p w14:paraId="08AB4F0A" w14:textId="17767A39" w:rsidR="00C755C6" w:rsidRDefault="00C755C6" w:rsidP="00C755C6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En mode ICP, l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’utilisation 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de l’offre ‘</w:t>
            </w:r>
            <w:r w:rsidR="009D3817">
              <w:rPr>
                <w:rFonts w:eastAsia="MS Mincho" w:cs="Times New Roman"/>
                <w:bCs/>
                <w:noProof/>
                <w:szCs w:val="32"/>
                <w:lang w:val="fr-FR"/>
              </w:rPr>
              <w:t>Free of Payment Witho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u</w:t>
            </w:r>
            <w:r w:rsidR="009D3817">
              <w:rPr>
                <w:rFonts w:eastAsia="MS Mincho" w:cs="Times New Roman"/>
                <w:bCs/>
                <w:noProof/>
                <w:szCs w:val="32"/>
                <w:lang w:val="fr-FR"/>
              </w:rPr>
              <w:t>t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 Matching’ 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d’Euroclear, 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équivalent 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des instruction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s de livraison unilatér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ales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, matérialisées en T2S par des instructions ‘already matched’ émises par le CSD sur base des instructions initiées par ses participants</w:t>
            </w:r>
            <w:r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 ;</w:t>
            </w:r>
          </w:p>
          <w:p w14:paraId="2960FC22" w14:textId="0B2F6D08" w:rsidR="00C755C6" w:rsidRDefault="009D3817" w:rsidP="00C755C6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En mode DCP, l</w:t>
            </w:r>
            <w:r w:rsid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’utilisation </w:t>
            </w:r>
            <w:r w:rsidR="00D661E3">
              <w:rPr>
                <w:rFonts w:eastAsia="MS Mincho" w:cs="Times New Roman"/>
                <w:bCs/>
                <w:noProof/>
                <w:szCs w:val="32"/>
                <w:lang w:val="fr-FR"/>
              </w:rPr>
              <w:t>d’instructions de livraison sans paiement : ‘DELI FREE’ / ‘RECE FREE’ ;</w:t>
            </w:r>
          </w:p>
          <w:p w14:paraId="683A2382" w14:textId="12EA79E9" w:rsidR="004E64C5" w:rsidRPr="00C755C6" w:rsidRDefault="009D3817" w:rsidP="009D3817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En mode DCP, l</w:t>
            </w:r>
            <w:r w:rsidR="00C755C6"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’utilisation d’instructions de livraison contre paiement à montant </w:t>
            </w:r>
            <w:r w:rsid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0</w:t>
            </w:r>
            <w:r w:rsidR="00D661E3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 (‘APMT’)</w:t>
            </w:r>
            <w:r w:rsidR="00C755C6" w:rsidRPr="00C755C6">
              <w:rPr>
                <w:rFonts w:eastAsia="MS Mincho" w:cs="Times New Roman"/>
                <w:bCs/>
                <w:noProof/>
                <w:szCs w:val="32"/>
                <w:lang w:val="fr-FR"/>
              </w:rPr>
              <w:t>.</w:t>
            </w:r>
          </w:p>
        </w:tc>
      </w:tr>
      <w:tr w:rsidR="004E64C5" w:rsidRPr="00EB02EC" w14:paraId="1C18A2CF" w14:textId="77777777" w:rsidTr="00644076">
        <w:tc>
          <w:tcPr>
            <w:tcW w:w="2235" w:type="dxa"/>
            <w:tcBorders>
              <w:left w:val="nil"/>
              <w:right w:val="nil"/>
            </w:tcBorders>
          </w:tcPr>
          <w:p w14:paraId="22D7239B" w14:textId="77777777" w:rsidR="004E64C5" w:rsidRPr="004B3BDA" w:rsidRDefault="004E64C5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left w:val="nil"/>
              <w:right w:val="nil"/>
            </w:tcBorders>
          </w:tcPr>
          <w:p w14:paraId="327DB86B" w14:textId="77777777" w:rsidR="004E64C5" w:rsidRPr="00C755C6" w:rsidRDefault="004E64C5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:rsidRPr="00EB02EC" w14:paraId="22E4657D" w14:textId="77777777" w:rsidTr="00644076">
        <w:tc>
          <w:tcPr>
            <w:tcW w:w="22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2AB30A" w14:textId="77777777" w:rsidR="004E64C5" w:rsidRPr="00D103DA" w:rsidRDefault="004E64C5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la problématique majeure</w:t>
            </w:r>
          </w:p>
        </w:tc>
        <w:tc>
          <w:tcPr>
            <w:tcW w:w="7341" w:type="dxa"/>
            <w:tcBorders>
              <w:bottom w:val="single" w:sz="4" w:space="0" w:color="auto"/>
            </w:tcBorders>
          </w:tcPr>
          <w:p w14:paraId="0ABA278B" w14:textId="77777777" w:rsidR="004E64C5" w:rsidRDefault="004C32FD" w:rsidP="004C32FD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C32FD">
              <w:rPr>
                <w:rFonts w:eastAsia="MS Mincho" w:cs="Times New Roman"/>
                <w:noProof/>
                <w:szCs w:val="32"/>
                <w:lang w:val="fr-FR"/>
              </w:rPr>
              <w:t xml:space="preserve">Afin de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faciliter l’utilisation par les participants des différents types d’instruction sans paiement, l</w:t>
            </w:r>
            <w:r w:rsidR="00C755C6" w:rsidRPr="004C32FD">
              <w:rPr>
                <w:rFonts w:eastAsia="MS Mincho" w:cs="Times New Roman"/>
                <w:noProof/>
                <w:szCs w:val="32"/>
                <w:lang w:val="fr-FR"/>
              </w:rPr>
              <w:t xml:space="preserve">e marché français a souhaité préciser et synthétiser dans une unique fiche pratique de marché les utilisations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recensées d’instructions sans paiement, et les préconisations du marché.</w:t>
            </w:r>
          </w:p>
          <w:p w14:paraId="12681D45" w14:textId="77777777" w:rsidR="004C32FD" w:rsidRDefault="004C32FD" w:rsidP="004C32FD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6 cas de figure ont été recensés :</w:t>
            </w:r>
          </w:p>
          <w:p w14:paraId="61C07F5A" w14:textId="4638B866" w:rsid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Les </w:t>
            </w:r>
            <w:r w:rsid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instructions sur 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prêts-emprunts ;</w:t>
            </w:r>
          </w:p>
          <w:p w14:paraId="7BFA498F" w14:textId="141BE360" w:rsid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lastRenderedPageBreak/>
              <w:t>Les produits d’OST ;</w:t>
            </w:r>
          </w:p>
          <w:p w14:paraId="0CEE8483" w14:textId="7F2E2B70" w:rsid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Les transferts de portefeuille ;</w:t>
            </w:r>
          </w:p>
          <w:p w14:paraId="2945566F" w14:textId="6A9AFC94" w:rsid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Les conversions ;</w:t>
            </w:r>
          </w:p>
          <w:p w14:paraId="1CC96F49" w14:textId="77777777" w:rsid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Les instructions sur titres nominatifs ;</w:t>
            </w:r>
          </w:p>
          <w:p w14:paraId="4F4EF39B" w14:textId="369F6479" w:rsidR="004C32FD" w:rsidRPr="004C32FD" w:rsidRDefault="004C32FD" w:rsidP="004C32F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>Les instructions sur fonds d’investissement trait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és en titres et cash dissociés, </w:t>
            </w:r>
            <w:r w:rsidRP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>tel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le</w:t>
            </w:r>
            <w:r w:rsidRP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s que les 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instructions </w:t>
            </w:r>
            <w:r w:rsidRP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>sur fon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ds en règlement espèces devise ou les instructions </w:t>
            </w:r>
            <w:r w:rsidRPr="004C32FD">
              <w:rPr>
                <w:rFonts w:eastAsia="MS Mincho" w:cs="Times New Roman"/>
                <w:bCs/>
                <w:noProof/>
                <w:szCs w:val="32"/>
                <w:lang w:val="fr-FR"/>
              </w:rPr>
              <w:t>sur fonds en paiement en pré-funding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.</w:t>
            </w:r>
          </w:p>
        </w:tc>
      </w:tr>
      <w:tr w:rsidR="004E64C5" w:rsidRPr="00EB02EC" w14:paraId="1B4DEF54" w14:textId="77777777" w:rsidTr="00644076">
        <w:tc>
          <w:tcPr>
            <w:tcW w:w="2235" w:type="dxa"/>
            <w:tcBorders>
              <w:left w:val="nil"/>
              <w:right w:val="nil"/>
            </w:tcBorders>
          </w:tcPr>
          <w:p w14:paraId="2F1640A2" w14:textId="77777777" w:rsidR="004E64C5" w:rsidRDefault="004E64C5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left w:val="nil"/>
              <w:right w:val="nil"/>
            </w:tcBorders>
          </w:tcPr>
          <w:p w14:paraId="03BA40A0" w14:textId="77777777" w:rsidR="004E64C5" w:rsidRPr="004C32FD" w:rsidRDefault="004E64C5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14:paraId="520D7EDD" w14:textId="77777777" w:rsidTr="00443A1F">
        <w:trPr>
          <w:trHeight w:val="1168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E31BA5" w14:textId="77777777" w:rsidR="004E64C5" w:rsidRDefault="004E64C5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14:paraId="7EA85045" w14:textId="77777777" w:rsidR="004E64C5" w:rsidRPr="00D103DA" w:rsidRDefault="004E64C5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341" w:type="dxa"/>
            <w:tcBorders>
              <w:bottom w:val="single" w:sz="4" w:space="0" w:color="auto"/>
            </w:tcBorders>
          </w:tcPr>
          <w:p w14:paraId="1A1C6446" w14:textId="77777777" w:rsidR="004E64C5" w:rsidRPr="00C755C6" w:rsidRDefault="004E64C5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p w14:paraId="4E3F98FC" w14:textId="77777777" w:rsidR="004E64C5" w:rsidRPr="00C755C6" w:rsidRDefault="004E64C5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p w14:paraId="5C5C0A8C" w14:textId="77777777" w:rsidR="004E64C5" w:rsidRPr="00C755C6" w:rsidRDefault="004E64C5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  <w:tr w:rsidR="004E64C5" w14:paraId="16338B5A" w14:textId="77777777" w:rsidTr="00893912">
        <w:tc>
          <w:tcPr>
            <w:tcW w:w="223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AC8D49A" w14:textId="77777777" w:rsidR="004E64C5" w:rsidRDefault="004E64C5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590FC80" w14:textId="77777777" w:rsidR="004E64C5" w:rsidRDefault="004E64C5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14:paraId="1957BF67" w14:textId="77777777" w:rsidTr="00FF4EFB">
        <w:trPr>
          <w:trHeight w:val="545"/>
        </w:trPr>
        <w:tc>
          <w:tcPr>
            <w:tcW w:w="2235" w:type="dxa"/>
            <w:shd w:val="clear" w:color="auto" w:fill="BFBFBF" w:themeFill="background1" w:themeFillShade="BF"/>
          </w:tcPr>
          <w:p w14:paraId="5275AECC" w14:textId="77777777" w:rsidR="004E64C5" w:rsidRDefault="004E64C5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14:paraId="07BF9D4E" w14:textId="77777777" w:rsidR="004E64C5" w:rsidRDefault="004E64C5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341" w:type="dxa"/>
            <w:tcBorders>
              <w:bottom w:val="single" w:sz="4" w:space="0" w:color="auto"/>
            </w:tcBorders>
          </w:tcPr>
          <w:p w14:paraId="5D0280F7" w14:textId="77777777" w:rsidR="004E64C5" w:rsidRDefault="004E64C5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14:paraId="021922C6" w14:textId="77777777" w:rsidR="004E64C5" w:rsidRDefault="004E64C5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14:paraId="19C0A327" w14:textId="77777777" w:rsidTr="00C1000A">
        <w:tc>
          <w:tcPr>
            <w:tcW w:w="2235" w:type="dxa"/>
            <w:tcBorders>
              <w:left w:val="nil"/>
              <w:right w:val="nil"/>
            </w:tcBorders>
          </w:tcPr>
          <w:p w14:paraId="5656921C" w14:textId="77777777" w:rsidR="004E64C5" w:rsidRDefault="004E64C5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341" w:type="dxa"/>
            <w:tcBorders>
              <w:left w:val="nil"/>
              <w:right w:val="nil"/>
            </w:tcBorders>
          </w:tcPr>
          <w:p w14:paraId="523015C9" w14:textId="77777777" w:rsidR="004E64C5" w:rsidRDefault="004E64C5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E64C5" w:rsidRPr="00C0767C" w14:paraId="107876B8" w14:textId="77777777" w:rsidTr="007F6CFC">
        <w:tc>
          <w:tcPr>
            <w:tcW w:w="2235" w:type="dxa"/>
            <w:shd w:val="clear" w:color="auto" w:fill="BFBFBF" w:themeFill="background1" w:themeFillShade="BF"/>
          </w:tcPr>
          <w:p w14:paraId="0E3FCE90" w14:textId="77777777" w:rsidR="004E64C5" w:rsidRDefault="004E64C5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 avec d’autres pratiques</w:t>
            </w:r>
          </w:p>
        </w:tc>
        <w:tc>
          <w:tcPr>
            <w:tcW w:w="7341" w:type="dxa"/>
          </w:tcPr>
          <w:p w14:paraId="1E67F24A" w14:textId="14850036" w:rsidR="00D30DCB" w:rsidRDefault="00D30DCB" w:rsidP="00B26098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MS-SETTL-FRANCO 01</w:t>
            </w:r>
          </w:p>
          <w:p w14:paraId="4D65D86E" w14:textId="77777777" w:rsidR="00D30DCB" w:rsidRDefault="00473F08" w:rsidP="00B26098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43A1F">
              <w:rPr>
                <w:rFonts w:eastAsia="MS Mincho" w:cs="Times New Roman"/>
                <w:noProof/>
                <w:szCs w:val="32"/>
                <w:lang w:val="fr-FR"/>
              </w:rPr>
              <w:t>MS-SETTL-FRANCO 02</w:t>
            </w:r>
          </w:p>
          <w:p w14:paraId="0FFB8520" w14:textId="77777777" w:rsidR="00D30DCB" w:rsidRDefault="00D30DCB" w:rsidP="00B26098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43A1F">
              <w:rPr>
                <w:rFonts w:eastAsia="MS Mincho" w:cs="Times New Roman"/>
                <w:noProof/>
                <w:szCs w:val="32"/>
                <w:lang w:val="fr-FR"/>
              </w:rPr>
              <w:t>MS-SETTL-FRANCO 0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3</w:t>
            </w:r>
          </w:p>
          <w:p w14:paraId="706C694E" w14:textId="77777777" w:rsidR="004C32FD" w:rsidRDefault="00D30DCB" w:rsidP="004C32F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NE-NOMIN-SETTL-01</w:t>
            </w:r>
          </w:p>
          <w:p w14:paraId="36D832A7" w14:textId="0A10B8EB" w:rsidR="004C32FD" w:rsidRPr="004C32FD" w:rsidRDefault="004C32FD" w:rsidP="004C32FD">
            <w:pPr>
              <w:pStyle w:val="ListParagraph"/>
              <w:numPr>
                <w:ilvl w:val="0"/>
                <w:numId w:val="3"/>
              </w:numPr>
              <w:ind w:left="317" w:hanging="284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C32FD">
              <w:rPr>
                <w:rFonts w:eastAsia="MS Mincho" w:cs="Times New Roman"/>
                <w:noProof/>
                <w:szCs w:val="32"/>
                <w:lang w:val="fr-FR"/>
              </w:rPr>
              <w:t>OP-SETTL-RLDISSOCIE-01</w:t>
            </w:r>
          </w:p>
          <w:p w14:paraId="6BCF72EA" w14:textId="77777777" w:rsidR="004E64C5" w:rsidRDefault="004E64C5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14:paraId="13A33597" w14:textId="3F2EDF50" w:rsidR="00473F08" w:rsidRDefault="00473F08" w:rsidP="00473F08">
      <w:pPr>
        <w:ind w:firstLine="720"/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14:paraId="774BAAC2" w14:textId="77777777" w:rsidR="00D103DA" w:rsidRPr="004F6025" w:rsidRDefault="00BE4C60" w:rsidP="00D103DA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proposition de pratique de marché</w:t>
      </w:r>
    </w:p>
    <w:p w14:paraId="2CE2CA91" w14:textId="77777777" w:rsidR="00D103DA" w:rsidRDefault="00D103DA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14:paraId="1381DA58" w14:textId="77777777" w:rsidR="001E0D83" w:rsidRPr="001E0D83" w:rsidRDefault="001E0D83" w:rsidP="0004093E">
      <w:pPr>
        <w:tabs>
          <w:tab w:val="left" w:pos="3168"/>
        </w:tabs>
        <w:spacing w:after="0" w:line="240" w:lineRule="auto"/>
        <w:rPr>
          <w:rFonts w:eastAsia="MS Mincho" w:cs="Times New Roman"/>
          <w:b/>
          <w:noProof/>
          <w:sz w:val="28"/>
          <w:szCs w:val="32"/>
          <w:lang w:val="fr-FR"/>
        </w:rPr>
      </w:pPr>
      <w:r w:rsidRPr="001E0D83">
        <w:rPr>
          <w:rFonts w:eastAsia="MS Mincho" w:cs="Times New Roman"/>
          <w:b/>
          <w:noProof/>
          <w:sz w:val="28"/>
          <w:szCs w:val="32"/>
          <w:lang w:val="fr-FR"/>
        </w:rPr>
        <w:t>Recommandation</w:t>
      </w:r>
    </w:p>
    <w:p w14:paraId="77A22840" w14:textId="77777777"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228"/>
      </w:tblGrid>
      <w:tr w:rsidR="001E0D83" w:rsidRPr="00EB02EC" w14:paraId="7052B4BB" w14:textId="77777777" w:rsidTr="00FC5331">
        <w:tc>
          <w:tcPr>
            <w:tcW w:w="2122" w:type="dxa"/>
            <w:shd w:val="clear" w:color="auto" w:fill="BFBFBF" w:themeFill="background1" w:themeFillShade="BF"/>
          </w:tcPr>
          <w:p w14:paraId="22EF07A1" w14:textId="77777777" w:rsidR="001E0D83" w:rsidRPr="00D103DA" w:rsidRDefault="00BA66D3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Solution </w:t>
            </w:r>
            <w:r w:rsidR="001E0D83">
              <w:rPr>
                <w:rFonts w:eastAsia="MS Mincho" w:cs="Times New Roman"/>
                <w:b/>
                <w:noProof/>
                <w:szCs w:val="32"/>
                <w:lang w:val="fr-FR"/>
              </w:rPr>
              <w:t>recommandé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e</w:t>
            </w:r>
          </w:p>
        </w:tc>
        <w:tc>
          <w:tcPr>
            <w:tcW w:w="7228" w:type="dxa"/>
          </w:tcPr>
          <w:p w14:paraId="3E92D248" w14:textId="14A00505" w:rsidR="00612819" w:rsidRPr="004C32FD" w:rsidRDefault="004C32FD" w:rsidP="00C755C6">
            <w:pPr>
              <w:spacing w:before="120"/>
              <w:jc w:val="both"/>
              <w:rPr>
                <w:rFonts w:eastAsia="MS Mincho" w:cs="Times New Roman"/>
                <w:b/>
                <w:noProof/>
                <w:szCs w:val="32"/>
              </w:rPr>
            </w:pPr>
            <w:r w:rsidRPr="004C32FD">
              <w:rPr>
                <w:rFonts w:eastAsia="MS Mincho" w:cs="Times New Roman"/>
                <w:b/>
                <w:noProof/>
                <w:szCs w:val="32"/>
              </w:rPr>
              <w:t>Traitement des prêts-emprunts</w:t>
            </w:r>
          </w:p>
          <w:p w14:paraId="59ED5BE5" w14:textId="6A138909" w:rsidR="004C32FD" w:rsidRDefault="00FF07B1" w:rsidP="00C755C6">
            <w:pPr>
              <w:spacing w:before="12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: p</w:t>
            </w:r>
            <w:r w:rsidR="00675412">
              <w:rPr>
                <w:rFonts w:eastAsia="MS Mincho" w:cs="Times New Roman"/>
                <w:noProof/>
                <w:szCs w:val="32"/>
                <w:lang w:val="fr-FR"/>
              </w:rPr>
              <w:t xml:space="preserve">our le traitement des instructions </w:t>
            </w:r>
            <w:r w:rsidR="00EB02EC">
              <w:rPr>
                <w:rFonts w:eastAsia="MS Mincho" w:cs="Times New Roman"/>
                <w:noProof/>
                <w:szCs w:val="32"/>
                <w:lang w:val="fr-FR"/>
              </w:rPr>
              <w:t xml:space="preserve">de livraison de titres </w:t>
            </w:r>
            <w:r w:rsidR="00675412">
              <w:rPr>
                <w:rFonts w:eastAsia="MS Mincho" w:cs="Times New Roman"/>
                <w:noProof/>
                <w:szCs w:val="32"/>
                <w:lang w:val="fr-FR"/>
              </w:rPr>
              <w:t>sur prêts-emprunts, l</w:t>
            </w:r>
            <w:r w:rsidR="004C32FD" w:rsidRPr="004C32FD">
              <w:rPr>
                <w:rFonts w:eastAsia="MS Mincho" w:cs="Times New Roman"/>
                <w:noProof/>
                <w:szCs w:val="32"/>
                <w:lang w:val="fr-FR"/>
              </w:rPr>
              <w:t xml:space="preserve">es participants recommandent l’utilisation </w:t>
            </w:r>
            <w:r w:rsidR="00675412">
              <w:rPr>
                <w:rFonts w:eastAsia="MS Mincho" w:cs="Times New Roman"/>
                <w:noProof/>
                <w:szCs w:val="32"/>
                <w:lang w:val="fr-FR"/>
              </w:rPr>
              <w:t xml:space="preserve">d’instruction </w:t>
            </w:r>
            <w:r w:rsidR="0046467D">
              <w:rPr>
                <w:rFonts w:eastAsia="MS Mincho" w:cs="Times New Roman"/>
                <w:noProof/>
                <w:szCs w:val="32"/>
                <w:lang w:val="fr-FR"/>
              </w:rPr>
              <w:t xml:space="preserve">de livraison sans paiement en T2S : </w:t>
            </w:r>
            <w:r w:rsid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‘DELI FREE’ / ‘RECE FREE’.</w:t>
            </w:r>
          </w:p>
          <w:p w14:paraId="3336F4DE" w14:textId="2BEED10D" w:rsidR="004C32FD" w:rsidRPr="0046467D" w:rsidRDefault="0046467D" w:rsidP="00FF07B1">
            <w:pPr>
              <w:spacing w:before="240"/>
              <w:jc w:val="both"/>
              <w:rPr>
                <w:rFonts w:eastAsia="MS Mincho" w:cs="Times New Roman"/>
                <w:i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/>
                <w:noProof/>
                <w:szCs w:val="32"/>
                <w:lang w:val="fr-FR"/>
              </w:rPr>
              <w:t>Traitement des produits d’OST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>–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Pr="0046467D">
              <w:rPr>
                <w:rFonts w:eastAsia="MS Mincho" w:cs="Times New Roman"/>
                <w:i/>
                <w:noProof/>
                <w:szCs w:val="32"/>
                <w:lang w:val="fr-FR"/>
              </w:rPr>
              <w:t>Extrait de la Fiche MS-SETTL-FRANCO 01 Traitement des OST avec utilisation des Free Of Payment Without Matching (cf. p 7)</w:t>
            </w:r>
          </w:p>
          <w:p w14:paraId="51F598B6" w14:textId="1BD9066B" w:rsidR="0046467D" w:rsidRDefault="0046467D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:</w:t>
            </w:r>
          </w:p>
          <w:p w14:paraId="01278570" w14:textId="4770FFFB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Utiliser l’offre d’Euroclear « Free of Payment without Matching » qui fonctionnera à partir de messages ISO 15 022, de messages ISO 20 022 et également à partir du poste Euroclear Connect for Screens.</w:t>
            </w:r>
          </w:p>
          <w:p w14:paraId="6436D794" w14:textId="3FA642BD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lastRenderedPageBreak/>
              <w:t>D’un point de vue TCC, procéder à la livraison des titres ou des droits systématiquement sur le sous-compte L1 0 de l’agent centralisateur, en respectant la NdC correspondant à l’option (indiquée sur le formulaire unique lors de l’annonce de l’OST)</w:t>
            </w:r>
          </w:p>
          <w:p w14:paraId="026B5712" w14:textId="0C56A8DF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D’un point de vue agent centralisateur, procéder à la livraison des titres nouveaux sur le sous-compte L1 0 du TCC</w:t>
            </w:r>
          </w:p>
          <w:p w14:paraId="73993CE3" w14:textId="24939810" w:rsidR="0046467D" w:rsidRPr="0046467D" w:rsidRDefault="0046467D" w:rsidP="00FF07B1">
            <w:pPr>
              <w:spacing w:before="240"/>
              <w:jc w:val="both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/>
                <w:noProof/>
                <w:szCs w:val="32"/>
                <w:lang w:val="fr-FR"/>
              </w:rPr>
              <w:t>Traitement des transferts de portefeuille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>–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Pr="0046467D">
              <w:rPr>
                <w:rFonts w:eastAsia="MS Mincho" w:cs="Times New Roman"/>
                <w:i/>
                <w:noProof/>
                <w:szCs w:val="32"/>
                <w:lang w:val="fr-FR"/>
              </w:rPr>
              <w:t>Extrait de la fiche MS-SETTL-FRANCO 02 Transfert de portefeuille (cf. p 4)</w:t>
            </w:r>
          </w:p>
          <w:p w14:paraId="1EFEBB67" w14:textId="112F01FE" w:rsidR="0046467D" w:rsidRDefault="0046467D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:</w:t>
            </w:r>
          </w:p>
          <w:p w14:paraId="34AF8D26" w14:textId="77777777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Utiliser l’offre d’Euroclear « Free of Payment without Matching » qui fonctionnera à partir de messages ISO 15022, de messages ISO 20022 et également à partir du poste Euroclear Connect for Screens.</w:t>
            </w:r>
          </w:p>
          <w:p w14:paraId="4DC6AC4B" w14:textId="0686B1F0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Utiliser les champs adéquats pour remplir les structures de comptes des participants livrés / livreurs. Par defaut, le sous compte L10 doit etre utilisé si aucune spécification n’est indiquée par la contrepartie</w:t>
            </w:r>
          </w:p>
          <w:p w14:paraId="59CC89A5" w14:textId="52BABABC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Renseigner la désignation du client dans le champs recipient name</w:t>
            </w:r>
          </w:p>
          <w:p w14:paraId="16C954F6" w14:textId="24F691F5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Renseigner le RIB dans le champs RIB</w:t>
            </w:r>
          </w:p>
          <w:p w14:paraId="536C32E2" w14:textId="14D75D48" w:rsidR="0046467D" w:rsidRPr="0046467D" w:rsidRDefault="0046467D" w:rsidP="0046467D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46467D">
              <w:rPr>
                <w:rFonts w:eastAsia="MS Mincho" w:cs="Times New Roman"/>
                <w:bCs/>
                <w:noProof/>
                <w:szCs w:val="32"/>
                <w:lang w:val="fr-FR"/>
              </w:rPr>
              <w:t>Renseigner le millésime dans le champs external comment.</w:t>
            </w:r>
          </w:p>
          <w:p w14:paraId="252256F8" w14:textId="06F11ABA" w:rsidR="0046467D" w:rsidRPr="00FF07B1" w:rsidRDefault="00FF07B1" w:rsidP="00FF07B1">
            <w:pPr>
              <w:spacing w:before="240"/>
              <w:jc w:val="both"/>
              <w:rPr>
                <w:rFonts w:eastAsia="MS Mincho" w:cs="Times New Roman"/>
                <w:i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>Traitement des conversions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–</w:t>
            </w:r>
            <w:r w:rsidRP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Pr="00FF07B1">
              <w:rPr>
                <w:rFonts w:eastAsia="MS Mincho" w:cs="Times New Roman"/>
                <w:i/>
                <w:noProof/>
                <w:szCs w:val="32"/>
                <w:lang w:val="fr-FR"/>
              </w:rPr>
              <w:t>Extrait de la fiche MS-SETTL-FRANCO 03 Conversions (cf. p 5)</w:t>
            </w:r>
          </w:p>
          <w:p w14:paraId="1889474D" w14:textId="77777777" w:rsidR="00FF07B1" w:rsidRPr="00FF07B1" w:rsidRDefault="00FF07B1" w:rsidP="00FF07B1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 : </w:t>
            </w: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t>La procédure de traitement des conversions s’appuiera sur l’offre d’Euroclear Free of Payment without Matching (cf. document joint) qui fonctionnera  à partir du 15022 (p 13), du 20022 (p 15) et pourra également être utilisée à partir du poste Euroclear  Connect.</w:t>
            </w:r>
          </w:p>
          <w:p w14:paraId="24C317B5" w14:textId="77777777" w:rsidR="00FF07B1" w:rsidRPr="00FF07B1" w:rsidRDefault="00FF07B1" w:rsidP="00FF07B1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t>Principes généraux :</w:t>
            </w:r>
          </w:p>
          <w:p w14:paraId="6B713904" w14:textId="73ED5536" w:rsidR="00FF07B1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>Ne pas utiliser les fonctionnalités permettant de mettre on “hold” une instruction</w:t>
            </w:r>
          </w:p>
          <w:p w14:paraId="71A54C7B" w14:textId="381107CD" w:rsidR="00FF07B1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>Ne pas utiliser les possibilités de dénouement partiel</w:t>
            </w:r>
          </w:p>
          <w:p w14:paraId="6D73F89A" w14:textId="3F7BF641" w:rsidR="00FF07B1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>Le Transaction Type doit obligatoirement être utilisé avec OWNE ce code étant réservé aux instructions free of payment without matching.</w:t>
            </w:r>
          </w:p>
          <w:p w14:paraId="316F2A55" w14:textId="35A36CB2" w:rsidR="0046467D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>Ces instructions étant éligibles au processus de détection des market claims et transformations (dans l’attente de la correction du defect n° 27092), pour éviter les OST sur flux, la trade date doit être égale à la settlement date.</w:t>
            </w:r>
          </w:p>
          <w:p w14:paraId="698E4DB2" w14:textId="261D0391" w:rsidR="0046467D" w:rsidRPr="00FF07B1" w:rsidRDefault="00FF07B1" w:rsidP="00FF07B1">
            <w:pPr>
              <w:spacing w:before="240"/>
              <w:jc w:val="both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Traitement des instructions sur titres nominatifs 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–</w:t>
            </w:r>
            <w:r w:rsidRPr="00FF07B1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Pr="00FF07B1">
              <w:rPr>
                <w:rFonts w:eastAsia="MS Mincho" w:cs="Times New Roman"/>
                <w:i/>
                <w:noProof/>
                <w:szCs w:val="32"/>
                <w:lang w:val="fr-FR"/>
              </w:rPr>
              <w:t>Extrait de la Fiche NE-NOMIN-SETTL01 Impact de T2S sur le nominatif (cf. p 3)</w:t>
            </w:r>
          </w:p>
          <w:p w14:paraId="4ED51D10" w14:textId="48AE0482" w:rsidR="00FF07B1" w:rsidRPr="00FF07B1" w:rsidRDefault="00FF07B1" w:rsidP="00FF07B1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 : </w:t>
            </w: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t xml:space="preserve">Le choix entre les types d’instruction se fera selon la </w:t>
            </w: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lastRenderedPageBreak/>
              <w:t>nature de l’opération :</w:t>
            </w:r>
          </w:p>
          <w:p w14:paraId="60C8E02D" w14:textId="0DFFBC3C" w:rsidR="00FF07B1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>Les flux relatifs à des opérations d’achat vente sans cash seront traités par des DVP à montant zéro (attention cut off 16h) . Ces instructions sont liées à des opérations emportant transfert de propriété.</w:t>
            </w:r>
          </w:p>
          <w:p w14:paraId="499444AA" w14:textId="3B42532E" w:rsidR="00FF07B1" w:rsidRPr="00FF07B1" w:rsidRDefault="00FF07B1" w:rsidP="00FF07B1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En revanche, toutes les autres opérations traitées actuellement par le biais d’ordres franco seront à traiter par le biais de (FOP) Free of Payment already matched ou à matcher (cut-off 18h), qui n’emportent pas transfert de propriété. </w:t>
            </w:r>
          </w:p>
          <w:p w14:paraId="2442B41B" w14:textId="253F98B9" w:rsidR="007C13C4" w:rsidRPr="00FF07B1" w:rsidRDefault="00FF07B1" w:rsidP="00FF07B1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t>Liste des CTO utilisés pour les instructions en fonction de la nature de l’opération :</w:t>
            </w:r>
            <w:r w:rsidR="007C13C4"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FF07B1">
              <w:rPr>
                <w:rFonts w:eastAsia="MS Mincho" w:cs="Times New Roman"/>
                <w:noProof/>
                <w:szCs w:val="32"/>
                <w:lang w:val="fr-FR"/>
              </w:rPr>
              <w:t>Le FOP (already matched/à matcher</w:t>
            </w:r>
            <w:r w:rsidR="007C13C4">
              <w:rPr>
                <w:rFonts w:eastAsia="MS Mincho" w:cs="Times New Roman"/>
                <w:noProof/>
                <w:szCs w:val="32"/>
                <w:lang w:val="fr-FR"/>
              </w:rPr>
              <w:t>) peut porter les CTO suivants :</w:t>
            </w:r>
          </w:p>
          <w:p w14:paraId="71615B5B" w14:textId="77777777" w:rsid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transferts de portefeuille (TO),</w:t>
            </w:r>
          </w:p>
          <w:p w14:paraId="6342D37D" w14:textId="77777777" w:rsid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mutations avec transferts(TM),</w:t>
            </w:r>
          </w:p>
          <w:p w14:paraId="79EB5270" w14:textId="77777777" w:rsid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cessions directes (TT),</w:t>
            </w:r>
          </w:p>
          <w:p w14:paraId="3A96BB3D" w14:textId="77777777" w:rsid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opérations de régularisation d’achat/vente comptant hors SBI (BO),</w:t>
            </w:r>
          </w:p>
          <w:p w14:paraId="66A3A088" w14:textId="77777777" w:rsid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opérations de régularisation d’achats/ventes Système de Règlement Différé (SRD) hors SBI (MO),</w:t>
            </w:r>
          </w:p>
          <w:p w14:paraId="3E215241" w14:textId="2E527C71" w:rsidR="00FF07B1" w:rsidRPr="007C13C4" w:rsidRDefault="00FF07B1" w:rsidP="007C13C4">
            <w:pPr>
              <w:pStyle w:val="ListParagraph"/>
              <w:numPr>
                <w:ilvl w:val="0"/>
                <w:numId w:val="11"/>
              </w:numPr>
              <w:spacing w:before="120"/>
              <w:ind w:left="572" w:hanging="212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C13C4">
              <w:rPr>
                <w:rFonts w:eastAsia="MS Mincho" w:cs="Times New Roman"/>
                <w:noProof/>
                <w:szCs w:val="32"/>
                <w:lang w:val="fr-FR"/>
              </w:rPr>
              <w:t>les achats/ventes dénoués par franco sans cash (GO). Ce cas est prévu mais pas utilisé à ce jour, il reste disponible en cas de Back-Up (indisponibilité du DVP).</w:t>
            </w:r>
          </w:p>
          <w:p w14:paraId="1347A100" w14:textId="11E3B94B" w:rsidR="00FF07B1" w:rsidRPr="00421D0F" w:rsidRDefault="00421D0F" w:rsidP="00421D0F">
            <w:pPr>
              <w:spacing w:before="240"/>
              <w:jc w:val="both"/>
              <w:rPr>
                <w:rFonts w:eastAsia="MS Mincho" w:cs="Times New Roman"/>
                <w:i/>
                <w:noProof/>
                <w:szCs w:val="32"/>
                <w:lang w:val="fr-FR"/>
              </w:rPr>
            </w:pPr>
            <w:r w:rsidRPr="00421D0F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Traitement des instructions sur fonds d’investissement traités en titres et cash dissociés – </w:t>
            </w:r>
            <w:r w:rsidRPr="00421D0F">
              <w:rPr>
                <w:rFonts w:eastAsia="MS Mincho" w:cs="Times New Roman"/>
                <w:i/>
                <w:noProof/>
                <w:szCs w:val="32"/>
                <w:lang w:val="fr-FR"/>
              </w:rPr>
              <w:t xml:space="preserve">Extrait </w:t>
            </w:r>
            <w:r>
              <w:rPr>
                <w:rFonts w:eastAsia="MS Mincho" w:cs="Times New Roman"/>
                <w:i/>
                <w:noProof/>
                <w:szCs w:val="32"/>
                <w:lang w:val="fr-FR"/>
              </w:rPr>
              <w:t xml:space="preserve">de la fiche </w:t>
            </w:r>
            <w:r w:rsidRPr="00421D0F">
              <w:rPr>
                <w:rFonts w:eastAsia="MS Mincho" w:cs="Times New Roman"/>
                <w:i/>
                <w:noProof/>
                <w:szCs w:val="32"/>
                <w:lang w:val="fr-FR"/>
              </w:rPr>
              <w:t>OP-SETTL-RLDISSOCIE-01</w:t>
            </w:r>
            <w:r w:rsidRPr="00421D0F">
              <w:rPr>
                <w:lang w:val="fr-FR"/>
              </w:rPr>
              <w:t xml:space="preserve"> </w:t>
            </w:r>
            <w:r w:rsidRPr="00421D0F">
              <w:rPr>
                <w:rFonts w:eastAsia="MS Mincho" w:cs="Times New Roman"/>
                <w:i/>
                <w:noProof/>
                <w:szCs w:val="32"/>
                <w:lang w:val="fr-FR"/>
              </w:rPr>
              <w:t>Règlement-livraison des ordres en titres et cash dissociés (Fonds)</w:t>
            </w:r>
            <w:r>
              <w:rPr>
                <w:rFonts w:eastAsia="MS Mincho" w:cs="Times New Roman"/>
                <w:i/>
                <w:noProof/>
                <w:szCs w:val="32"/>
                <w:lang w:val="fr-FR"/>
              </w:rPr>
              <w:t xml:space="preserve"> (cf. page 1)</w:t>
            </w:r>
          </w:p>
          <w:p w14:paraId="7C322803" w14:textId="3DA86680" w:rsidR="00421D0F" w:rsidRPr="00421D0F" w:rsidRDefault="00421D0F" w:rsidP="00421D0F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21D0F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Recommandation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: L</w:t>
            </w:r>
            <w:r w:rsidRPr="00421D0F">
              <w:rPr>
                <w:rFonts w:eastAsia="MS Mincho" w:cs="Times New Roman"/>
                <w:noProof/>
                <w:szCs w:val="32"/>
                <w:lang w:val="fr-FR"/>
              </w:rPr>
              <w:t>e marché français souhaite mettre en place une pratique concernant le règlement-livraison des opérations sur fonds traités en titres et cash dissociés (tels que les ordres sur fonds en règlement espèces devise, ordres sur fonds en paiement en pré-funding, …), en préconisant un règlement des titres en franco avec matching ( instructions T2S de type DELI / RECE free).</w:t>
            </w:r>
          </w:p>
          <w:p w14:paraId="2B35F1ED" w14:textId="77777777" w:rsidR="00421D0F" w:rsidRPr="00421D0F" w:rsidRDefault="00421D0F" w:rsidP="00421D0F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21D0F">
              <w:rPr>
                <w:rFonts w:eastAsia="MS Mincho" w:cs="Times New Roman"/>
                <w:noProof/>
                <w:szCs w:val="32"/>
                <w:lang w:val="fr-FR"/>
              </w:rPr>
              <w:t>En effet, ce type d’instruction est privilégié par la communauté, dans la mesure où il permet de livrer les parts de titres de fonds jusqu’au cut-off de 18h, tout en s’assurant de la bonne réception des espèces au préalable, ainsi qu’un matching de la livraison des parts avec le receveur.</w:t>
            </w:r>
          </w:p>
          <w:p w14:paraId="0949D3E5" w14:textId="4F8EEE3C" w:rsidR="00FF07B1" w:rsidRPr="004C32FD" w:rsidRDefault="00421D0F" w:rsidP="00421D0F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21D0F">
              <w:rPr>
                <w:rFonts w:eastAsia="MS Mincho" w:cs="Times New Roman"/>
                <w:noProof/>
                <w:szCs w:val="32"/>
                <w:lang w:val="fr-FR"/>
              </w:rPr>
              <w:t>Cette pratique permet de livrer les espèces et titres même date.</w:t>
            </w:r>
          </w:p>
        </w:tc>
      </w:tr>
      <w:tr w:rsidR="00B540C8" w:rsidRPr="00675412" w14:paraId="4BA61026" w14:textId="77777777" w:rsidTr="00FC5331">
        <w:tc>
          <w:tcPr>
            <w:tcW w:w="21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0496989" w14:textId="58C1D46A" w:rsidR="00B540C8" w:rsidRDefault="00B540C8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 xml:space="preserve">Description des rôles de toutes les parties prenantes </w:t>
            </w:r>
          </w:p>
          <w:p w14:paraId="2B62A016" w14:textId="77777777" w:rsidR="00B540C8" w:rsidRPr="00D103DA" w:rsidRDefault="00B540C8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228" w:type="dxa"/>
            <w:tcBorders>
              <w:bottom w:val="single" w:sz="4" w:space="0" w:color="auto"/>
            </w:tcBorders>
          </w:tcPr>
          <w:p w14:paraId="01A43461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14:paraId="137A0C30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14:paraId="25FF3BCE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540C8" w:rsidRPr="00675412" w14:paraId="6367CA4F" w14:textId="77777777" w:rsidTr="00FC5331">
        <w:tc>
          <w:tcPr>
            <w:tcW w:w="212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CC65221" w14:textId="77777777" w:rsidR="00B540C8" w:rsidRDefault="00B540C8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228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498B0A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540C8" w:rsidRPr="00675412" w14:paraId="71FF86FB" w14:textId="77777777" w:rsidTr="00FC5331">
        <w:tc>
          <w:tcPr>
            <w:tcW w:w="2122" w:type="dxa"/>
            <w:shd w:val="clear" w:color="auto" w:fill="BFBFBF" w:themeFill="background1" w:themeFillShade="BF"/>
          </w:tcPr>
          <w:p w14:paraId="1FC92413" w14:textId="77777777" w:rsidR="00B540C8" w:rsidRDefault="00B540C8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14:paraId="0279AB8C" w14:textId="77777777" w:rsidR="00B540C8" w:rsidRDefault="00B540C8" w:rsidP="00644076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228" w:type="dxa"/>
            <w:tcBorders>
              <w:bottom w:val="single" w:sz="4" w:space="0" w:color="auto"/>
            </w:tcBorders>
          </w:tcPr>
          <w:p w14:paraId="4F15B7BF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14:paraId="7EA0984C" w14:textId="77777777" w:rsidR="00B540C8" w:rsidRPr="00675412" w:rsidRDefault="00B540C8" w:rsidP="00C755C6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14:paraId="72EA3042" w14:textId="77777777" w:rsidR="001E0D83" w:rsidRPr="00675412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14:paraId="1D4A5588" w14:textId="18E595FE" w:rsidR="001E0D83" w:rsidRPr="00675412" w:rsidRDefault="001E0D83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14:paraId="5B7A0ECF" w14:textId="77777777" w:rsidR="002A449C" w:rsidRPr="00675412" w:rsidRDefault="002A449C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14:paraId="5B7CC7E3" w14:textId="3243CE7B" w:rsidR="00D50655" w:rsidRPr="00D50655" w:rsidRDefault="00A32F43" w:rsidP="00D50655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mise en oeuvre</w:t>
      </w:r>
    </w:p>
    <w:p w14:paraId="5D0D2FF9" w14:textId="77777777" w:rsidR="00D50655" w:rsidRDefault="00D50655" w:rsidP="00D50655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438"/>
        <w:gridCol w:w="2438"/>
        <w:gridCol w:w="2438"/>
      </w:tblGrid>
      <w:tr w:rsidR="00D50655" w:rsidRPr="00EB02EC" w14:paraId="3971BCE4" w14:textId="77777777" w:rsidTr="00C76664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14:paraId="5DF63B7F" w14:textId="77777777" w:rsidR="00D50655" w:rsidRPr="00D103DA" w:rsidRDefault="00D50655" w:rsidP="00C76664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Horizon de mise en oeuvre</w:t>
            </w:r>
          </w:p>
        </w:tc>
        <w:tc>
          <w:tcPr>
            <w:tcW w:w="2438" w:type="dxa"/>
          </w:tcPr>
          <w:p w14:paraId="4A556162" w14:textId="77777777" w:rsidR="00D50655" w:rsidRPr="00785264" w:rsidRDefault="00D50655" w:rsidP="00C76664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785264">
              <w:rPr>
                <w:rFonts w:eastAsia="MS Mincho" w:cs="Times New Roman"/>
                <w:b/>
                <w:noProof/>
                <w:szCs w:val="32"/>
                <w:lang w:val="fr-FR"/>
              </w:rPr>
              <w:t>Avant la migration vers T2S</w:t>
            </w:r>
          </w:p>
        </w:tc>
        <w:tc>
          <w:tcPr>
            <w:tcW w:w="2438" w:type="dxa"/>
          </w:tcPr>
          <w:p w14:paraId="4885DC2B" w14:textId="77777777" w:rsidR="00D50655" w:rsidRPr="009637E5" w:rsidRDefault="00D50655" w:rsidP="00C76664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Lors du démarrage en production sur T2S</w:t>
            </w:r>
          </w:p>
        </w:tc>
        <w:tc>
          <w:tcPr>
            <w:tcW w:w="2438" w:type="dxa"/>
          </w:tcPr>
          <w:p w14:paraId="525C4938" w14:textId="77777777" w:rsidR="00D50655" w:rsidRPr="009637E5" w:rsidRDefault="00D50655" w:rsidP="00C76664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Après la migration vers T2S</w:t>
            </w:r>
          </w:p>
        </w:tc>
      </w:tr>
      <w:tr w:rsidR="00D50655" w14:paraId="2DFADC95" w14:textId="77777777" w:rsidTr="00C76664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683E9C" w14:textId="77777777" w:rsidR="00D50655" w:rsidRDefault="00D50655" w:rsidP="00C76664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14:paraId="4936C0F6" w14:textId="77777777" w:rsidR="00D50655" w:rsidRDefault="00D50655" w:rsidP="00C76664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14:paraId="5495727C" w14:textId="77777777" w:rsidR="00D50655" w:rsidRPr="00785264" w:rsidRDefault="00D50655" w:rsidP="00C76664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</w:p>
          <w:p w14:paraId="0455E614" w14:textId="77777777" w:rsidR="00D50655" w:rsidRDefault="00D50655" w:rsidP="00C76664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6E68375F" w14:textId="77777777" w:rsidR="00D50655" w:rsidRDefault="00D50655" w:rsidP="00C76664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14:paraId="2F213ADD" w14:textId="77777777" w:rsidR="00D50655" w:rsidRPr="00785264" w:rsidRDefault="00D50655" w:rsidP="00C76664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DBF3CC" w14:textId="77777777" w:rsidR="00D50655" w:rsidRDefault="00D50655" w:rsidP="00C76664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14:paraId="1924A5D7" w14:textId="77777777" w:rsidR="00D50655" w:rsidRPr="00785264" w:rsidRDefault="00D50655" w:rsidP="00C76664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</w:tbl>
    <w:p w14:paraId="0BED11CE" w14:textId="77777777" w:rsidR="00D50655" w:rsidRDefault="00D50655" w:rsidP="00D50655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14:paraId="3316154E" w14:textId="77777777" w:rsidR="00363E89" w:rsidRPr="00A32F43" w:rsidRDefault="00363E89" w:rsidP="00A32F4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363E89" w:rsidRPr="00A32F43" w:rsidSect="00C11073">
      <w:headerReference w:type="default" r:id="rId8"/>
      <w:footerReference w:type="default" r:id="rId9"/>
      <w:pgSz w:w="12240" w:h="15840"/>
      <w:pgMar w:top="284" w:right="1440" w:bottom="11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C1B20" w14:textId="77777777" w:rsidR="00E16A21" w:rsidRDefault="00E16A21" w:rsidP="006D6846">
      <w:pPr>
        <w:spacing w:after="0" w:line="240" w:lineRule="auto"/>
      </w:pPr>
      <w:r>
        <w:separator/>
      </w:r>
    </w:p>
  </w:endnote>
  <w:endnote w:type="continuationSeparator" w:id="0">
    <w:p w14:paraId="5D108BCA" w14:textId="77777777" w:rsidR="00E16A21" w:rsidRDefault="00E16A21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080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13FC70" w14:textId="1399FAA5" w:rsidR="00C11073" w:rsidRDefault="00C11073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6D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6D2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670A32" w14:textId="77777777" w:rsidR="0016209B" w:rsidRDefault="0016209B" w:rsidP="00C1107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87A16" w14:textId="77777777" w:rsidR="00E16A21" w:rsidRDefault="00E16A21" w:rsidP="006D6846">
      <w:pPr>
        <w:spacing w:after="0" w:line="240" w:lineRule="auto"/>
      </w:pPr>
      <w:r>
        <w:separator/>
      </w:r>
    </w:p>
  </w:footnote>
  <w:footnote w:type="continuationSeparator" w:id="0">
    <w:p w14:paraId="50118C3A" w14:textId="77777777" w:rsidR="00E16A21" w:rsidRDefault="00E16A21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41" w:rightFromText="141" w:horzAnchor="page" w:tblpX="1006" w:tblpY="240"/>
      <w:tblW w:w="1058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4220"/>
    </w:tblGrid>
    <w:tr w:rsidR="00C11073" w14:paraId="0A685E1E" w14:textId="77777777" w:rsidTr="00C11073">
      <w:trPr>
        <w:trHeight w:val="833"/>
      </w:trPr>
      <w:tc>
        <w:tcPr>
          <w:tcW w:w="6367" w:type="dxa"/>
          <w:vAlign w:val="center"/>
        </w:tcPr>
        <w:p w14:paraId="22286F72" w14:textId="77777777" w:rsidR="00C11073" w:rsidRDefault="00C11073" w:rsidP="00C11073">
          <w:pPr>
            <w:pStyle w:val="Header"/>
            <w:jc w:val="center"/>
            <w:rPr>
              <w:b/>
              <w:lang w:val="fr-FR"/>
            </w:rPr>
          </w:pPr>
          <w:r w:rsidRPr="007F6CFC">
            <w:rPr>
              <w:b/>
              <w:lang w:val="fr-FR"/>
            </w:rPr>
            <w:t>Groupe d’Adaptation des Pratiques de Marché T2S</w:t>
          </w:r>
        </w:p>
        <w:p w14:paraId="04482A21" w14:textId="77777777" w:rsidR="00C11073" w:rsidRDefault="00C11073" w:rsidP="00C11073">
          <w:pPr>
            <w:pStyle w:val="Header"/>
            <w:jc w:val="center"/>
            <w:rPr>
              <w:b/>
              <w:lang w:val="fr-FR"/>
            </w:rPr>
          </w:pPr>
          <w:r>
            <w:rPr>
              <w:b/>
              <w:lang w:val="fr-FR"/>
            </w:rPr>
            <w:t>Fiche Pratique de marché</w:t>
          </w:r>
        </w:p>
      </w:tc>
      <w:tc>
        <w:tcPr>
          <w:tcW w:w="4220" w:type="dxa"/>
          <w:vAlign w:val="center"/>
        </w:tcPr>
        <w:p w14:paraId="5F84F2ED" w14:textId="77777777" w:rsidR="00C11073" w:rsidRDefault="00C11073" w:rsidP="00C11073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34619EDC" wp14:editId="20182A80">
                <wp:extent cx="1032931" cy="516467"/>
                <wp:effectExtent l="0" t="0" r="0" b="0"/>
                <wp:docPr id="34" name="Imag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object w:dxaOrig="7200" w:dyaOrig="4605" w14:anchorId="76B8949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6pt;height:54pt" o:ole="">
                <v:imagedata r:id="rId2" o:title=""/>
              </v:shape>
              <o:OLEObject Type="Embed" ProgID="PBrush" ShapeID="_x0000_i1025" DrawAspect="Content" ObjectID="_1540784138" r:id="rId3"/>
            </w:object>
          </w:r>
        </w:p>
      </w:tc>
    </w:tr>
    <w:tr w:rsidR="00C11073" w:rsidRPr="00EB02EC" w14:paraId="5D76DF4E" w14:textId="77777777" w:rsidTr="00C11073">
      <w:trPr>
        <w:trHeight w:val="271"/>
      </w:trPr>
      <w:tc>
        <w:tcPr>
          <w:tcW w:w="6367" w:type="dxa"/>
          <w:vAlign w:val="center"/>
        </w:tcPr>
        <w:p w14:paraId="60EF6D94" w14:textId="6AD63AD3" w:rsidR="00C11073" w:rsidRPr="00EC776F" w:rsidRDefault="00C11073" w:rsidP="00D30DCB">
          <w:pPr>
            <w:pStyle w:val="Header"/>
            <w:jc w:val="center"/>
            <w:rPr>
              <w:i/>
              <w:lang w:val="fr-FR"/>
            </w:rPr>
          </w:pPr>
          <w:r>
            <w:rPr>
              <w:i/>
              <w:lang w:val="fr-FR"/>
            </w:rPr>
            <w:t xml:space="preserve">Référence de la pratique : </w:t>
          </w:r>
          <w:r w:rsidRPr="00922B9C">
            <w:rPr>
              <w:i/>
              <w:lang w:val="fr-FR"/>
            </w:rPr>
            <w:t>MS-</w:t>
          </w:r>
          <w:r>
            <w:rPr>
              <w:i/>
              <w:lang w:val="fr-FR"/>
            </w:rPr>
            <w:t>SETTL-FRANCO-0</w:t>
          </w:r>
          <w:r w:rsidR="00D30DCB">
            <w:rPr>
              <w:i/>
              <w:lang w:val="fr-FR"/>
            </w:rPr>
            <w:t>4</w:t>
          </w:r>
        </w:p>
      </w:tc>
      <w:tc>
        <w:tcPr>
          <w:tcW w:w="4220" w:type="dxa"/>
          <w:vAlign w:val="center"/>
        </w:tcPr>
        <w:p w14:paraId="5C4BA7F2" w14:textId="77777777" w:rsidR="00C11073" w:rsidRPr="00EC776F" w:rsidRDefault="00C11073" w:rsidP="00C11073">
          <w:pPr>
            <w:pStyle w:val="Header"/>
            <w:jc w:val="center"/>
            <w:rPr>
              <w:noProof/>
              <w:lang w:val="fr-FR"/>
            </w:rPr>
          </w:pPr>
        </w:p>
      </w:tc>
    </w:tr>
  </w:tbl>
  <w:p w14:paraId="64343C97" w14:textId="77777777" w:rsidR="00C11073" w:rsidRPr="00C11073" w:rsidRDefault="00C11073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38B"/>
    <w:multiLevelType w:val="hybridMultilevel"/>
    <w:tmpl w:val="D4E055C6"/>
    <w:lvl w:ilvl="0" w:tplc="D536161E">
      <w:start w:val="17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76FC"/>
    <w:multiLevelType w:val="hybridMultilevel"/>
    <w:tmpl w:val="0FEADF7C"/>
    <w:lvl w:ilvl="0" w:tplc="4FD8A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C7E57"/>
    <w:multiLevelType w:val="hybridMultilevel"/>
    <w:tmpl w:val="39D02832"/>
    <w:lvl w:ilvl="0" w:tplc="3D066D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4072E"/>
    <w:multiLevelType w:val="hybridMultilevel"/>
    <w:tmpl w:val="50F8A71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5ACA430">
      <w:numFmt w:val="bullet"/>
      <w:lvlText w:val="-"/>
      <w:lvlJc w:val="left"/>
      <w:pPr>
        <w:ind w:left="1800" w:hanging="720"/>
      </w:pPr>
      <w:rPr>
        <w:rFonts w:ascii="Calibri" w:eastAsia="MS Mincho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74AEE"/>
    <w:multiLevelType w:val="hybridMultilevel"/>
    <w:tmpl w:val="86EED61A"/>
    <w:lvl w:ilvl="0" w:tplc="17C2B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E6F72"/>
    <w:multiLevelType w:val="hybridMultilevel"/>
    <w:tmpl w:val="856C163C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6E452059"/>
    <w:multiLevelType w:val="hybridMultilevel"/>
    <w:tmpl w:val="0866A86C"/>
    <w:lvl w:ilvl="0" w:tplc="9BA8E9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4093E"/>
    <w:rsid w:val="00077E8A"/>
    <w:rsid w:val="0008600C"/>
    <w:rsid w:val="000C18EB"/>
    <w:rsid w:val="000C1C9B"/>
    <w:rsid w:val="000C5516"/>
    <w:rsid w:val="000E3BCE"/>
    <w:rsid w:val="000E438A"/>
    <w:rsid w:val="0016209B"/>
    <w:rsid w:val="00170DA3"/>
    <w:rsid w:val="00180CFE"/>
    <w:rsid w:val="001B1E38"/>
    <w:rsid w:val="001D7830"/>
    <w:rsid w:val="001E0D83"/>
    <w:rsid w:val="002314CC"/>
    <w:rsid w:val="002615A0"/>
    <w:rsid w:val="00275D4E"/>
    <w:rsid w:val="00291650"/>
    <w:rsid w:val="002A449C"/>
    <w:rsid w:val="002E2ECC"/>
    <w:rsid w:val="00343B9E"/>
    <w:rsid w:val="00363E89"/>
    <w:rsid w:val="003B3DA4"/>
    <w:rsid w:val="00417262"/>
    <w:rsid w:val="00420E79"/>
    <w:rsid w:val="00421D0F"/>
    <w:rsid w:val="00443A1F"/>
    <w:rsid w:val="00452AB5"/>
    <w:rsid w:val="00453026"/>
    <w:rsid w:val="00454884"/>
    <w:rsid w:val="004615F9"/>
    <w:rsid w:val="0046467D"/>
    <w:rsid w:val="00473F08"/>
    <w:rsid w:val="00483D8D"/>
    <w:rsid w:val="00494FE4"/>
    <w:rsid w:val="004957D8"/>
    <w:rsid w:val="004B3BDA"/>
    <w:rsid w:val="004B4305"/>
    <w:rsid w:val="004C283B"/>
    <w:rsid w:val="004C32FD"/>
    <w:rsid w:val="004E64C5"/>
    <w:rsid w:val="004F6025"/>
    <w:rsid w:val="005061BA"/>
    <w:rsid w:val="0052076F"/>
    <w:rsid w:val="00533C3A"/>
    <w:rsid w:val="0059032C"/>
    <w:rsid w:val="00601732"/>
    <w:rsid w:val="00610CC8"/>
    <w:rsid w:val="00612819"/>
    <w:rsid w:val="006230B7"/>
    <w:rsid w:val="00675412"/>
    <w:rsid w:val="006C57CA"/>
    <w:rsid w:val="006D6846"/>
    <w:rsid w:val="00727BF7"/>
    <w:rsid w:val="00754D2E"/>
    <w:rsid w:val="00765664"/>
    <w:rsid w:val="00776FDB"/>
    <w:rsid w:val="00797C57"/>
    <w:rsid w:val="007C13C4"/>
    <w:rsid w:val="007F15E0"/>
    <w:rsid w:val="007F6CFC"/>
    <w:rsid w:val="00800E18"/>
    <w:rsid w:val="00862737"/>
    <w:rsid w:val="008751AF"/>
    <w:rsid w:val="00890300"/>
    <w:rsid w:val="00893912"/>
    <w:rsid w:val="00933237"/>
    <w:rsid w:val="0096310C"/>
    <w:rsid w:val="00964D96"/>
    <w:rsid w:val="00973FF3"/>
    <w:rsid w:val="0097539D"/>
    <w:rsid w:val="00982218"/>
    <w:rsid w:val="009B6D27"/>
    <w:rsid w:val="009D3817"/>
    <w:rsid w:val="009E5308"/>
    <w:rsid w:val="00A02DBD"/>
    <w:rsid w:val="00A061D4"/>
    <w:rsid w:val="00A21489"/>
    <w:rsid w:val="00A32F43"/>
    <w:rsid w:val="00A67DB3"/>
    <w:rsid w:val="00A80EBC"/>
    <w:rsid w:val="00AA6538"/>
    <w:rsid w:val="00AB6CC1"/>
    <w:rsid w:val="00AE6B7F"/>
    <w:rsid w:val="00B0456F"/>
    <w:rsid w:val="00B12372"/>
    <w:rsid w:val="00B26098"/>
    <w:rsid w:val="00B42FCD"/>
    <w:rsid w:val="00B51834"/>
    <w:rsid w:val="00B540C8"/>
    <w:rsid w:val="00B5600F"/>
    <w:rsid w:val="00B71843"/>
    <w:rsid w:val="00BA66D3"/>
    <w:rsid w:val="00BE4C60"/>
    <w:rsid w:val="00C070B0"/>
    <w:rsid w:val="00C0767C"/>
    <w:rsid w:val="00C1000A"/>
    <w:rsid w:val="00C11073"/>
    <w:rsid w:val="00C21AA5"/>
    <w:rsid w:val="00C23EE1"/>
    <w:rsid w:val="00C329BD"/>
    <w:rsid w:val="00C561DB"/>
    <w:rsid w:val="00C60EC8"/>
    <w:rsid w:val="00C755C6"/>
    <w:rsid w:val="00C77C0A"/>
    <w:rsid w:val="00C84EA0"/>
    <w:rsid w:val="00CA3515"/>
    <w:rsid w:val="00CB3D2E"/>
    <w:rsid w:val="00CB789E"/>
    <w:rsid w:val="00CC0B75"/>
    <w:rsid w:val="00CC1C26"/>
    <w:rsid w:val="00CD01E4"/>
    <w:rsid w:val="00CE06A4"/>
    <w:rsid w:val="00CE5BAA"/>
    <w:rsid w:val="00D103DA"/>
    <w:rsid w:val="00D30DCB"/>
    <w:rsid w:val="00D428A9"/>
    <w:rsid w:val="00D50655"/>
    <w:rsid w:val="00D53037"/>
    <w:rsid w:val="00D661E3"/>
    <w:rsid w:val="00D76866"/>
    <w:rsid w:val="00D92BF0"/>
    <w:rsid w:val="00DA43F9"/>
    <w:rsid w:val="00DA7878"/>
    <w:rsid w:val="00DB106F"/>
    <w:rsid w:val="00DE3451"/>
    <w:rsid w:val="00E16A21"/>
    <w:rsid w:val="00E206BA"/>
    <w:rsid w:val="00E50F17"/>
    <w:rsid w:val="00E9152F"/>
    <w:rsid w:val="00EB02EC"/>
    <w:rsid w:val="00EC353B"/>
    <w:rsid w:val="00F00BF4"/>
    <w:rsid w:val="00F51F4D"/>
    <w:rsid w:val="00F805C0"/>
    <w:rsid w:val="00F81BF0"/>
    <w:rsid w:val="00F86125"/>
    <w:rsid w:val="00FA26FA"/>
    <w:rsid w:val="00FA627B"/>
    <w:rsid w:val="00FB3AEB"/>
    <w:rsid w:val="00FC5331"/>
    <w:rsid w:val="00FF07B1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72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53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1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1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1A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653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538"/>
    <w:rPr>
      <w:rFonts w:ascii="Times New Roman" w:hAnsi="Times New Roman" w:cs="Times New Roman"/>
      <w:b/>
      <w:bCs/>
      <w:sz w:val="36"/>
      <w:szCs w:val="36"/>
      <w:lang w:val="fr-FR" w:eastAsia="fr-FR"/>
    </w:rPr>
  </w:style>
  <w:style w:type="character" w:customStyle="1" w:styleId="ui-panel-title">
    <w:name w:val="ui-panel-title"/>
    <w:basedOn w:val="DefaultParagraphFont"/>
    <w:rsid w:val="00AA6538"/>
  </w:style>
  <w:style w:type="character" w:customStyle="1" w:styleId="italic">
    <w:name w:val="italic"/>
    <w:basedOn w:val="DefaultParagraphFont"/>
    <w:rsid w:val="00AA65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53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1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1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1A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653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538"/>
    <w:rPr>
      <w:rFonts w:ascii="Times New Roman" w:hAnsi="Times New Roman" w:cs="Times New Roman"/>
      <w:b/>
      <w:bCs/>
      <w:sz w:val="36"/>
      <w:szCs w:val="36"/>
      <w:lang w:val="fr-FR" w:eastAsia="fr-FR"/>
    </w:rPr>
  </w:style>
  <w:style w:type="character" w:customStyle="1" w:styleId="ui-panel-title">
    <w:name w:val="ui-panel-title"/>
    <w:basedOn w:val="DefaultParagraphFont"/>
    <w:rsid w:val="00AA6538"/>
  </w:style>
  <w:style w:type="character" w:customStyle="1" w:styleId="italic">
    <w:name w:val="italic"/>
    <w:basedOn w:val="DefaultParagraphFont"/>
    <w:rsid w:val="00AA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François DUBRAU</cp:lastModifiedBy>
  <cp:revision>26</cp:revision>
  <cp:lastPrinted>2015-10-26T16:24:00Z</cp:lastPrinted>
  <dcterms:created xsi:type="dcterms:W3CDTF">2016-09-08T15:07:00Z</dcterms:created>
  <dcterms:modified xsi:type="dcterms:W3CDTF">2016-11-16T05:49:00Z</dcterms:modified>
</cp:coreProperties>
</file>