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53D79A" w14:textId="77777777" w:rsidR="00C11073" w:rsidRDefault="00C11073" w:rsidP="001B1E38">
      <w:pPr>
        <w:tabs>
          <w:tab w:val="left" w:pos="9356"/>
        </w:tabs>
        <w:ind w:right="-279"/>
        <w:rPr>
          <w:sz w:val="36"/>
          <w:lang w:val="fr-FR"/>
        </w:rPr>
      </w:pPr>
      <w:bookmarkStart w:id="0" w:name="_GoBack"/>
      <w:bookmarkEnd w:id="0"/>
    </w:p>
    <w:p w14:paraId="141FC703" w14:textId="77777777" w:rsidR="00C11073" w:rsidRPr="00C11073" w:rsidRDefault="004E64C5" w:rsidP="00C11073">
      <w:pPr>
        <w:pBdr>
          <w:top w:val="single" w:sz="4" w:space="1" w:color="auto"/>
          <w:left w:val="single" w:sz="4" w:space="4" w:color="auto"/>
          <w:bottom w:val="single" w:sz="4" w:space="1" w:color="auto"/>
          <w:right w:val="single" w:sz="4" w:space="4" w:color="auto"/>
        </w:pBdr>
        <w:shd w:val="pct12" w:color="000000" w:fill="FFFFFF"/>
        <w:spacing w:after="0" w:line="240" w:lineRule="auto"/>
        <w:jc w:val="center"/>
        <w:rPr>
          <w:noProof/>
          <w:sz w:val="44"/>
          <w:lang w:val="fr-FR"/>
        </w:rPr>
      </w:pPr>
      <w:r w:rsidRPr="00C11073">
        <w:rPr>
          <w:noProof/>
          <w:sz w:val="44"/>
          <w:lang w:val="fr-FR"/>
        </w:rPr>
        <w:t xml:space="preserve">Conversions </w:t>
      </w:r>
    </w:p>
    <w:p w14:paraId="2883B3E1" w14:textId="22227371" w:rsidR="004E64C5" w:rsidRPr="00C11073" w:rsidRDefault="004E64C5" w:rsidP="00C11073">
      <w:pPr>
        <w:pBdr>
          <w:top w:val="single" w:sz="4" w:space="1" w:color="auto"/>
          <w:left w:val="single" w:sz="4" w:space="4" w:color="auto"/>
          <w:bottom w:val="single" w:sz="4" w:space="1" w:color="auto"/>
          <w:right w:val="single" w:sz="4" w:space="4" w:color="auto"/>
        </w:pBdr>
        <w:shd w:val="pct12" w:color="000000" w:fill="FFFFFF"/>
        <w:spacing w:after="0" w:line="240" w:lineRule="auto"/>
        <w:jc w:val="center"/>
        <w:rPr>
          <w:noProof/>
          <w:sz w:val="44"/>
          <w:lang w:val="fr-FR"/>
        </w:rPr>
      </w:pPr>
      <w:r w:rsidRPr="00C11073">
        <w:rPr>
          <w:noProof/>
          <w:sz w:val="44"/>
          <w:lang w:val="fr-FR"/>
        </w:rPr>
        <w:t>(changement de forme des titres)</w:t>
      </w:r>
    </w:p>
    <w:p w14:paraId="7A142F1A" w14:textId="77777777" w:rsidR="001B1E38" w:rsidRDefault="001B1E38" w:rsidP="006D6846">
      <w:pPr>
        <w:tabs>
          <w:tab w:val="left" w:pos="9356"/>
        </w:tabs>
        <w:ind w:right="-279"/>
        <w:rPr>
          <w:lang w:val="fr-FR"/>
        </w:rPr>
      </w:pPr>
    </w:p>
    <w:tbl>
      <w:tblPr>
        <w:tblStyle w:val="Grilledutableau"/>
        <w:tblW w:w="0" w:type="auto"/>
        <w:tblLook w:val="04A0" w:firstRow="1" w:lastRow="0" w:firstColumn="1" w:lastColumn="0" w:noHBand="0" w:noVBand="1"/>
      </w:tblPr>
      <w:tblGrid>
        <w:gridCol w:w="1230"/>
        <w:gridCol w:w="2680"/>
        <w:gridCol w:w="5440"/>
      </w:tblGrid>
      <w:tr w:rsidR="004F6025" w14:paraId="51BBC5CB" w14:textId="77777777" w:rsidTr="00C11073">
        <w:tc>
          <w:tcPr>
            <w:tcW w:w="1230" w:type="dxa"/>
            <w:vMerge w:val="restart"/>
            <w:shd w:val="clear" w:color="auto" w:fill="BFBFBF" w:themeFill="background1" w:themeFillShade="BF"/>
          </w:tcPr>
          <w:p w14:paraId="735FEB15" w14:textId="77777777" w:rsidR="004F6025" w:rsidRPr="004F6025" w:rsidRDefault="004F6025" w:rsidP="006D6846">
            <w:pPr>
              <w:tabs>
                <w:tab w:val="left" w:pos="9356"/>
              </w:tabs>
              <w:ind w:right="-279"/>
              <w:rPr>
                <w:b/>
                <w:lang w:val="fr-FR"/>
              </w:rPr>
            </w:pPr>
            <w:r w:rsidRPr="004F6025">
              <w:rPr>
                <w:b/>
                <w:lang w:val="fr-FR"/>
              </w:rPr>
              <w:t>Versioning</w:t>
            </w:r>
          </w:p>
        </w:tc>
        <w:tc>
          <w:tcPr>
            <w:tcW w:w="2680" w:type="dxa"/>
            <w:shd w:val="clear" w:color="auto" w:fill="F2F2F2" w:themeFill="background1" w:themeFillShade="F2"/>
          </w:tcPr>
          <w:p w14:paraId="41CA8189" w14:textId="77777777" w:rsidR="004F6025" w:rsidRDefault="004F6025" w:rsidP="006D6846">
            <w:pPr>
              <w:tabs>
                <w:tab w:val="left" w:pos="9356"/>
              </w:tabs>
              <w:ind w:right="-279"/>
              <w:rPr>
                <w:lang w:val="fr-FR"/>
              </w:rPr>
            </w:pPr>
            <w:r>
              <w:rPr>
                <w:lang w:val="fr-FR"/>
              </w:rPr>
              <w:t>Version</w:t>
            </w:r>
          </w:p>
        </w:tc>
        <w:tc>
          <w:tcPr>
            <w:tcW w:w="5440" w:type="dxa"/>
          </w:tcPr>
          <w:p w14:paraId="10D836D2" w14:textId="77777777" w:rsidR="004F6025" w:rsidRDefault="000C1C9B" w:rsidP="006D6846">
            <w:pPr>
              <w:tabs>
                <w:tab w:val="left" w:pos="9356"/>
              </w:tabs>
              <w:ind w:right="-279"/>
              <w:rPr>
                <w:lang w:val="fr-FR"/>
              </w:rPr>
            </w:pPr>
            <w:r>
              <w:rPr>
                <w:lang w:val="fr-FR"/>
              </w:rPr>
              <w:t>1.0</w:t>
            </w:r>
          </w:p>
        </w:tc>
      </w:tr>
      <w:tr w:rsidR="004F6025" w:rsidRPr="008751AF" w14:paraId="23E315D0" w14:textId="77777777" w:rsidTr="00C11073">
        <w:tc>
          <w:tcPr>
            <w:tcW w:w="1230" w:type="dxa"/>
            <w:vMerge/>
            <w:shd w:val="clear" w:color="auto" w:fill="BFBFBF" w:themeFill="background1" w:themeFillShade="BF"/>
          </w:tcPr>
          <w:p w14:paraId="5A6DD591" w14:textId="77777777" w:rsidR="004F6025" w:rsidRPr="004F6025" w:rsidRDefault="004F6025" w:rsidP="006D6846">
            <w:pPr>
              <w:tabs>
                <w:tab w:val="left" w:pos="9356"/>
              </w:tabs>
              <w:ind w:right="-279"/>
              <w:rPr>
                <w:b/>
                <w:lang w:val="fr-FR"/>
              </w:rPr>
            </w:pPr>
          </w:p>
        </w:tc>
        <w:tc>
          <w:tcPr>
            <w:tcW w:w="2680" w:type="dxa"/>
            <w:shd w:val="clear" w:color="auto" w:fill="F2F2F2" w:themeFill="background1" w:themeFillShade="F2"/>
          </w:tcPr>
          <w:p w14:paraId="42A6F3F1" w14:textId="77777777" w:rsidR="004F6025" w:rsidRDefault="004F6025" w:rsidP="001B1E38">
            <w:pPr>
              <w:tabs>
                <w:tab w:val="left" w:pos="9356"/>
              </w:tabs>
              <w:ind w:right="-279"/>
              <w:rPr>
                <w:lang w:val="fr-FR"/>
              </w:rPr>
            </w:pPr>
            <w:r>
              <w:rPr>
                <w:lang w:val="fr-FR"/>
              </w:rPr>
              <w:t>Date de mise à jour</w:t>
            </w:r>
          </w:p>
        </w:tc>
        <w:tc>
          <w:tcPr>
            <w:tcW w:w="5440" w:type="dxa"/>
          </w:tcPr>
          <w:p w14:paraId="19E93D58" w14:textId="14127F9D" w:rsidR="004F6025" w:rsidRPr="00B12372" w:rsidRDefault="00454884" w:rsidP="00454884">
            <w:pPr>
              <w:tabs>
                <w:tab w:val="left" w:pos="9356"/>
              </w:tabs>
              <w:ind w:right="-279"/>
              <w:rPr>
                <w:lang w:val="fr-FR"/>
              </w:rPr>
            </w:pPr>
            <w:r w:rsidRPr="00B12372">
              <w:rPr>
                <w:lang w:val="fr-FR"/>
              </w:rPr>
              <w:t xml:space="preserve">29 août </w:t>
            </w:r>
            <w:r w:rsidR="00CC0B75" w:rsidRPr="00B12372">
              <w:rPr>
                <w:lang w:val="fr-FR"/>
              </w:rPr>
              <w:t>2016</w:t>
            </w:r>
          </w:p>
        </w:tc>
      </w:tr>
    </w:tbl>
    <w:p w14:paraId="616818AB" w14:textId="0DCC4C13" w:rsidR="001E0D83" w:rsidRDefault="001E0D83">
      <w:pPr>
        <w:rPr>
          <w:lang w:val="fr-FR"/>
        </w:rPr>
      </w:pPr>
    </w:p>
    <w:p w14:paraId="076E7174" w14:textId="77777777" w:rsidR="00B26098" w:rsidRPr="004F6025" w:rsidRDefault="004F6025" w:rsidP="00982218">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w:t>
      </w:r>
      <w:r w:rsidR="00893912">
        <w:rPr>
          <w:rFonts w:eastAsia="MS Mincho" w:cs="Times New Roman"/>
          <w:b/>
          <w:caps/>
          <w:noProof/>
          <w:sz w:val="32"/>
          <w:szCs w:val="32"/>
          <w:lang w:val="fr-FR"/>
        </w:rPr>
        <w:t xml:space="preserve"> &amp; </w:t>
      </w:r>
      <w:r w:rsidR="00BA66D3">
        <w:rPr>
          <w:rFonts w:eastAsia="MS Mincho" w:cs="Times New Roman"/>
          <w:b/>
          <w:caps/>
          <w:noProof/>
          <w:sz w:val="32"/>
          <w:szCs w:val="32"/>
          <w:lang w:val="fr-FR"/>
        </w:rPr>
        <w:t xml:space="preserve">description des </w:t>
      </w:r>
      <w:r w:rsidR="00893912">
        <w:rPr>
          <w:rFonts w:eastAsia="MS Mincho" w:cs="Times New Roman"/>
          <w:b/>
          <w:caps/>
          <w:noProof/>
          <w:sz w:val="32"/>
          <w:szCs w:val="32"/>
          <w:lang w:val="fr-FR"/>
        </w:rPr>
        <w:t>Impacts</w:t>
      </w:r>
    </w:p>
    <w:p w14:paraId="33032A2F" w14:textId="77777777" w:rsidR="00B26098" w:rsidRPr="004F6025" w:rsidRDefault="00B26098" w:rsidP="00B26098">
      <w:pPr>
        <w:spacing w:after="0" w:line="240" w:lineRule="auto"/>
        <w:rPr>
          <w:rFonts w:eastAsia="MS Mincho" w:cs="Times New Roman"/>
          <w:noProof/>
          <w:szCs w:val="32"/>
          <w:lang w:val="fr-FR"/>
        </w:rPr>
      </w:pPr>
    </w:p>
    <w:tbl>
      <w:tblPr>
        <w:tblStyle w:val="Grilledutableau"/>
        <w:tblW w:w="0" w:type="auto"/>
        <w:tblLook w:val="04A0" w:firstRow="1" w:lastRow="0" w:firstColumn="1" w:lastColumn="0" w:noHBand="0" w:noVBand="1"/>
      </w:tblPr>
      <w:tblGrid>
        <w:gridCol w:w="2211"/>
        <w:gridCol w:w="7139"/>
      </w:tblGrid>
      <w:tr w:rsidR="00D103DA" w:rsidRPr="00B12372" w14:paraId="119FE31B" w14:textId="77777777" w:rsidTr="007F6CFC">
        <w:tc>
          <w:tcPr>
            <w:tcW w:w="2235" w:type="dxa"/>
            <w:tcBorders>
              <w:bottom w:val="single" w:sz="4" w:space="0" w:color="auto"/>
            </w:tcBorders>
            <w:shd w:val="clear" w:color="auto" w:fill="BFBFBF" w:themeFill="background1" w:themeFillShade="BF"/>
          </w:tcPr>
          <w:p w14:paraId="1B762C03" w14:textId="77777777"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341" w:type="dxa"/>
            <w:tcBorders>
              <w:bottom w:val="single" w:sz="4" w:space="0" w:color="auto"/>
            </w:tcBorders>
          </w:tcPr>
          <w:p w14:paraId="1F8327E3" w14:textId="77777777" w:rsidR="004E64C5" w:rsidRDefault="00A061D4" w:rsidP="00DA7878">
            <w:pPr>
              <w:jc w:val="both"/>
              <w:rPr>
                <w:rFonts w:eastAsia="MS Mincho" w:cs="Times New Roman"/>
                <w:noProof/>
                <w:szCs w:val="32"/>
                <w:lang w:val="fr-FR"/>
              </w:rPr>
            </w:pPr>
            <w:r>
              <w:rPr>
                <w:rFonts w:eastAsia="MS Mincho" w:cs="Times New Roman"/>
                <w:noProof/>
                <w:szCs w:val="32"/>
                <w:lang w:val="fr-FR"/>
              </w:rPr>
              <w:t>L</w:t>
            </w:r>
            <w:r w:rsidR="004E64C5">
              <w:rPr>
                <w:rFonts w:eastAsia="MS Mincho" w:cs="Times New Roman"/>
                <w:noProof/>
                <w:szCs w:val="32"/>
                <w:lang w:val="fr-FR"/>
              </w:rPr>
              <w:t>es conversions de forme de titres (conversions de pur à nominatif administré ou de nominatif administré à pur ou bien de pur à porteur et de porteur à pur) sont effectuées en utilisant des ordres de type « franco unilatéral » complétés d’un BRN qui comporte en principe le millésime.</w:t>
            </w:r>
          </w:p>
          <w:p w14:paraId="059DFD2B" w14:textId="77777777" w:rsidR="00E206BA" w:rsidRDefault="00E206BA" w:rsidP="00DA7878">
            <w:pPr>
              <w:jc w:val="both"/>
              <w:rPr>
                <w:rFonts w:eastAsia="MS Mincho" w:cs="Times New Roman"/>
                <w:noProof/>
                <w:szCs w:val="32"/>
                <w:lang w:val="fr-FR"/>
              </w:rPr>
            </w:pPr>
          </w:p>
          <w:p w14:paraId="19061BF6" w14:textId="1A998AE4" w:rsidR="00E206BA" w:rsidRDefault="00E206BA" w:rsidP="00DA7878">
            <w:pPr>
              <w:jc w:val="both"/>
              <w:rPr>
                <w:rFonts w:eastAsia="MS Mincho" w:cs="Times New Roman"/>
                <w:noProof/>
                <w:szCs w:val="32"/>
                <w:lang w:val="fr-FR"/>
              </w:rPr>
            </w:pPr>
            <w:r>
              <w:rPr>
                <w:rFonts w:eastAsia="MS Mincho" w:cs="Times New Roman"/>
                <w:noProof/>
                <w:szCs w:val="32"/>
                <w:lang w:val="fr-FR"/>
              </w:rPr>
              <w:t xml:space="preserve">Pour mémoire, lorsque le franco est émis par Euroclear, </w:t>
            </w:r>
            <w:r w:rsidR="00C561DB">
              <w:rPr>
                <w:rFonts w:eastAsia="MS Mincho" w:cs="Times New Roman"/>
                <w:noProof/>
                <w:szCs w:val="32"/>
                <w:lang w:val="fr-FR"/>
              </w:rPr>
              <w:t>l</w:t>
            </w:r>
            <w:r>
              <w:rPr>
                <w:rFonts w:eastAsia="MS Mincho" w:cs="Times New Roman"/>
                <w:noProof/>
                <w:szCs w:val="32"/>
                <w:lang w:val="fr-FR"/>
              </w:rPr>
              <w:t>e millésime qui figure dans le BRN e</w:t>
            </w:r>
            <w:r w:rsidR="00C561DB">
              <w:rPr>
                <w:rFonts w:eastAsia="MS Mincho" w:cs="Times New Roman"/>
                <w:noProof/>
                <w:szCs w:val="32"/>
                <w:lang w:val="fr-FR"/>
              </w:rPr>
              <w:t xml:space="preserve">st </w:t>
            </w:r>
            <w:r w:rsidR="00F51F4D">
              <w:rPr>
                <w:rFonts w:eastAsia="MS Mincho" w:cs="Times New Roman"/>
                <w:noProof/>
                <w:szCs w:val="32"/>
                <w:lang w:val="fr-FR"/>
              </w:rPr>
              <w:t>inté</w:t>
            </w:r>
            <w:r w:rsidR="00C561DB">
              <w:rPr>
                <w:rFonts w:eastAsia="MS Mincho" w:cs="Times New Roman"/>
                <w:noProof/>
                <w:szCs w:val="32"/>
                <w:lang w:val="fr-FR"/>
              </w:rPr>
              <w:t>gré</w:t>
            </w:r>
            <w:r>
              <w:rPr>
                <w:rFonts w:eastAsia="MS Mincho" w:cs="Times New Roman"/>
                <w:noProof/>
                <w:szCs w:val="32"/>
                <w:lang w:val="fr-FR"/>
              </w:rPr>
              <w:t xml:space="preserve"> dans la zone prévue à cet effet dans le franco.</w:t>
            </w:r>
          </w:p>
          <w:p w14:paraId="1A6B6ED5" w14:textId="77777777" w:rsidR="00DA7878" w:rsidRDefault="00DA7878" w:rsidP="00DA7878">
            <w:pPr>
              <w:jc w:val="both"/>
              <w:rPr>
                <w:rFonts w:eastAsia="MS Mincho" w:cs="Times New Roman"/>
                <w:noProof/>
                <w:szCs w:val="32"/>
                <w:lang w:val="fr-FR"/>
              </w:rPr>
            </w:pPr>
          </w:p>
          <w:p w14:paraId="1C49F171" w14:textId="77777777" w:rsidR="00C11073" w:rsidRDefault="00DA7878" w:rsidP="00DA7878">
            <w:pPr>
              <w:jc w:val="both"/>
              <w:rPr>
                <w:rFonts w:eastAsia="MS Mincho" w:cs="Times New Roman"/>
                <w:noProof/>
                <w:szCs w:val="32"/>
                <w:lang w:val="fr-FR"/>
              </w:rPr>
            </w:pPr>
            <w:r>
              <w:rPr>
                <w:rFonts w:eastAsia="MS Mincho" w:cs="Times New Roman"/>
                <w:noProof/>
                <w:szCs w:val="32"/>
                <w:lang w:val="fr-FR"/>
              </w:rPr>
              <w:t xml:space="preserve">Les établissements </w:t>
            </w:r>
            <w:r w:rsidR="00E206BA">
              <w:rPr>
                <w:rFonts w:eastAsia="MS Mincho" w:cs="Times New Roman"/>
                <w:noProof/>
                <w:szCs w:val="32"/>
                <w:lang w:val="fr-FR"/>
              </w:rPr>
              <w:t xml:space="preserve">ont </w:t>
            </w:r>
            <w:r w:rsidR="00797C57">
              <w:rPr>
                <w:rFonts w:eastAsia="MS Mincho" w:cs="Times New Roman"/>
                <w:noProof/>
                <w:szCs w:val="32"/>
                <w:lang w:val="fr-FR"/>
              </w:rPr>
              <w:t xml:space="preserve">également </w:t>
            </w:r>
            <w:r w:rsidR="00E206BA">
              <w:rPr>
                <w:rFonts w:eastAsia="MS Mincho" w:cs="Times New Roman"/>
                <w:noProof/>
                <w:szCs w:val="32"/>
                <w:lang w:val="fr-FR"/>
              </w:rPr>
              <w:t>envisagé de compléter ce dispositif en transmettant également</w:t>
            </w:r>
            <w:r>
              <w:rPr>
                <w:rFonts w:eastAsia="MS Mincho" w:cs="Times New Roman"/>
                <w:noProof/>
                <w:szCs w:val="32"/>
                <w:lang w:val="fr-FR"/>
              </w:rPr>
              <w:t xml:space="preserve"> les données fiscales de date à date, sous forme d’un échange bilatéral d’informations complémentaires lorsque les deux parties en ont convenu. </w:t>
            </w:r>
          </w:p>
          <w:p w14:paraId="799B20CE" w14:textId="77777777" w:rsidR="00C11073" w:rsidRDefault="00C11073" w:rsidP="00DA7878">
            <w:pPr>
              <w:jc w:val="both"/>
              <w:rPr>
                <w:rFonts w:eastAsia="MS Mincho" w:cs="Times New Roman"/>
                <w:noProof/>
                <w:szCs w:val="32"/>
                <w:lang w:val="fr-FR"/>
              </w:rPr>
            </w:pPr>
          </w:p>
          <w:p w14:paraId="26879947" w14:textId="438A7997" w:rsidR="00DA7878" w:rsidRDefault="00DA7878" w:rsidP="00DA7878">
            <w:pPr>
              <w:jc w:val="both"/>
              <w:rPr>
                <w:rFonts w:eastAsia="MS Mincho" w:cs="Times New Roman"/>
                <w:noProof/>
                <w:szCs w:val="32"/>
                <w:lang w:val="fr-FR"/>
              </w:rPr>
            </w:pPr>
            <w:r>
              <w:rPr>
                <w:rFonts w:eastAsia="MS Mincho" w:cs="Times New Roman"/>
                <w:noProof/>
                <w:szCs w:val="32"/>
                <w:lang w:val="fr-FR"/>
              </w:rPr>
              <w:t xml:space="preserve">Cette pratique s’inspirerait de celle décrite dans la communication </w:t>
            </w:r>
            <w:r w:rsidR="004C283B" w:rsidRPr="00CE6079">
              <w:rPr>
                <w:rFonts w:eastAsia="MS Mincho" w:cs="Times New Roman"/>
                <w:noProof/>
                <w:szCs w:val="32"/>
                <w:lang w:val="fr-FR"/>
              </w:rPr>
              <w:t xml:space="preserve">CFONB </w:t>
            </w:r>
            <w:r w:rsidR="00C11073">
              <w:rPr>
                <w:rFonts w:eastAsia="MS Mincho" w:cs="Times New Roman"/>
                <w:noProof/>
                <w:szCs w:val="32"/>
                <w:lang w:val="fr-FR"/>
              </w:rPr>
              <w:t xml:space="preserve">n° </w:t>
            </w:r>
            <w:r w:rsidR="004C283B" w:rsidRPr="00CE6079">
              <w:rPr>
                <w:rFonts w:eastAsia="MS Mincho" w:cs="Times New Roman"/>
                <w:noProof/>
                <w:szCs w:val="32"/>
                <w:lang w:val="fr-FR"/>
              </w:rPr>
              <w:t xml:space="preserve">20150024 du 5 mai 2015 </w:t>
            </w:r>
            <w:r w:rsidRPr="005C7294">
              <w:rPr>
                <w:rFonts w:eastAsia="MS Mincho" w:cs="Times New Roman"/>
                <w:noProof/>
                <w:szCs w:val="32"/>
                <w:lang w:val="fr-FR"/>
              </w:rPr>
              <w:t xml:space="preserve">en vigueur sur les transferts de portefeuille </w:t>
            </w:r>
            <w:r w:rsidR="00797C57">
              <w:rPr>
                <w:rFonts w:eastAsia="MS Mincho" w:cs="Times New Roman"/>
                <w:noProof/>
                <w:szCs w:val="32"/>
                <w:lang w:val="fr-FR"/>
              </w:rPr>
              <w:t xml:space="preserve">entre TCC </w:t>
            </w:r>
            <w:r>
              <w:rPr>
                <w:rFonts w:eastAsia="MS Mincho" w:cs="Times New Roman"/>
                <w:noProof/>
                <w:szCs w:val="32"/>
                <w:lang w:val="fr-FR"/>
              </w:rPr>
              <w:t>qui renvoit elle-même à la</w:t>
            </w:r>
            <w:r w:rsidRPr="005C7294">
              <w:rPr>
                <w:rFonts w:eastAsia="MS Mincho" w:cs="Times New Roman"/>
                <w:noProof/>
                <w:szCs w:val="32"/>
                <w:lang w:val="fr-FR"/>
              </w:rPr>
              <w:t xml:space="preserve"> communication </w:t>
            </w:r>
            <w:r w:rsidR="00C11073">
              <w:rPr>
                <w:rFonts w:eastAsia="MS Mincho" w:cs="Times New Roman"/>
                <w:noProof/>
                <w:szCs w:val="32"/>
                <w:lang w:val="fr-FR"/>
              </w:rPr>
              <w:t xml:space="preserve">CFONB n° </w:t>
            </w:r>
            <w:r w:rsidR="00C11073" w:rsidRPr="005C7294">
              <w:rPr>
                <w:rFonts w:eastAsia="MS Mincho" w:cs="Times New Roman"/>
                <w:noProof/>
                <w:szCs w:val="32"/>
                <w:lang w:val="fr-FR"/>
              </w:rPr>
              <w:t>2006378</w:t>
            </w:r>
            <w:r w:rsidRPr="005C7294">
              <w:rPr>
                <w:rFonts w:eastAsia="MS Mincho" w:cs="Times New Roman"/>
                <w:noProof/>
                <w:szCs w:val="32"/>
                <w:lang w:val="fr-FR"/>
              </w:rPr>
              <w:t>  du 14 novembre 2006</w:t>
            </w:r>
            <w:r w:rsidR="00C11073">
              <w:rPr>
                <w:rFonts w:eastAsia="MS Mincho" w:cs="Times New Roman"/>
                <w:noProof/>
                <w:szCs w:val="32"/>
                <w:lang w:val="fr-FR"/>
              </w:rPr>
              <w:t>.</w:t>
            </w:r>
          </w:p>
          <w:p w14:paraId="3B0FFF9A" w14:textId="77777777" w:rsidR="004E64C5" w:rsidRDefault="004E64C5" w:rsidP="00DA7878">
            <w:pPr>
              <w:jc w:val="both"/>
              <w:rPr>
                <w:rFonts w:eastAsia="MS Mincho" w:cs="Times New Roman"/>
                <w:noProof/>
                <w:szCs w:val="32"/>
                <w:lang w:val="fr-FR"/>
              </w:rPr>
            </w:pPr>
          </w:p>
          <w:p w14:paraId="39DA9556" w14:textId="5D76E221" w:rsidR="00DA7878" w:rsidRDefault="00DA7878" w:rsidP="00DA7878">
            <w:pPr>
              <w:jc w:val="both"/>
              <w:rPr>
                <w:rFonts w:eastAsia="MS Mincho" w:cs="Times New Roman"/>
                <w:noProof/>
                <w:szCs w:val="32"/>
                <w:lang w:val="fr-FR"/>
              </w:rPr>
            </w:pPr>
            <w:r>
              <w:rPr>
                <w:rFonts w:eastAsia="MS Mincho" w:cs="Times New Roman"/>
                <w:noProof/>
                <w:szCs w:val="32"/>
                <w:lang w:val="fr-FR"/>
              </w:rPr>
              <w:t>Cela permettrait aux TCC ainsi qu’aux teneurs de registres qui le souhaite</w:t>
            </w:r>
            <w:r w:rsidR="00797C57">
              <w:rPr>
                <w:rFonts w:eastAsia="MS Mincho" w:cs="Times New Roman"/>
                <w:noProof/>
                <w:szCs w:val="32"/>
                <w:lang w:val="fr-FR"/>
              </w:rPr>
              <w:t>raie</w:t>
            </w:r>
            <w:r w:rsidR="00A80EBC">
              <w:rPr>
                <w:rFonts w:eastAsia="MS Mincho" w:cs="Times New Roman"/>
                <w:noProof/>
                <w:szCs w:val="32"/>
                <w:lang w:val="fr-FR"/>
              </w:rPr>
              <w:t xml:space="preserve">nt d’enrichir leur </w:t>
            </w:r>
            <w:r>
              <w:rPr>
                <w:rFonts w:eastAsia="MS Mincho" w:cs="Times New Roman"/>
                <w:noProof/>
                <w:szCs w:val="32"/>
                <w:lang w:val="fr-FR"/>
              </w:rPr>
              <w:t>référentiel fiscal.</w:t>
            </w:r>
          </w:p>
        </w:tc>
      </w:tr>
      <w:tr w:rsidR="00D103DA" w:rsidRPr="00B12372" w14:paraId="576B6E90" w14:textId="77777777" w:rsidTr="00C1000A">
        <w:tc>
          <w:tcPr>
            <w:tcW w:w="2235" w:type="dxa"/>
            <w:tcBorders>
              <w:left w:val="nil"/>
              <w:right w:val="nil"/>
            </w:tcBorders>
          </w:tcPr>
          <w:p w14:paraId="3DD834A3" w14:textId="77777777" w:rsidR="00D103DA" w:rsidRPr="00FF4EFB" w:rsidRDefault="00D103DA" w:rsidP="00B26098">
            <w:pPr>
              <w:rPr>
                <w:rFonts w:eastAsia="MS Mincho" w:cs="Times New Roman"/>
                <w:b/>
                <w:noProof/>
                <w:sz w:val="2"/>
                <w:szCs w:val="32"/>
                <w:lang w:val="fr-FR"/>
              </w:rPr>
            </w:pPr>
          </w:p>
          <w:p w14:paraId="2A68230A" w14:textId="77777777" w:rsidR="00E206BA" w:rsidRPr="00D103DA" w:rsidRDefault="00E206BA" w:rsidP="00B26098">
            <w:pPr>
              <w:rPr>
                <w:rFonts w:eastAsia="MS Mincho" w:cs="Times New Roman"/>
                <w:b/>
                <w:noProof/>
                <w:szCs w:val="32"/>
                <w:lang w:val="fr-FR"/>
              </w:rPr>
            </w:pPr>
          </w:p>
        </w:tc>
        <w:tc>
          <w:tcPr>
            <w:tcW w:w="7341" w:type="dxa"/>
            <w:tcBorders>
              <w:left w:val="nil"/>
              <w:right w:val="nil"/>
            </w:tcBorders>
          </w:tcPr>
          <w:p w14:paraId="7814F798" w14:textId="77777777" w:rsidR="00D103DA" w:rsidRDefault="00D103DA" w:rsidP="00B26098">
            <w:pPr>
              <w:rPr>
                <w:rFonts w:eastAsia="MS Mincho" w:cs="Times New Roman"/>
                <w:noProof/>
                <w:szCs w:val="32"/>
                <w:lang w:val="fr-FR"/>
              </w:rPr>
            </w:pPr>
          </w:p>
        </w:tc>
      </w:tr>
      <w:tr w:rsidR="004E64C5" w:rsidRPr="00B12372" w14:paraId="197118F5" w14:textId="77777777" w:rsidTr="00644076">
        <w:tc>
          <w:tcPr>
            <w:tcW w:w="2235" w:type="dxa"/>
            <w:tcBorders>
              <w:bottom w:val="single" w:sz="4" w:space="0" w:color="auto"/>
            </w:tcBorders>
            <w:shd w:val="clear" w:color="auto" w:fill="BFBFBF" w:themeFill="background1" w:themeFillShade="BF"/>
          </w:tcPr>
          <w:p w14:paraId="4F7D7D54" w14:textId="77777777" w:rsidR="004E64C5" w:rsidRDefault="004E64C5" w:rsidP="00644076">
            <w:pPr>
              <w:rPr>
                <w:rFonts w:eastAsia="MS Mincho" w:cs="Times New Roman"/>
                <w:b/>
                <w:noProof/>
                <w:szCs w:val="32"/>
                <w:lang w:val="fr-FR"/>
              </w:rPr>
            </w:pPr>
            <w:r>
              <w:rPr>
                <w:rFonts w:eastAsia="MS Mincho" w:cs="Times New Roman"/>
                <w:b/>
                <w:noProof/>
                <w:szCs w:val="32"/>
                <w:lang w:val="fr-FR"/>
              </w:rPr>
              <w:t>Description de l’impact de T2S</w:t>
            </w:r>
          </w:p>
          <w:p w14:paraId="1C3DD264" w14:textId="77777777" w:rsidR="00E50F17" w:rsidRDefault="00E50F17" w:rsidP="00644076">
            <w:pPr>
              <w:rPr>
                <w:rFonts w:eastAsia="MS Mincho" w:cs="Times New Roman"/>
                <w:b/>
                <w:noProof/>
                <w:szCs w:val="32"/>
                <w:lang w:val="fr-FR"/>
              </w:rPr>
            </w:pPr>
          </w:p>
          <w:p w14:paraId="0ABCF5C3" w14:textId="77777777" w:rsidR="00E50F17" w:rsidRPr="00D103DA" w:rsidRDefault="00E50F17" w:rsidP="00644076">
            <w:pPr>
              <w:rPr>
                <w:rFonts w:eastAsia="MS Mincho" w:cs="Times New Roman"/>
                <w:b/>
                <w:noProof/>
                <w:szCs w:val="32"/>
                <w:lang w:val="fr-FR"/>
              </w:rPr>
            </w:pPr>
          </w:p>
        </w:tc>
        <w:tc>
          <w:tcPr>
            <w:tcW w:w="7341" w:type="dxa"/>
            <w:tcBorders>
              <w:bottom w:val="single" w:sz="4" w:space="0" w:color="auto"/>
            </w:tcBorders>
          </w:tcPr>
          <w:p w14:paraId="6C796F85" w14:textId="4E5FB50A" w:rsidR="00E50F17" w:rsidRDefault="00E50F17" w:rsidP="00E50F17">
            <w:pPr>
              <w:jc w:val="both"/>
              <w:rPr>
                <w:rFonts w:eastAsia="MS Mincho" w:cstheme="minorHAnsi"/>
                <w:noProof/>
                <w:szCs w:val="32"/>
                <w:lang w:val="fr-FR"/>
              </w:rPr>
            </w:pPr>
            <w:r>
              <w:rPr>
                <w:rFonts w:eastAsia="MS Mincho" w:cs="Times New Roman"/>
                <w:noProof/>
                <w:szCs w:val="32"/>
                <w:lang w:val="fr-FR"/>
              </w:rPr>
              <w:t xml:space="preserve">Les éléments ci-après présentés correspondent à la période qui suivra immédiatement le lancement de T2S pendant laquelle les participants d’Euroclear France disposeront tous de l’offre Euroclear </w:t>
            </w:r>
            <w:r w:rsidR="004957D8" w:rsidRPr="0050662A">
              <w:rPr>
                <w:rFonts w:eastAsia="MS Mincho" w:cstheme="minorHAnsi"/>
                <w:noProof/>
                <w:szCs w:val="32"/>
                <w:lang w:val="fr-FR"/>
              </w:rPr>
              <w:t>« FOP</w:t>
            </w:r>
            <w:r w:rsidR="004957D8">
              <w:rPr>
                <w:rFonts w:eastAsia="MS Mincho" w:cstheme="minorHAnsi"/>
                <w:noProof/>
                <w:szCs w:val="32"/>
                <w:lang w:val="fr-FR"/>
              </w:rPr>
              <w:t xml:space="preserve"> (Free Of payment)</w:t>
            </w:r>
            <w:r w:rsidR="004957D8" w:rsidRPr="0050662A">
              <w:rPr>
                <w:rFonts w:eastAsia="MS Mincho" w:cstheme="minorHAnsi"/>
                <w:noProof/>
                <w:szCs w:val="32"/>
                <w:lang w:val="fr-FR"/>
              </w:rPr>
              <w:t xml:space="preserve"> Without matching (= Already matched) »</w:t>
            </w:r>
          </w:p>
          <w:p w14:paraId="48B11E11" w14:textId="77777777" w:rsidR="004957D8" w:rsidRDefault="004957D8" w:rsidP="00E50F17">
            <w:pPr>
              <w:jc w:val="both"/>
              <w:rPr>
                <w:rFonts w:eastAsia="MS Mincho" w:cs="Times New Roman"/>
                <w:noProof/>
                <w:szCs w:val="32"/>
                <w:lang w:val="fr-FR"/>
              </w:rPr>
            </w:pPr>
          </w:p>
          <w:p w14:paraId="09B821AE" w14:textId="06981817" w:rsidR="00E50F17" w:rsidRDefault="00E50F17" w:rsidP="00E50F17">
            <w:pPr>
              <w:jc w:val="both"/>
              <w:rPr>
                <w:rFonts w:eastAsia="MS Mincho" w:cs="Times New Roman"/>
                <w:noProof/>
                <w:szCs w:val="32"/>
                <w:lang w:val="fr-FR"/>
              </w:rPr>
            </w:pPr>
            <w:r>
              <w:rPr>
                <w:rFonts w:eastAsia="MS Mincho" w:cs="Times New Roman"/>
                <w:noProof/>
                <w:szCs w:val="32"/>
                <w:lang w:val="fr-FR"/>
              </w:rPr>
              <w:t xml:space="preserve">Dans T2S toutes les instructions de dénouement au sens large font l’objet d’un appariement. Les francos pourront être remplacés par des </w:t>
            </w:r>
            <w:r w:rsidR="004957D8">
              <w:rPr>
                <w:rFonts w:eastAsia="MS Mincho" w:cs="Times New Roman"/>
                <w:noProof/>
                <w:szCs w:val="32"/>
                <w:lang w:val="fr-FR"/>
              </w:rPr>
              <w:t xml:space="preserve">FOP without </w:t>
            </w:r>
            <w:r w:rsidR="004957D8">
              <w:rPr>
                <w:rFonts w:eastAsia="MS Mincho" w:cs="Times New Roman"/>
                <w:noProof/>
                <w:szCs w:val="32"/>
                <w:lang w:val="fr-FR"/>
              </w:rPr>
              <w:lastRenderedPageBreak/>
              <w:t>matc</w:t>
            </w:r>
            <w:r w:rsidR="0059032C">
              <w:rPr>
                <w:rFonts w:eastAsia="MS Mincho" w:cs="Times New Roman"/>
                <w:noProof/>
                <w:szCs w:val="32"/>
                <w:lang w:val="fr-FR"/>
              </w:rPr>
              <w:t>hing</w:t>
            </w:r>
            <w:r>
              <w:rPr>
                <w:rFonts w:eastAsia="MS Mincho" w:cs="Times New Roman"/>
                <w:noProof/>
                <w:szCs w:val="32"/>
                <w:lang w:val="fr-FR"/>
              </w:rPr>
              <w:t xml:space="preserve"> pour les établissements qui disposent de l’offre Euroclear ou bien </w:t>
            </w:r>
            <w:r w:rsidR="004957D8">
              <w:rPr>
                <w:rFonts w:eastAsia="MS Mincho" w:cs="Times New Roman"/>
                <w:noProof/>
                <w:szCs w:val="32"/>
                <w:lang w:val="fr-FR"/>
              </w:rPr>
              <w:t xml:space="preserve">par des FOP à matcher » </w:t>
            </w:r>
            <w:r>
              <w:rPr>
                <w:rFonts w:eastAsia="MS Mincho" w:cs="Times New Roman"/>
                <w:noProof/>
                <w:szCs w:val="32"/>
                <w:lang w:val="fr-FR"/>
              </w:rPr>
              <w:t>dans les autres cas.</w:t>
            </w:r>
          </w:p>
          <w:p w14:paraId="77F0B419" w14:textId="77777777" w:rsidR="00E50F17" w:rsidRPr="00FF4EFB" w:rsidRDefault="00E50F17" w:rsidP="00E50F17">
            <w:pPr>
              <w:jc w:val="both"/>
              <w:rPr>
                <w:rFonts w:eastAsia="MS Mincho" w:cs="Times New Roman"/>
                <w:noProof/>
                <w:sz w:val="18"/>
                <w:szCs w:val="32"/>
                <w:lang w:val="fr-FR"/>
              </w:rPr>
            </w:pPr>
          </w:p>
          <w:p w14:paraId="683A2382" w14:textId="13E0DDFC" w:rsidR="004E64C5" w:rsidRPr="004B3BDA" w:rsidRDefault="00E50F17" w:rsidP="00E50F17">
            <w:pPr>
              <w:jc w:val="both"/>
              <w:rPr>
                <w:rFonts w:eastAsia="MS Mincho" w:cs="Times New Roman"/>
                <w:noProof/>
                <w:szCs w:val="32"/>
                <w:lang w:val="fr-FR"/>
              </w:rPr>
            </w:pPr>
            <w:r>
              <w:rPr>
                <w:rFonts w:eastAsia="MS Mincho" w:cs="Times New Roman"/>
                <w:noProof/>
                <w:szCs w:val="32"/>
                <w:lang w:val="fr-FR"/>
              </w:rPr>
              <w:t>Il n’y a pas de donnée</w:t>
            </w:r>
            <w:r w:rsidRPr="004615F9">
              <w:rPr>
                <w:rFonts w:eastAsia="MS Mincho" w:cs="Times New Roman"/>
                <w:noProof/>
                <w:szCs w:val="32"/>
                <w:lang w:val="fr-FR"/>
              </w:rPr>
              <w:t xml:space="preserve"> spécifique prévue par T2S</w:t>
            </w:r>
            <w:r>
              <w:rPr>
                <w:rFonts w:eastAsia="MS Mincho" w:cs="Times New Roman"/>
                <w:noProof/>
                <w:szCs w:val="32"/>
                <w:lang w:val="fr-FR"/>
              </w:rPr>
              <w:t xml:space="preserve"> pour transmettre le millésime ni les données complémentaires </w:t>
            </w:r>
            <w:r w:rsidR="00DA7878">
              <w:rPr>
                <w:rFonts w:eastAsia="MS Mincho" w:cs="Times New Roman"/>
                <w:noProof/>
                <w:szCs w:val="32"/>
                <w:lang w:val="fr-FR"/>
              </w:rPr>
              <w:t xml:space="preserve">à caractère fiscal </w:t>
            </w:r>
            <w:r>
              <w:rPr>
                <w:rFonts w:eastAsia="MS Mincho" w:cs="Times New Roman"/>
                <w:noProof/>
                <w:szCs w:val="32"/>
                <w:lang w:val="fr-FR"/>
              </w:rPr>
              <w:t xml:space="preserve">visées par la communication </w:t>
            </w:r>
            <w:r w:rsidR="004C283B" w:rsidRPr="00CE6079">
              <w:rPr>
                <w:rFonts w:eastAsia="MS Mincho" w:cs="Times New Roman"/>
                <w:noProof/>
                <w:szCs w:val="32"/>
                <w:lang w:val="fr-FR"/>
              </w:rPr>
              <w:t xml:space="preserve">CFONB </w:t>
            </w:r>
            <w:r w:rsidR="00C11073">
              <w:rPr>
                <w:rFonts w:eastAsia="MS Mincho" w:cs="Times New Roman"/>
                <w:noProof/>
                <w:szCs w:val="32"/>
                <w:lang w:val="fr-FR"/>
              </w:rPr>
              <w:t xml:space="preserve">n° </w:t>
            </w:r>
            <w:r w:rsidR="004C283B" w:rsidRPr="00CE6079">
              <w:rPr>
                <w:rFonts w:eastAsia="MS Mincho" w:cs="Times New Roman"/>
                <w:noProof/>
                <w:szCs w:val="32"/>
                <w:lang w:val="fr-FR"/>
              </w:rPr>
              <w:t>20150024 du 5 mai 2015</w:t>
            </w:r>
          </w:p>
        </w:tc>
      </w:tr>
      <w:tr w:rsidR="004E64C5" w:rsidRPr="00B12372" w14:paraId="1C18A2CF" w14:textId="77777777" w:rsidTr="00644076">
        <w:tc>
          <w:tcPr>
            <w:tcW w:w="2235" w:type="dxa"/>
            <w:tcBorders>
              <w:left w:val="nil"/>
              <w:right w:val="nil"/>
            </w:tcBorders>
          </w:tcPr>
          <w:p w14:paraId="22D7239B" w14:textId="77777777" w:rsidR="004E64C5" w:rsidRPr="004B3BDA" w:rsidRDefault="004E64C5" w:rsidP="00644076">
            <w:pPr>
              <w:rPr>
                <w:rFonts w:eastAsia="MS Mincho" w:cs="Times New Roman"/>
                <w:b/>
                <w:noProof/>
                <w:szCs w:val="32"/>
                <w:lang w:val="fr-FR"/>
              </w:rPr>
            </w:pPr>
          </w:p>
        </w:tc>
        <w:tc>
          <w:tcPr>
            <w:tcW w:w="7341" w:type="dxa"/>
            <w:tcBorders>
              <w:left w:val="nil"/>
              <w:right w:val="nil"/>
            </w:tcBorders>
          </w:tcPr>
          <w:p w14:paraId="327DB86B" w14:textId="77777777" w:rsidR="004E64C5" w:rsidRPr="004B3BDA" w:rsidRDefault="004E64C5" w:rsidP="00644076">
            <w:pPr>
              <w:rPr>
                <w:rFonts w:eastAsia="MS Mincho" w:cs="Times New Roman"/>
                <w:noProof/>
                <w:szCs w:val="32"/>
                <w:lang w:val="fr-FR"/>
              </w:rPr>
            </w:pPr>
          </w:p>
        </w:tc>
      </w:tr>
      <w:tr w:rsidR="004E64C5" w:rsidRPr="00B12372" w14:paraId="22E4657D" w14:textId="77777777" w:rsidTr="00644076">
        <w:tc>
          <w:tcPr>
            <w:tcW w:w="2235" w:type="dxa"/>
            <w:tcBorders>
              <w:bottom w:val="single" w:sz="4" w:space="0" w:color="auto"/>
            </w:tcBorders>
            <w:shd w:val="clear" w:color="auto" w:fill="BFBFBF" w:themeFill="background1" w:themeFillShade="BF"/>
          </w:tcPr>
          <w:p w14:paraId="782AB30A" w14:textId="77777777" w:rsidR="004E64C5" w:rsidRPr="00D103DA" w:rsidRDefault="004E64C5" w:rsidP="00644076">
            <w:pPr>
              <w:rPr>
                <w:rFonts w:eastAsia="MS Mincho" w:cs="Times New Roman"/>
                <w:b/>
                <w:noProof/>
                <w:szCs w:val="32"/>
                <w:lang w:val="fr-FR"/>
              </w:rPr>
            </w:pPr>
            <w:r>
              <w:rPr>
                <w:rFonts w:eastAsia="MS Mincho" w:cs="Times New Roman"/>
                <w:b/>
                <w:noProof/>
                <w:szCs w:val="32"/>
                <w:lang w:val="fr-FR"/>
              </w:rPr>
              <w:t>Description de la problématique majeure</w:t>
            </w:r>
          </w:p>
        </w:tc>
        <w:tc>
          <w:tcPr>
            <w:tcW w:w="7341" w:type="dxa"/>
            <w:tcBorders>
              <w:bottom w:val="single" w:sz="4" w:space="0" w:color="auto"/>
            </w:tcBorders>
          </w:tcPr>
          <w:p w14:paraId="192390A7" w14:textId="77777777" w:rsidR="004E64C5" w:rsidRDefault="004E64C5" w:rsidP="0004093E">
            <w:pPr>
              <w:jc w:val="both"/>
              <w:rPr>
                <w:rFonts w:eastAsia="MS Mincho" w:cs="Times New Roman"/>
                <w:noProof/>
                <w:szCs w:val="32"/>
                <w:lang w:val="fr-FR"/>
              </w:rPr>
            </w:pPr>
            <w:r>
              <w:rPr>
                <w:rFonts w:eastAsia="MS Mincho" w:cs="Times New Roman"/>
                <w:noProof/>
                <w:szCs w:val="32"/>
                <w:lang w:val="fr-FR"/>
              </w:rPr>
              <w:t xml:space="preserve">Les établissements souhaitent retrouver le niveau d’automatisation actuel mis en œuvre à partir des francos et des BRN et permettre </w:t>
            </w:r>
            <w:r w:rsidR="00DA7878">
              <w:rPr>
                <w:rFonts w:eastAsia="MS Mincho" w:cs="Times New Roman"/>
                <w:noProof/>
                <w:szCs w:val="32"/>
                <w:lang w:val="fr-FR"/>
              </w:rPr>
              <w:t xml:space="preserve">également </w:t>
            </w:r>
            <w:r w:rsidR="00E206BA">
              <w:rPr>
                <w:rFonts w:eastAsia="MS Mincho" w:cs="Times New Roman"/>
                <w:noProof/>
                <w:szCs w:val="32"/>
                <w:lang w:val="fr-FR"/>
              </w:rPr>
              <w:t xml:space="preserve">le cas échéant </w:t>
            </w:r>
            <w:r>
              <w:rPr>
                <w:rFonts w:eastAsia="MS Mincho" w:cs="Times New Roman"/>
                <w:noProof/>
                <w:szCs w:val="32"/>
                <w:lang w:val="fr-FR"/>
              </w:rPr>
              <w:t>aux établissements de transmettre</w:t>
            </w:r>
            <w:r w:rsidR="00DA7878">
              <w:rPr>
                <w:rFonts w:eastAsia="MS Mincho" w:cs="Times New Roman"/>
                <w:noProof/>
                <w:szCs w:val="32"/>
                <w:lang w:val="fr-FR"/>
              </w:rPr>
              <w:t xml:space="preserve"> ou de recevoir</w:t>
            </w:r>
            <w:r>
              <w:rPr>
                <w:rFonts w:eastAsia="MS Mincho" w:cs="Times New Roman"/>
                <w:noProof/>
                <w:szCs w:val="32"/>
                <w:lang w:val="fr-FR"/>
              </w:rPr>
              <w:t xml:space="preserve"> les données fiscales nécessaires à leurs activités (données relatives aux plus-values et aux o</w:t>
            </w:r>
            <w:r w:rsidRPr="00D47576">
              <w:rPr>
                <w:rFonts w:eastAsia="MS Mincho" w:cs="Times New Roman"/>
                <w:noProof/>
                <w:szCs w:val="32"/>
                <w:lang w:val="fr-FR"/>
              </w:rPr>
              <w:t xml:space="preserve">bligations déclaratives sur gains de source française </w:t>
            </w:r>
            <w:r>
              <w:rPr>
                <w:rFonts w:eastAsia="MS Mincho" w:cs="Times New Roman"/>
                <w:noProof/>
                <w:szCs w:val="32"/>
                <w:lang w:val="fr-FR"/>
              </w:rPr>
              <w:t>portant sur des clients non résidents).</w:t>
            </w:r>
          </w:p>
          <w:p w14:paraId="66DA2D7B" w14:textId="77777777" w:rsidR="00C11073" w:rsidRDefault="00C11073" w:rsidP="0004093E">
            <w:pPr>
              <w:jc w:val="both"/>
              <w:rPr>
                <w:rFonts w:eastAsia="MS Mincho" w:cs="Times New Roman"/>
                <w:noProof/>
                <w:szCs w:val="32"/>
                <w:lang w:val="fr-FR"/>
              </w:rPr>
            </w:pPr>
          </w:p>
          <w:p w14:paraId="047120A0" w14:textId="4DE4F104" w:rsidR="004E64C5" w:rsidRDefault="004E64C5" w:rsidP="00DA7878">
            <w:pPr>
              <w:jc w:val="both"/>
              <w:rPr>
                <w:rFonts w:eastAsia="MS Mincho" w:cs="Times New Roman"/>
                <w:noProof/>
                <w:szCs w:val="32"/>
                <w:lang w:val="fr-FR"/>
              </w:rPr>
            </w:pPr>
            <w:r>
              <w:rPr>
                <w:rFonts w:eastAsia="MS Mincho" w:cs="Times New Roman"/>
                <w:noProof/>
                <w:szCs w:val="32"/>
                <w:lang w:val="fr-FR"/>
              </w:rPr>
              <w:t xml:space="preserve">Les intermédiaires concernés ainsi que les mandataires d’émetteurs qui tiennent les registres nominatifs </w:t>
            </w:r>
            <w:r w:rsidR="00E206BA">
              <w:rPr>
                <w:rFonts w:eastAsia="MS Mincho" w:cs="Times New Roman"/>
                <w:noProof/>
                <w:szCs w:val="32"/>
                <w:lang w:val="fr-FR"/>
              </w:rPr>
              <w:t>ont ainsi envisagé de</w:t>
            </w:r>
            <w:r>
              <w:rPr>
                <w:rFonts w:eastAsia="MS Mincho" w:cs="Times New Roman"/>
                <w:noProof/>
                <w:szCs w:val="32"/>
                <w:lang w:val="fr-FR"/>
              </w:rPr>
              <w:t xml:space="preserve"> compléter la pratique actuelle en matière de conversion </w:t>
            </w:r>
            <w:r w:rsidR="00E50F17">
              <w:rPr>
                <w:rFonts w:eastAsia="MS Mincho" w:cs="Times New Roman"/>
                <w:noProof/>
                <w:szCs w:val="32"/>
                <w:lang w:val="fr-FR"/>
              </w:rPr>
              <w:t>et</w:t>
            </w:r>
            <w:r>
              <w:rPr>
                <w:rFonts w:eastAsia="MS Mincho" w:cs="Times New Roman"/>
                <w:noProof/>
                <w:szCs w:val="32"/>
                <w:lang w:val="fr-FR"/>
              </w:rPr>
              <w:t xml:space="preserve"> </w:t>
            </w:r>
            <w:r w:rsidR="00E206BA">
              <w:rPr>
                <w:rFonts w:eastAsia="MS Mincho" w:cs="Times New Roman"/>
                <w:noProof/>
                <w:szCs w:val="32"/>
                <w:lang w:val="fr-FR"/>
              </w:rPr>
              <w:t>d’</w:t>
            </w:r>
            <w:r>
              <w:rPr>
                <w:rFonts w:eastAsia="MS Mincho" w:cs="Times New Roman"/>
                <w:noProof/>
                <w:szCs w:val="32"/>
                <w:lang w:val="fr-FR"/>
              </w:rPr>
              <w:t>enrichir le cas échéant leurs compteurs plus-values</w:t>
            </w:r>
            <w:r w:rsidR="00E50F17">
              <w:rPr>
                <w:rFonts w:eastAsia="MS Mincho" w:cs="Times New Roman"/>
                <w:noProof/>
                <w:szCs w:val="32"/>
                <w:lang w:val="fr-FR"/>
              </w:rPr>
              <w:t xml:space="preserve">. </w:t>
            </w:r>
            <w:r w:rsidR="00E206BA">
              <w:rPr>
                <w:rFonts w:eastAsia="MS Mincho" w:cs="Times New Roman"/>
                <w:noProof/>
                <w:szCs w:val="32"/>
                <w:lang w:val="fr-FR"/>
              </w:rPr>
              <w:t>Il serait nécessaire</w:t>
            </w:r>
            <w:r w:rsidR="00E50F17">
              <w:rPr>
                <w:rFonts w:eastAsia="MS Mincho" w:cs="Times New Roman"/>
                <w:noProof/>
                <w:szCs w:val="32"/>
                <w:lang w:val="fr-FR"/>
              </w:rPr>
              <w:t xml:space="preserve"> pour cela </w:t>
            </w:r>
            <w:r w:rsidR="00E206BA">
              <w:rPr>
                <w:rFonts w:eastAsia="MS Mincho" w:cs="Times New Roman"/>
                <w:noProof/>
                <w:szCs w:val="32"/>
                <w:lang w:val="fr-FR"/>
              </w:rPr>
              <w:t>d’</w:t>
            </w:r>
            <w:r>
              <w:rPr>
                <w:rFonts w:eastAsia="MS Mincho" w:cs="Times New Roman"/>
                <w:noProof/>
                <w:szCs w:val="32"/>
                <w:lang w:val="fr-FR"/>
              </w:rPr>
              <w:t xml:space="preserve">adopter </w:t>
            </w:r>
            <w:r w:rsidR="00E206BA">
              <w:rPr>
                <w:rFonts w:eastAsia="MS Mincho" w:cs="Times New Roman"/>
                <w:noProof/>
                <w:szCs w:val="32"/>
                <w:lang w:val="fr-FR"/>
              </w:rPr>
              <w:t xml:space="preserve">une </w:t>
            </w:r>
            <w:r w:rsidR="00077E8A">
              <w:rPr>
                <w:rFonts w:eastAsia="MS Mincho" w:cs="Times New Roman"/>
                <w:noProof/>
                <w:szCs w:val="32"/>
                <w:lang w:val="fr-FR"/>
              </w:rPr>
              <w:t>pratique d’échange</w:t>
            </w:r>
            <w:r w:rsidR="00D50655">
              <w:rPr>
                <w:rFonts w:eastAsia="MS Mincho" w:cs="Times New Roman"/>
                <w:noProof/>
                <w:szCs w:val="32"/>
                <w:lang w:val="fr-FR"/>
              </w:rPr>
              <w:t xml:space="preserve"> bilatéral</w:t>
            </w:r>
            <w:r>
              <w:rPr>
                <w:rFonts w:eastAsia="MS Mincho" w:cs="Times New Roman"/>
                <w:noProof/>
                <w:szCs w:val="32"/>
                <w:lang w:val="fr-FR"/>
              </w:rPr>
              <w:t xml:space="preserve"> d’informations complémentaires lorsque </w:t>
            </w:r>
            <w:r w:rsidR="00E50F17">
              <w:rPr>
                <w:rFonts w:eastAsia="MS Mincho" w:cs="Times New Roman"/>
                <w:noProof/>
                <w:szCs w:val="32"/>
                <w:lang w:val="fr-FR"/>
              </w:rPr>
              <w:t xml:space="preserve">les deux parties en ont convenu. </w:t>
            </w:r>
          </w:p>
          <w:p w14:paraId="49CE4140" w14:textId="77777777" w:rsidR="00FC5331" w:rsidRDefault="00FC5331" w:rsidP="00DA7878">
            <w:pPr>
              <w:jc w:val="both"/>
              <w:rPr>
                <w:rFonts w:eastAsia="MS Mincho" w:cs="Times New Roman"/>
                <w:noProof/>
                <w:szCs w:val="32"/>
                <w:lang w:val="fr-FR"/>
              </w:rPr>
            </w:pPr>
          </w:p>
          <w:p w14:paraId="02FD5852" w14:textId="47DD7D45" w:rsidR="004E64C5" w:rsidRDefault="004E64C5" w:rsidP="00DA7878">
            <w:pPr>
              <w:jc w:val="both"/>
              <w:rPr>
                <w:rFonts w:eastAsia="MS Mincho" w:cs="Times New Roman"/>
                <w:noProof/>
                <w:szCs w:val="32"/>
                <w:lang w:val="fr-FR"/>
              </w:rPr>
            </w:pPr>
            <w:r>
              <w:rPr>
                <w:rFonts w:eastAsia="MS Mincho" w:cs="Times New Roman"/>
                <w:noProof/>
                <w:szCs w:val="32"/>
                <w:lang w:val="fr-FR"/>
              </w:rPr>
              <w:t>La pratique</w:t>
            </w:r>
            <w:r w:rsidR="00AA6538">
              <w:rPr>
                <w:rFonts w:eastAsia="MS Mincho" w:cs="Times New Roman"/>
                <w:noProof/>
                <w:szCs w:val="32"/>
                <w:lang w:val="fr-FR"/>
              </w:rPr>
              <w:t xml:space="preserve"> ainsi</w:t>
            </w:r>
            <w:r>
              <w:rPr>
                <w:rFonts w:eastAsia="MS Mincho" w:cs="Times New Roman"/>
                <w:noProof/>
                <w:szCs w:val="32"/>
                <w:lang w:val="fr-FR"/>
              </w:rPr>
              <w:t xml:space="preserve"> défini</w:t>
            </w:r>
            <w:r w:rsidR="00DA7878">
              <w:rPr>
                <w:rFonts w:eastAsia="MS Mincho" w:cs="Times New Roman"/>
                <w:noProof/>
                <w:szCs w:val="32"/>
                <w:lang w:val="fr-FR"/>
              </w:rPr>
              <w:t>e</w:t>
            </w:r>
            <w:r>
              <w:rPr>
                <w:rFonts w:eastAsia="MS Mincho" w:cs="Times New Roman"/>
                <w:noProof/>
                <w:szCs w:val="32"/>
                <w:lang w:val="fr-FR"/>
              </w:rPr>
              <w:t xml:space="preserve"> </w:t>
            </w:r>
            <w:r w:rsidR="00E50F17">
              <w:rPr>
                <w:rFonts w:eastAsia="MS Mincho" w:cs="Times New Roman"/>
                <w:noProof/>
                <w:szCs w:val="32"/>
                <w:lang w:val="fr-FR"/>
              </w:rPr>
              <w:t>pour l</w:t>
            </w:r>
            <w:r>
              <w:rPr>
                <w:rFonts w:eastAsia="MS Mincho" w:cs="Times New Roman"/>
                <w:noProof/>
                <w:szCs w:val="32"/>
                <w:lang w:val="fr-FR"/>
              </w:rPr>
              <w:t>e</w:t>
            </w:r>
            <w:r w:rsidR="00E50F17">
              <w:rPr>
                <w:rFonts w:eastAsia="MS Mincho" w:cs="Times New Roman"/>
                <w:noProof/>
                <w:szCs w:val="32"/>
                <w:lang w:val="fr-FR"/>
              </w:rPr>
              <w:t>s</w:t>
            </w:r>
            <w:r>
              <w:rPr>
                <w:rFonts w:eastAsia="MS Mincho" w:cs="Times New Roman"/>
                <w:noProof/>
                <w:szCs w:val="32"/>
                <w:lang w:val="fr-FR"/>
              </w:rPr>
              <w:t xml:space="preserve"> conversion</w:t>
            </w:r>
            <w:r w:rsidR="00E50F17">
              <w:rPr>
                <w:rFonts w:eastAsia="MS Mincho" w:cs="Times New Roman"/>
                <w:noProof/>
                <w:szCs w:val="32"/>
                <w:lang w:val="fr-FR"/>
              </w:rPr>
              <w:t>s</w:t>
            </w:r>
            <w:r>
              <w:rPr>
                <w:rFonts w:eastAsia="MS Mincho" w:cs="Times New Roman"/>
                <w:noProof/>
                <w:szCs w:val="32"/>
                <w:lang w:val="fr-FR"/>
              </w:rPr>
              <w:t xml:space="preserve"> </w:t>
            </w:r>
            <w:r w:rsidR="00AA6538">
              <w:rPr>
                <w:rFonts w:eastAsia="MS Mincho" w:cs="Times New Roman"/>
                <w:noProof/>
                <w:szCs w:val="32"/>
                <w:lang w:val="fr-FR"/>
              </w:rPr>
              <w:t xml:space="preserve">pour permettre de </w:t>
            </w:r>
            <w:r w:rsidR="00DA7878">
              <w:rPr>
                <w:rFonts w:eastAsia="MS Mincho" w:cs="Times New Roman"/>
                <w:noProof/>
                <w:szCs w:val="32"/>
                <w:lang w:val="fr-FR"/>
              </w:rPr>
              <w:t xml:space="preserve">transmettre ou recevoir des informations fiscales </w:t>
            </w:r>
            <w:r>
              <w:rPr>
                <w:rFonts w:eastAsia="MS Mincho" w:cs="Times New Roman"/>
                <w:noProof/>
                <w:szCs w:val="32"/>
                <w:lang w:val="fr-FR"/>
              </w:rPr>
              <w:t>s’inspire</w:t>
            </w:r>
            <w:r w:rsidR="00E206BA">
              <w:rPr>
                <w:rFonts w:eastAsia="MS Mincho" w:cs="Times New Roman"/>
                <w:noProof/>
                <w:szCs w:val="32"/>
                <w:lang w:val="fr-FR"/>
              </w:rPr>
              <w:t>rait</w:t>
            </w:r>
            <w:r>
              <w:rPr>
                <w:rFonts w:eastAsia="MS Mincho" w:cs="Times New Roman"/>
                <w:noProof/>
                <w:szCs w:val="32"/>
                <w:lang w:val="fr-FR"/>
              </w:rPr>
              <w:t xml:space="preserve"> de celle décrite dans la </w:t>
            </w:r>
            <w:r w:rsidR="00E50F17">
              <w:rPr>
                <w:rFonts w:eastAsia="MS Mincho" w:cs="Times New Roman"/>
                <w:noProof/>
                <w:szCs w:val="32"/>
                <w:lang w:val="fr-FR"/>
              </w:rPr>
              <w:t xml:space="preserve">communication </w:t>
            </w:r>
            <w:r w:rsidR="004C283B" w:rsidRPr="00CE6079">
              <w:rPr>
                <w:rFonts w:eastAsia="MS Mincho" w:cs="Times New Roman"/>
                <w:noProof/>
                <w:szCs w:val="32"/>
                <w:lang w:val="fr-FR"/>
              </w:rPr>
              <w:t xml:space="preserve">CFONB </w:t>
            </w:r>
            <w:r w:rsidR="00FC5331">
              <w:rPr>
                <w:rFonts w:eastAsia="MS Mincho" w:cs="Times New Roman"/>
                <w:noProof/>
                <w:szCs w:val="32"/>
                <w:lang w:val="fr-FR"/>
              </w:rPr>
              <w:t xml:space="preserve">n° </w:t>
            </w:r>
            <w:r w:rsidR="004C283B" w:rsidRPr="00CE6079">
              <w:rPr>
                <w:rFonts w:eastAsia="MS Mincho" w:cs="Times New Roman"/>
                <w:noProof/>
                <w:szCs w:val="32"/>
                <w:lang w:val="fr-FR"/>
              </w:rPr>
              <w:t xml:space="preserve">20150024 du 5 mai 2015 </w:t>
            </w:r>
            <w:r w:rsidR="00E50F17" w:rsidRPr="005C7294">
              <w:rPr>
                <w:rFonts w:eastAsia="MS Mincho" w:cs="Times New Roman"/>
                <w:noProof/>
                <w:szCs w:val="32"/>
                <w:lang w:val="fr-FR"/>
              </w:rPr>
              <w:t xml:space="preserve">en vigueur sur les transferts de portefeuille </w:t>
            </w:r>
            <w:r w:rsidR="00E50F17">
              <w:rPr>
                <w:rFonts w:eastAsia="MS Mincho" w:cs="Times New Roman"/>
                <w:noProof/>
                <w:szCs w:val="32"/>
                <w:lang w:val="fr-FR"/>
              </w:rPr>
              <w:t>qui renvoit elle-même à la</w:t>
            </w:r>
            <w:r w:rsidR="00E50F17" w:rsidRPr="005C7294">
              <w:rPr>
                <w:rFonts w:eastAsia="MS Mincho" w:cs="Times New Roman"/>
                <w:noProof/>
                <w:szCs w:val="32"/>
                <w:lang w:val="fr-FR"/>
              </w:rPr>
              <w:t xml:space="preserve"> communication </w:t>
            </w:r>
            <w:r w:rsidR="00FC5331">
              <w:rPr>
                <w:rFonts w:eastAsia="MS Mincho" w:cs="Times New Roman"/>
                <w:noProof/>
                <w:szCs w:val="32"/>
                <w:lang w:val="fr-FR"/>
              </w:rPr>
              <w:t>CFONB</w:t>
            </w:r>
            <w:r w:rsidR="00E50F17" w:rsidRPr="005C7294">
              <w:rPr>
                <w:rFonts w:eastAsia="MS Mincho" w:cs="Times New Roman"/>
                <w:noProof/>
                <w:szCs w:val="32"/>
                <w:lang w:val="fr-FR"/>
              </w:rPr>
              <w:t xml:space="preserve">  </w:t>
            </w:r>
            <w:r w:rsidR="00FC5331" w:rsidRPr="005C7294">
              <w:rPr>
                <w:rFonts w:eastAsia="MS Mincho" w:cs="Times New Roman"/>
                <w:noProof/>
                <w:szCs w:val="32"/>
                <w:lang w:val="fr-FR"/>
              </w:rPr>
              <w:t>n°2006378</w:t>
            </w:r>
            <w:r w:rsidR="00FC5331">
              <w:rPr>
                <w:rFonts w:eastAsia="MS Mincho" w:cs="Times New Roman"/>
                <w:noProof/>
                <w:szCs w:val="32"/>
                <w:lang w:val="fr-FR"/>
              </w:rPr>
              <w:t xml:space="preserve"> </w:t>
            </w:r>
            <w:r w:rsidR="00E50F17" w:rsidRPr="005C7294">
              <w:rPr>
                <w:rFonts w:eastAsia="MS Mincho" w:cs="Times New Roman"/>
                <w:noProof/>
                <w:szCs w:val="32"/>
                <w:lang w:val="fr-FR"/>
              </w:rPr>
              <w:t xml:space="preserve">du 14 novembre 2006 </w:t>
            </w:r>
            <w:r w:rsidR="00E50F17">
              <w:rPr>
                <w:rFonts w:eastAsia="MS Mincho" w:cs="Times New Roman"/>
                <w:noProof/>
                <w:szCs w:val="32"/>
                <w:lang w:val="fr-FR"/>
              </w:rPr>
              <w:t>sachant que celle-ci</w:t>
            </w:r>
            <w:r w:rsidR="00E50F17" w:rsidRPr="004E64C5">
              <w:rPr>
                <w:rFonts w:eastAsia="MS Mincho" w:cs="Times New Roman"/>
                <w:noProof/>
                <w:szCs w:val="32"/>
                <w:lang w:val="fr-FR"/>
              </w:rPr>
              <w:t xml:space="preserve"> </w:t>
            </w:r>
            <w:r w:rsidRPr="004E64C5">
              <w:rPr>
                <w:rFonts w:eastAsia="MS Mincho" w:cs="Times New Roman"/>
                <w:noProof/>
                <w:szCs w:val="32"/>
                <w:lang w:val="fr-FR"/>
              </w:rPr>
              <w:t>porte uniquement pour l’instant sur les transferts de portefeuille.</w:t>
            </w:r>
          </w:p>
          <w:p w14:paraId="4C31EC20" w14:textId="77777777" w:rsidR="004E64C5" w:rsidRDefault="004E64C5" w:rsidP="00AA6538">
            <w:pPr>
              <w:jc w:val="both"/>
              <w:rPr>
                <w:rFonts w:eastAsia="MS Mincho" w:cs="Times New Roman"/>
                <w:noProof/>
                <w:szCs w:val="32"/>
                <w:lang w:val="fr-FR"/>
              </w:rPr>
            </w:pPr>
          </w:p>
          <w:p w14:paraId="4F4EF39B" w14:textId="35B4BEA7" w:rsidR="004E64C5" w:rsidRPr="00CB3D2E" w:rsidRDefault="004E64C5" w:rsidP="0004093E">
            <w:pPr>
              <w:jc w:val="both"/>
              <w:rPr>
                <w:rFonts w:eastAsia="MS Mincho" w:cs="Times New Roman"/>
                <w:noProof/>
                <w:szCs w:val="32"/>
                <w:lang w:val="fr-FR"/>
              </w:rPr>
            </w:pPr>
            <w:r>
              <w:rPr>
                <w:rFonts w:eastAsia="MS Mincho" w:cs="Times New Roman"/>
                <w:noProof/>
                <w:szCs w:val="32"/>
                <w:lang w:val="fr-FR"/>
              </w:rPr>
              <w:t xml:space="preserve">La pratique actuelle du marché français en matière de transferts de portefeuille  a vocation à être remplacée à terme par la pratique européenne en cours de validation. Le traitement des conversions devra être également </w:t>
            </w:r>
            <w:r w:rsidR="00797C57">
              <w:rPr>
                <w:rFonts w:eastAsia="MS Mincho" w:cs="Times New Roman"/>
                <w:noProof/>
                <w:szCs w:val="32"/>
                <w:lang w:val="fr-FR"/>
              </w:rPr>
              <w:t xml:space="preserve">évoluer </w:t>
            </w:r>
            <w:r>
              <w:rPr>
                <w:rFonts w:eastAsia="MS Mincho" w:cs="Times New Roman"/>
                <w:noProof/>
                <w:szCs w:val="32"/>
                <w:lang w:val="fr-FR"/>
              </w:rPr>
              <w:t xml:space="preserve">dans </w:t>
            </w:r>
            <w:r w:rsidR="00F81BF0">
              <w:rPr>
                <w:rFonts w:eastAsia="MS Mincho" w:cs="Times New Roman"/>
                <w:noProof/>
                <w:szCs w:val="32"/>
                <w:lang w:val="fr-FR"/>
              </w:rPr>
              <w:t>la pers</w:t>
            </w:r>
            <w:r w:rsidR="00797C57">
              <w:rPr>
                <w:rFonts w:eastAsia="MS Mincho" w:cs="Times New Roman"/>
                <w:noProof/>
                <w:szCs w:val="32"/>
                <w:lang w:val="fr-FR"/>
              </w:rPr>
              <w:t>p</w:t>
            </w:r>
            <w:r w:rsidR="00F81BF0">
              <w:rPr>
                <w:rFonts w:eastAsia="MS Mincho" w:cs="Times New Roman"/>
                <w:noProof/>
                <w:szCs w:val="32"/>
                <w:lang w:val="fr-FR"/>
              </w:rPr>
              <w:t>e</w:t>
            </w:r>
            <w:r w:rsidR="00797C57">
              <w:rPr>
                <w:rFonts w:eastAsia="MS Mincho" w:cs="Times New Roman"/>
                <w:noProof/>
                <w:szCs w:val="32"/>
                <w:lang w:val="fr-FR"/>
              </w:rPr>
              <w:t xml:space="preserve">ctive de </w:t>
            </w:r>
            <w:r>
              <w:rPr>
                <w:rFonts w:eastAsia="MS Mincho" w:cs="Times New Roman"/>
                <w:noProof/>
                <w:szCs w:val="32"/>
                <w:lang w:val="fr-FR"/>
              </w:rPr>
              <w:t>cette pratique européenne cible.</w:t>
            </w:r>
          </w:p>
        </w:tc>
      </w:tr>
      <w:tr w:rsidR="004E64C5" w:rsidRPr="00B12372" w14:paraId="1B4DEF54" w14:textId="77777777" w:rsidTr="00644076">
        <w:tc>
          <w:tcPr>
            <w:tcW w:w="2235" w:type="dxa"/>
            <w:tcBorders>
              <w:left w:val="nil"/>
              <w:right w:val="nil"/>
            </w:tcBorders>
          </w:tcPr>
          <w:p w14:paraId="2F1640A2" w14:textId="77777777" w:rsidR="004E64C5" w:rsidRDefault="004E64C5" w:rsidP="00644076">
            <w:pPr>
              <w:rPr>
                <w:rFonts w:eastAsia="MS Mincho" w:cs="Times New Roman"/>
                <w:b/>
                <w:noProof/>
                <w:szCs w:val="32"/>
                <w:lang w:val="fr-FR"/>
              </w:rPr>
            </w:pPr>
          </w:p>
        </w:tc>
        <w:tc>
          <w:tcPr>
            <w:tcW w:w="7341" w:type="dxa"/>
            <w:tcBorders>
              <w:left w:val="nil"/>
              <w:right w:val="nil"/>
            </w:tcBorders>
          </w:tcPr>
          <w:p w14:paraId="03BA40A0" w14:textId="77777777" w:rsidR="004E64C5" w:rsidRDefault="004E64C5" w:rsidP="00644076">
            <w:pPr>
              <w:rPr>
                <w:rFonts w:eastAsia="MS Mincho" w:cs="Times New Roman"/>
                <w:noProof/>
                <w:szCs w:val="32"/>
                <w:lang w:val="fr-FR"/>
              </w:rPr>
            </w:pPr>
          </w:p>
        </w:tc>
      </w:tr>
      <w:tr w:rsidR="004E64C5" w14:paraId="520D7EDD" w14:textId="77777777" w:rsidTr="00443A1F">
        <w:trPr>
          <w:trHeight w:val="1168"/>
        </w:trPr>
        <w:tc>
          <w:tcPr>
            <w:tcW w:w="2235" w:type="dxa"/>
            <w:tcBorders>
              <w:bottom w:val="single" w:sz="4" w:space="0" w:color="auto"/>
            </w:tcBorders>
            <w:shd w:val="clear" w:color="auto" w:fill="BFBFBF" w:themeFill="background1" w:themeFillShade="BF"/>
          </w:tcPr>
          <w:p w14:paraId="17E31BA5" w14:textId="77777777" w:rsidR="004E64C5" w:rsidRDefault="004E64C5" w:rsidP="00893912">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14:paraId="7EA85045" w14:textId="77777777" w:rsidR="004E64C5" w:rsidRPr="00D103DA" w:rsidRDefault="004E64C5" w:rsidP="00893912">
            <w:pPr>
              <w:rPr>
                <w:rFonts w:eastAsia="MS Mincho" w:cs="Times New Roman"/>
                <w:b/>
                <w:noProof/>
                <w:szCs w:val="32"/>
                <w:lang w:val="fr-FR"/>
              </w:rPr>
            </w:pPr>
            <w:r>
              <w:rPr>
                <w:rFonts w:eastAsia="MS Mincho" w:cs="Times New Roman"/>
                <w:b/>
                <w:noProof/>
                <w:szCs w:val="32"/>
                <w:lang w:val="fr-FR"/>
              </w:rPr>
              <w:t>(FACULTATIF)</w:t>
            </w:r>
          </w:p>
        </w:tc>
        <w:tc>
          <w:tcPr>
            <w:tcW w:w="7341" w:type="dxa"/>
            <w:tcBorders>
              <w:bottom w:val="single" w:sz="4" w:space="0" w:color="auto"/>
            </w:tcBorders>
          </w:tcPr>
          <w:p w14:paraId="1A1C6446" w14:textId="77777777" w:rsidR="004E64C5" w:rsidRDefault="004E64C5" w:rsidP="00B26098">
            <w:pPr>
              <w:rPr>
                <w:rFonts w:eastAsia="MS Mincho" w:cs="Times New Roman"/>
                <w:noProof/>
                <w:szCs w:val="32"/>
                <w:lang w:val="fr-FR"/>
              </w:rPr>
            </w:pPr>
          </w:p>
          <w:p w14:paraId="4E3F98FC" w14:textId="77777777" w:rsidR="004E64C5" w:rsidRDefault="004E64C5" w:rsidP="00B26098">
            <w:pPr>
              <w:rPr>
                <w:rFonts w:eastAsia="MS Mincho" w:cs="Times New Roman"/>
                <w:noProof/>
                <w:szCs w:val="32"/>
                <w:lang w:val="fr-FR"/>
              </w:rPr>
            </w:pPr>
          </w:p>
          <w:p w14:paraId="5C5C0A8C" w14:textId="77777777" w:rsidR="004E64C5" w:rsidRDefault="004E64C5" w:rsidP="00B26098">
            <w:pPr>
              <w:rPr>
                <w:rFonts w:eastAsia="MS Mincho" w:cs="Times New Roman"/>
                <w:noProof/>
                <w:szCs w:val="32"/>
                <w:lang w:val="fr-FR"/>
              </w:rPr>
            </w:pPr>
          </w:p>
        </w:tc>
      </w:tr>
      <w:tr w:rsidR="004E64C5" w14:paraId="16338B5A" w14:textId="77777777" w:rsidTr="00893912">
        <w:tc>
          <w:tcPr>
            <w:tcW w:w="2235" w:type="dxa"/>
            <w:tcBorders>
              <w:left w:val="nil"/>
              <w:right w:val="nil"/>
            </w:tcBorders>
            <w:shd w:val="clear" w:color="auto" w:fill="FFFFFF" w:themeFill="background1"/>
          </w:tcPr>
          <w:p w14:paraId="6AC8D49A" w14:textId="77777777" w:rsidR="004E64C5" w:rsidRDefault="004E64C5" w:rsidP="00893912">
            <w:pPr>
              <w:rPr>
                <w:rFonts w:eastAsia="MS Mincho" w:cs="Times New Roman"/>
                <w:b/>
                <w:noProof/>
                <w:szCs w:val="32"/>
                <w:lang w:val="fr-FR"/>
              </w:rPr>
            </w:pPr>
          </w:p>
        </w:tc>
        <w:tc>
          <w:tcPr>
            <w:tcW w:w="7341" w:type="dxa"/>
            <w:tcBorders>
              <w:left w:val="nil"/>
              <w:bottom w:val="single" w:sz="4" w:space="0" w:color="auto"/>
              <w:right w:val="nil"/>
            </w:tcBorders>
            <w:shd w:val="clear" w:color="auto" w:fill="FFFFFF" w:themeFill="background1"/>
          </w:tcPr>
          <w:p w14:paraId="3590FC80" w14:textId="77777777" w:rsidR="004E64C5" w:rsidRDefault="004E64C5" w:rsidP="00B26098">
            <w:pPr>
              <w:rPr>
                <w:rFonts w:eastAsia="MS Mincho" w:cs="Times New Roman"/>
                <w:noProof/>
                <w:szCs w:val="32"/>
                <w:lang w:val="fr-FR"/>
              </w:rPr>
            </w:pPr>
          </w:p>
        </w:tc>
      </w:tr>
      <w:tr w:rsidR="004E64C5" w14:paraId="1957BF67" w14:textId="77777777" w:rsidTr="00FF4EFB">
        <w:trPr>
          <w:trHeight w:val="545"/>
        </w:trPr>
        <w:tc>
          <w:tcPr>
            <w:tcW w:w="2235" w:type="dxa"/>
            <w:shd w:val="clear" w:color="auto" w:fill="BFBFBF" w:themeFill="background1" w:themeFillShade="BF"/>
          </w:tcPr>
          <w:p w14:paraId="5275AECC" w14:textId="77777777" w:rsidR="004E64C5" w:rsidRDefault="004E64C5" w:rsidP="00893912">
            <w:pPr>
              <w:rPr>
                <w:rFonts w:eastAsia="MS Mincho" w:cs="Times New Roman"/>
                <w:b/>
                <w:noProof/>
                <w:szCs w:val="32"/>
                <w:lang w:val="fr-FR"/>
              </w:rPr>
            </w:pPr>
            <w:r>
              <w:rPr>
                <w:rFonts w:eastAsia="MS Mincho" w:cs="Times New Roman"/>
                <w:b/>
                <w:noProof/>
                <w:szCs w:val="32"/>
                <w:lang w:val="fr-FR"/>
              </w:rPr>
              <w:t>Schéma des flux</w:t>
            </w:r>
          </w:p>
          <w:p w14:paraId="07BF9D4E" w14:textId="77777777" w:rsidR="004E64C5" w:rsidRDefault="004E64C5" w:rsidP="00893912">
            <w:pPr>
              <w:rPr>
                <w:rFonts w:eastAsia="MS Mincho" w:cs="Times New Roman"/>
                <w:b/>
                <w:noProof/>
                <w:szCs w:val="32"/>
                <w:lang w:val="fr-FR"/>
              </w:rPr>
            </w:pPr>
            <w:r>
              <w:rPr>
                <w:rFonts w:eastAsia="MS Mincho" w:cs="Times New Roman"/>
                <w:b/>
                <w:noProof/>
                <w:szCs w:val="32"/>
                <w:lang w:val="fr-FR"/>
              </w:rPr>
              <w:t>(FACULTATIF)</w:t>
            </w:r>
          </w:p>
        </w:tc>
        <w:tc>
          <w:tcPr>
            <w:tcW w:w="7341" w:type="dxa"/>
            <w:tcBorders>
              <w:bottom w:val="single" w:sz="4" w:space="0" w:color="auto"/>
            </w:tcBorders>
          </w:tcPr>
          <w:p w14:paraId="5D0280F7" w14:textId="77777777" w:rsidR="004E64C5" w:rsidRDefault="004E64C5" w:rsidP="00B26098">
            <w:pPr>
              <w:rPr>
                <w:rFonts w:eastAsia="MS Mincho" w:cs="Times New Roman"/>
                <w:noProof/>
                <w:szCs w:val="32"/>
                <w:lang w:val="fr-FR"/>
              </w:rPr>
            </w:pPr>
          </w:p>
          <w:p w14:paraId="021922C6" w14:textId="77777777" w:rsidR="004E64C5" w:rsidRDefault="004E64C5" w:rsidP="00B26098">
            <w:pPr>
              <w:rPr>
                <w:rFonts w:eastAsia="MS Mincho" w:cs="Times New Roman"/>
                <w:noProof/>
                <w:szCs w:val="32"/>
                <w:lang w:val="fr-FR"/>
              </w:rPr>
            </w:pPr>
          </w:p>
        </w:tc>
      </w:tr>
      <w:tr w:rsidR="004E64C5" w14:paraId="19C0A327" w14:textId="77777777" w:rsidTr="00C1000A">
        <w:tc>
          <w:tcPr>
            <w:tcW w:w="2235" w:type="dxa"/>
            <w:tcBorders>
              <w:left w:val="nil"/>
              <w:right w:val="nil"/>
            </w:tcBorders>
          </w:tcPr>
          <w:p w14:paraId="5656921C" w14:textId="77777777" w:rsidR="004E64C5" w:rsidRDefault="004E64C5" w:rsidP="00B26098">
            <w:pPr>
              <w:rPr>
                <w:rFonts w:eastAsia="MS Mincho" w:cs="Times New Roman"/>
                <w:b/>
                <w:noProof/>
                <w:szCs w:val="32"/>
                <w:lang w:val="fr-FR"/>
              </w:rPr>
            </w:pPr>
          </w:p>
        </w:tc>
        <w:tc>
          <w:tcPr>
            <w:tcW w:w="7341" w:type="dxa"/>
            <w:tcBorders>
              <w:left w:val="nil"/>
              <w:right w:val="nil"/>
            </w:tcBorders>
          </w:tcPr>
          <w:p w14:paraId="523015C9" w14:textId="77777777" w:rsidR="004E64C5" w:rsidRDefault="004E64C5" w:rsidP="00B26098">
            <w:pPr>
              <w:rPr>
                <w:rFonts w:eastAsia="MS Mincho" w:cs="Times New Roman"/>
                <w:noProof/>
                <w:szCs w:val="32"/>
                <w:lang w:val="fr-FR"/>
              </w:rPr>
            </w:pPr>
          </w:p>
        </w:tc>
      </w:tr>
      <w:tr w:rsidR="004E64C5" w:rsidRPr="00C0767C" w14:paraId="107876B8" w14:textId="77777777" w:rsidTr="007F6CFC">
        <w:tc>
          <w:tcPr>
            <w:tcW w:w="2235" w:type="dxa"/>
            <w:shd w:val="clear" w:color="auto" w:fill="BFBFBF" w:themeFill="background1" w:themeFillShade="BF"/>
          </w:tcPr>
          <w:p w14:paraId="0E3FCE90" w14:textId="77777777" w:rsidR="004E64C5" w:rsidRDefault="004E64C5" w:rsidP="00B26098">
            <w:pPr>
              <w:rPr>
                <w:rFonts w:eastAsia="MS Mincho" w:cs="Times New Roman"/>
                <w:b/>
                <w:noProof/>
                <w:szCs w:val="32"/>
                <w:lang w:val="fr-FR"/>
              </w:rPr>
            </w:pPr>
            <w:r>
              <w:rPr>
                <w:rFonts w:eastAsia="MS Mincho" w:cs="Times New Roman"/>
                <w:b/>
                <w:noProof/>
                <w:szCs w:val="32"/>
                <w:lang w:val="fr-FR"/>
              </w:rPr>
              <w:t>Lien avec d’autres pratiques</w:t>
            </w:r>
          </w:p>
        </w:tc>
        <w:tc>
          <w:tcPr>
            <w:tcW w:w="7341" w:type="dxa"/>
          </w:tcPr>
          <w:p w14:paraId="09FDE1E3" w14:textId="42625C01" w:rsidR="004E64C5" w:rsidRPr="00FF4EFB" w:rsidRDefault="00473F08" w:rsidP="00B26098">
            <w:pPr>
              <w:pStyle w:val="Paragraphedeliste"/>
              <w:numPr>
                <w:ilvl w:val="0"/>
                <w:numId w:val="3"/>
              </w:numPr>
              <w:ind w:left="317" w:hanging="284"/>
              <w:rPr>
                <w:rFonts w:eastAsia="MS Mincho" w:cs="Times New Roman"/>
                <w:noProof/>
                <w:szCs w:val="32"/>
                <w:lang w:val="fr-FR"/>
              </w:rPr>
            </w:pPr>
            <w:r w:rsidRPr="00443A1F">
              <w:rPr>
                <w:rFonts w:eastAsia="MS Mincho" w:cs="Times New Roman"/>
                <w:noProof/>
                <w:szCs w:val="32"/>
                <w:lang w:val="fr-FR"/>
              </w:rPr>
              <w:t xml:space="preserve">MS-SETTL-FRANCO 02 </w:t>
            </w:r>
          </w:p>
          <w:p w14:paraId="6BCF72EA" w14:textId="77777777" w:rsidR="004E64C5" w:rsidRDefault="004E64C5" w:rsidP="00B26098">
            <w:pPr>
              <w:rPr>
                <w:rFonts w:eastAsia="MS Mincho" w:cs="Times New Roman"/>
                <w:noProof/>
                <w:szCs w:val="32"/>
                <w:lang w:val="fr-FR"/>
              </w:rPr>
            </w:pPr>
          </w:p>
        </w:tc>
      </w:tr>
    </w:tbl>
    <w:p w14:paraId="13A33597" w14:textId="77777777" w:rsidR="00473F08" w:rsidRDefault="00473F08" w:rsidP="00473F08">
      <w:pPr>
        <w:ind w:firstLine="720"/>
        <w:rPr>
          <w:rFonts w:eastAsia="MS Mincho" w:cs="Times New Roman"/>
          <w:b/>
          <w:caps/>
          <w:noProof/>
          <w:sz w:val="32"/>
          <w:szCs w:val="32"/>
          <w:lang w:val="fr-FR"/>
        </w:rPr>
      </w:pPr>
    </w:p>
    <w:p w14:paraId="774BAAC2" w14:textId="77777777" w:rsidR="00D103DA" w:rsidRPr="004F6025" w:rsidRDefault="00BE4C60" w:rsidP="00D103DA">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proposition de pratique de marché</w:t>
      </w:r>
    </w:p>
    <w:p w14:paraId="2CE2CA91" w14:textId="77777777" w:rsidR="00D103DA" w:rsidRDefault="00D103DA" w:rsidP="00D103DA">
      <w:pPr>
        <w:spacing w:after="0" w:line="240" w:lineRule="auto"/>
        <w:rPr>
          <w:rFonts w:eastAsia="MS Mincho" w:cs="Times New Roman"/>
          <w:noProof/>
          <w:szCs w:val="32"/>
          <w:lang w:val="fr-FR"/>
        </w:rPr>
      </w:pPr>
    </w:p>
    <w:p w14:paraId="1381DA58" w14:textId="77777777" w:rsidR="001E0D83" w:rsidRPr="001E0D83" w:rsidRDefault="001E0D83" w:rsidP="0004093E">
      <w:pPr>
        <w:tabs>
          <w:tab w:val="left" w:pos="3168"/>
        </w:tabs>
        <w:spacing w:after="0" w:line="240" w:lineRule="auto"/>
        <w:rPr>
          <w:rFonts w:eastAsia="MS Mincho" w:cs="Times New Roman"/>
          <w:b/>
          <w:noProof/>
          <w:sz w:val="28"/>
          <w:szCs w:val="32"/>
          <w:lang w:val="fr-FR"/>
        </w:rPr>
      </w:pPr>
      <w:r w:rsidRPr="001E0D83">
        <w:rPr>
          <w:rFonts w:eastAsia="MS Mincho" w:cs="Times New Roman"/>
          <w:b/>
          <w:noProof/>
          <w:sz w:val="28"/>
          <w:szCs w:val="32"/>
          <w:lang w:val="fr-FR"/>
        </w:rPr>
        <w:t>Recommandation</w:t>
      </w:r>
    </w:p>
    <w:p w14:paraId="77A22840" w14:textId="77777777" w:rsidR="001E0D83" w:rsidRDefault="001E0D83" w:rsidP="00D103DA">
      <w:pPr>
        <w:spacing w:after="0" w:line="240" w:lineRule="auto"/>
        <w:rPr>
          <w:rFonts w:eastAsia="MS Mincho" w:cs="Times New Roman"/>
          <w:noProof/>
          <w:szCs w:val="32"/>
          <w:lang w:val="fr-FR"/>
        </w:rPr>
      </w:pPr>
    </w:p>
    <w:tbl>
      <w:tblPr>
        <w:tblStyle w:val="Grilledutableau"/>
        <w:tblW w:w="0" w:type="auto"/>
        <w:tblLayout w:type="fixed"/>
        <w:tblLook w:val="04A0" w:firstRow="1" w:lastRow="0" w:firstColumn="1" w:lastColumn="0" w:noHBand="0" w:noVBand="1"/>
      </w:tblPr>
      <w:tblGrid>
        <w:gridCol w:w="2122"/>
        <w:gridCol w:w="7228"/>
      </w:tblGrid>
      <w:tr w:rsidR="001E0D83" w:rsidRPr="00CA3515" w14:paraId="7052B4BB" w14:textId="77777777" w:rsidTr="00FC5331">
        <w:tc>
          <w:tcPr>
            <w:tcW w:w="2122" w:type="dxa"/>
            <w:shd w:val="clear" w:color="auto" w:fill="BFBFBF" w:themeFill="background1" w:themeFillShade="BF"/>
          </w:tcPr>
          <w:p w14:paraId="22EF07A1" w14:textId="77777777" w:rsidR="001E0D83" w:rsidRPr="00D103DA" w:rsidRDefault="00BA66D3" w:rsidP="00644076">
            <w:pPr>
              <w:rPr>
                <w:rFonts w:eastAsia="MS Mincho" w:cs="Times New Roman"/>
                <w:b/>
                <w:noProof/>
                <w:szCs w:val="32"/>
                <w:lang w:val="fr-FR"/>
              </w:rPr>
            </w:pPr>
            <w:r>
              <w:rPr>
                <w:rFonts w:eastAsia="MS Mincho" w:cs="Times New Roman"/>
                <w:b/>
                <w:noProof/>
                <w:szCs w:val="32"/>
                <w:lang w:val="fr-FR"/>
              </w:rPr>
              <w:t xml:space="preserve">Solution </w:t>
            </w:r>
            <w:r w:rsidR="001E0D83">
              <w:rPr>
                <w:rFonts w:eastAsia="MS Mincho" w:cs="Times New Roman"/>
                <w:b/>
                <w:noProof/>
                <w:szCs w:val="32"/>
                <w:lang w:val="fr-FR"/>
              </w:rPr>
              <w:t>recommandé</w:t>
            </w:r>
            <w:r>
              <w:rPr>
                <w:rFonts w:eastAsia="MS Mincho" w:cs="Times New Roman"/>
                <w:b/>
                <w:noProof/>
                <w:szCs w:val="32"/>
                <w:lang w:val="fr-FR"/>
              </w:rPr>
              <w:t>e</w:t>
            </w:r>
          </w:p>
        </w:tc>
        <w:tc>
          <w:tcPr>
            <w:tcW w:w="7228" w:type="dxa"/>
          </w:tcPr>
          <w:p w14:paraId="47046003" w14:textId="77777777" w:rsidR="00D92BF0" w:rsidRDefault="00D92BF0" w:rsidP="0004093E">
            <w:pPr>
              <w:jc w:val="both"/>
              <w:rPr>
                <w:rFonts w:eastAsia="MS Mincho" w:cs="Times New Roman"/>
                <w:noProof/>
                <w:szCs w:val="32"/>
                <w:lang w:val="fr-FR"/>
              </w:rPr>
            </w:pPr>
            <w:r>
              <w:rPr>
                <w:rFonts w:eastAsia="MS Mincho" w:cs="Times New Roman"/>
                <w:noProof/>
                <w:szCs w:val="32"/>
                <w:lang w:val="fr-FR"/>
              </w:rPr>
              <w:t xml:space="preserve">Les modalités de transfert des données relatives aux plus values </w:t>
            </w:r>
            <w:r w:rsidR="00DA7878">
              <w:rPr>
                <w:rFonts w:eastAsia="MS Mincho" w:cs="Times New Roman"/>
                <w:noProof/>
                <w:szCs w:val="32"/>
                <w:lang w:val="fr-FR"/>
              </w:rPr>
              <w:t>concernent</w:t>
            </w:r>
            <w:r>
              <w:rPr>
                <w:rFonts w:eastAsia="MS Mincho" w:cs="Times New Roman"/>
                <w:noProof/>
                <w:szCs w:val="32"/>
                <w:lang w:val="fr-FR"/>
              </w:rPr>
              <w:t xml:space="preserve"> les conversions de pur à nominatif administré ou de nominatif administré à pur ou bien de pur à porteur </w:t>
            </w:r>
            <w:r w:rsidR="00AA6538">
              <w:rPr>
                <w:rFonts w:eastAsia="MS Mincho" w:cs="Times New Roman"/>
                <w:noProof/>
                <w:szCs w:val="32"/>
                <w:lang w:val="fr-FR"/>
              </w:rPr>
              <w:t xml:space="preserve">ou bien encore </w:t>
            </w:r>
            <w:r>
              <w:rPr>
                <w:rFonts w:eastAsia="MS Mincho" w:cs="Times New Roman"/>
                <w:noProof/>
                <w:szCs w:val="32"/>
                <w:lang w:val="fr-FR"/>
              </w:rPr>
              <w:t>de porteur à pur.</w:t>
            </w:r>
          </w:p>
          <w:p w14:paraId="0DE43998" w14:textId="77777777" w:rsidR="00473F08" w:rsidRDefault="00473F08" w:rsidP="0004093E">
            <w:pPr>
              <w:jc w:val="both"/>
              <w:rPr>
                <w:rFonts w:eastAsia="MS Mincho" w:cs="Times New Roman"/>
                <w:noProof/>
                <w:szCs w:val="32"/>
                <w:lang w:val="fr-FR"/>
              </w:rPr>
            </w:pPr>
          </w:p>
          <w:p w14:paraId="07824248" w14:textId="75B90C48" w:rsidR="00A061D4" w:rsidRDefault="00A061D4" w:rsidP="0004093E">
            <w:pPr>
              <w:jc w:val="both"/>
              <w:rPr>
                <w:rFonts w:eastAsia="MS Mincho" w:cs="Times New Roman"/>
                <w:noProof/>
                <w:szCs w:val="32"/>
                <w:lang w:val="fr-FR"/>
              </w:rPr>
            </w:pPr>
            <w:r>
              <w:rPr>
                <w:rFonts w:eastAsia="MS Mincho" w:cs="Times New Roman"/>
                <w:noProof/>
                <w:szCs w:val="32"/>
                <w:lang w:val="fr-FR"/>
              </w:rPr>
              <w:t xml:space="preserve">Après examen de la procédure en place pour les transferts de portefeuille, les établissements concernés par ces opérations ont considéré qu’il était prématuré de modifier le processus actuel de conversion pour y ajouter une pratique d’échange bilatéral d’informations complémentaires (données de date à date). </w:t>
            </w:r>
          </w:p>
          <w:p w14:paraId="2B357144" w14:textId="77777777" w:rsidR="00A061D4" w:rsidRDefault="00A061D4" w:rsidP="0004093E">
            <w:pPr>
              <w:jc w:val="both"/>
              <w:rPr>
                <w:rFonts w:eastAsia="MS Mincho" w:cs="Times New Roman"/>
                <w:noProof/>
                <w:szCs w:val="32"/>
                <w:lang w:val="fr-FR"/>
              </w:rPr>
            </w:pPr>
          </w:p>
          <w:p w14:paraId="3C46FE84" w14:textId="5719137A" w:rsidR="00D92BF0" w:rsidRDefault="00A061D4" w:rsidP="0004093E">
            <w:pPr>
              <w:jc w:val="both"/>
              <w:rPr>
                <w:rFonts w:eastAsia="MS Mincho" w:cs="Times New Roman"/>
                <w:noProof/>
                <w:szCs w:val="32"/>
                <w:lang w:val="fr-FR"/>
              </w:rPr>
            </w:pPr>
            <w:r>
              <w:rPr>
                <w:rFonts w:eastAsia="MS Mincho" w:cs="Times New Roman"/>
                <w:noProof/>
                <w:szCs w:val="32"/>
                <w:lang w:val="fr-FR"/>
              </w:rPr>
              <w:t xml:space="preserve">Les établissements ont </w:t>
            </w:r>
            <w:r w:rsidR="000E438A">
              <w:rPr>
                <w:rFonts w:eastAsia="MS Mincho" w:cs="Times New Roman"/>
                <w:noProof/>
                <w:szCs w:val="32"/>
                <w:lang w:val="fr-FR"/>
              </w:rPr>
              <w:t xml:space="preserve">donc </w:t>
            </w:r>
            <w:r>
              <w:rPr>
                <w:rFonts w:eastAsia="MS Mincho" w:cs="Times New Roman"/>
                <w:noProof/>
                <w:szCs w:val="32"/>
                <w:lang w:val="fr-FR"/>
              </w:rPr>
              <w:t xml:space="preserve">convenu d’attendre pour </w:t>
            </w:r>
            <w:r w:rsidR="00797C57">
              <w:rPr>
                <w:rFonts w:eastAsia="MS Mincho" w:cs="Times New Roman"/>
                <w:noProof/>
                <w:szCs w:val="32"/>
                <w:lang w:val="fr-FR"/>
              </w:rPr>
              <w:t>enrichir</w:t>
            </w:r>
            <w:r>
              <w:rPr>
                <w:rFonts w:eastAsia="MS Mincho" w:cs="Times New Roman"/>
                <w:noProof/>
                <w:szCs w:val="32"/>
                <w:lang w:val="fr-FR"/>
              </w:rPr>
              <w:t xml:space="preserve"> la procédure de conversion </w:t>
            </w:r>
            <w:r w:rsidR="00797C57">
              <w:rPr>
                <w:rFonts w:eastAsia="MS Mincho" w:cs="Times New Roman"/>
                <w:noProof/>
                <w:szCs w:val="32"/>
                <w:lang w:val="fr-FR"/>
              </w:rPr>
              <w:t xml:space="preserve">de ces élements fiscaux </w:t>
            </w:r>
            <w:r>
              <w:rPr>
                <w:rFonts w:eastAsia="MS Mincho" w:cs="Times New Roman"/>
                <w:noProof/>
                <w:szCs w:val="32"/>
                <w:lang w:val="fr-FR"/>
              </w:rPr>
              <w:t xml:space="preserve">que le transfert européen de portefeuille soit disponible. Le sujet sera alors à nouveau examiné </w:t>
            </w:r>
            <w:r w:rsidR="00797C57">
              <w:rPr>
                <w:rFonts w:eastAsia="MS Mincho" w:cs="Times New Roman"/>
                <w:noProof/>
                <w:szCs w:val="32"/>
                <w:lang w:val="fr-FR"/>
              </w:rPr>
              <w:t>dans cette perspective et c</w:t>
            </w:r>
            <w:r>
              <w:rPr>
                <w:rFonts w:eastAsia="MS Mincho" w:cs="Times New Roman"/>
                <w:noProof/>
                <w:szCs w:val="32"/>
                <w:lang w:val="fr-FR"/>
              </w:rPr>
              <w:t>e</w:t>
            </w:r>
            <w:r w:rsidR="00D92BF0" w:rsidRPr="0004093E">
              <w:rPr>
                <w:rFonts w:eastAsia="MS Mincho" w:cs="Times New Roman"/>
                <w:noProof/>
                <w:szCs w:val="32"/>
                <w:lang w:val="fr-FR"/>
              </w:rPr>
              <w:t xml:space="preserve">s données </w:t>
            </w:r>
            <w:r w:rsidR="00443A1F">
              <w:rPr>
                <w:rFonts w:eastAsia="MS Mincho" w:cs="Times New Roman"/>
                <w:noProof/>
                <w:szCs w:val="32"/>
                <w:lang w:val="fr-FR"/>
              </w:rPr>
              <w:t>sero</w:t>
            </w:r>
            <w:r>
              <w:rPr>
                <w:rFonts w:eastAsia="MS Mincho" w:cs="Times New Roman"/>
                <w:noProof/>
                <w:szCs w:val="32"/>
                <w:lang w:val="fr-FR"/>
              </w:rPr>
              <w:t xml:space="preserve">nt </w:t>
            </w:r>
            <w:r w:rsidR="00D92BF0" w:rsidRPr="0004093E">
              <w:rPr>
                <w:rFonts w:eastAsia="MS Mincho" w:cs="Times New Roman"/>
                <w:noProof/>
                <w:szCs w:val="32"/>
                <w:lang w:val="fr-FR"/>
              </w:rPr>
              <w:t xml:space="preserve">transmises </w:t>
            </w:r>
            <w:r w:rsidR="00473F08" w:rsidRPr="0004093E">
              <w:rPr>
                <w:rFonts w:eastAsia="MS Mincho" w:cs="Times New Roman"/>
                <w:noProof/>
                <w:szCs w:val="32"/>
                <w:lang w:val="fr-FR"/>
              </w:rPr>
              <w:t xml:space="preserve">en appliquant des procédures s’inspirant de celles </w:t>
            </w:r>
            <w:r w:rsidR="00D92BF0" w:rsidRPr="0004093E">
              <w:rPr>
                <w:rFonts w:eastAsia="MS Mincho" w:cs="Times New Roman"/>
                <w:noProof/>
                <w:szCs w:val="32"/>
                <w:lang w:val="fr-FR"/>
              </w:rPr>
              <w:t xml:space="preserve">définies pour les transferts de portefeuille </w:t>
            </w:r>
            <w:r>
              <w:rPr>
                <w:rFonts w:eastAsia="MS Mincho" w:cs="Times New Roman"/>
                <w:noProof/>
                <w:szCs w:val="32"/>
                <w:lang w:val="fr-FR"/>
              </w:rPr>
              <w:t xml:space="preserve">européens </w:t>
            </w:r>
            <w:r w:rsidR="00D92BF0" w:rsidRPr="0004093E">
              <w:rPr>
                <w:rFonts w:eastAsia="MS Mincho" w:cs="Times New Roman"/>
                <w:noProof/>
                <w:szCs w:val="32"/>
                <w:lang w:val="fr-FR"/>
              </w:rPr>
              <w:t>entre TCC.</w:t>
            </w:r>
          </w:p>
          <w:p w14:paraId="0A9EEC5E" w14:textId="77777777" w:rsidR="00473F08" w:rsidRDefault="00473F08" w:rsidP="0004093E">
            <w:pPr>
              <w:jc w:val="both"/>
              <w:rPr>
                <w:rFonts w:eastAsia="MS Mincho" w:cs="Times New Roman"/>
                <w:noProof/>
                <w:szCs w:val="32"/>
                <w:lang w:val="fr-FR"/>
              </w:rPr>
            </w:pPr>
          </w:p>
          <w:p w14:paraId="0DDE8088" w14:textId="6F51AC2B" w:rsidR="00AA6538" w:rsidRPr="00B95EA4" w:rsidRDefault="00A061D4" w:rsidP="00AA6538">
            <w:pPr>
              <w:jc w:val="both"/>
              <w:rPr>
                <w:rFonts w:eastAsia="MS Mincho" w:cs="Times New Roman"/>
                <w:noProof/>
                <w:szCs w:val="32"/>
                <w:lang w:val="fr-FR"/>
              </w:rPr>
            </w:pPr>
            <w:r>
              <w:rPr>
                <w:rFonts w:eastAsia="MS Mincho" w:cs="Times New Roman"/>
                <w:noProof/>
                <w:szCs w:val="32"/>
                <w:lang w:val="fr-FR"/>
              </w:rPr>
              <w:t>La procédure de traitement des conve</w:t>
            </w:r>
            <w:r w:rsidR="00797C57">
              <w:rPr>
                <w:rFonts w:eastAsia="MS Mincho" w:cs="Times New Roman"/>
                <w:noProof/>
                <w:szCs w:val="32"/>
                <w:lang w:val="fr-FR"/>
              </w:rPr>
              <w:t>r</w:t>
            </w:r>
            <w:r>
              <w:rPr>
                <w:rFonts w:eastAsia="MS Mincho" w:cs="Times New Roman"/>
                <w:noProof/>
                <w:szCs w:val="32"/>
                <w:lang w:val="fr-FR"/>
              </w:rPr>
              <w:t xml:space="preserve">sions s’appuiera sur </w:t>
            </w:r>
            <w:r w:rsidR="00AA6538" w:rsidRPr="00B95EA4">
              <w:rPr>
                <w:rFonts w:eastAsia="MS Mincho" w:cs="Times New Roman"/>
                <w:noProof/>
                <w:szCs w:val="32"/>
                <w:lang w:val="fr-FR"/>
              </w:rPr>
              <w:t>l’offre d’Euroclear</w:t>
            </w:r>
            <w:r w:rsidR="00FC5331">
              <w:rPr>
                <w:rFonts w:eastAsia="MS Mincho" w:cs="Times New Roman"/>
                <w:noProof/>
                <w:szCs w:val="32"/>
                <w:lang w:val="fr-FR"/>
              </w:rPr>
              <w:t xml:space="preserve"> </w:t>
            </w:r>
            <w:r w:rsidR="00AA6538" w:rsidRPr="00B95EA4">
              <w:rPr>
                <w:rFonts w:eastAsia="MS Mincho" w:cs="Times New Roman"/>
                <w:noProof/>
                <w:szCs w:val="32"/>
                <w:lang w:val="fr-FR"/>
              </w:rPr>
              <w:t>F</w:t>
            </w:r>
            <w:r w:rsidR="00443A1F">
              <w:rPr>
                <w:rFonts w:eastAsia="MS Mincho" w:cs="Times New Roman"/>
                <w:noProof/>
                <w:szCs w:val="32"/>
                <w:lang w:val="fr-FR"/>
              </w:rPr>
              <w:t>OP</w:t>
            </w:r>
            <w:r w:rsidR="00AA6538" w:rsidRPr="00B95EA4">
              <w:rPr>
                <w:rFonts w:eastAsia="MS Mincho" w:cs="Times New Roman"/>
                <w:noProof/>
                <w:szCs w:val="32"/>
                <w:lang w:val="fr-FR"/>
              </w:rPr>
              <w:t xml:space="preserve"> without Matching qui fonctionne</w:t>
            </w:r>
            <w:r w:rsidR="00AA6538">
              <w:rPr>
                <w:rFonts w:eastAsia="MS Mincho" w:cs="Times New Roman"/>
                <w:noProof/>
                <w:szCs w:val="32"/>
                <w:lang w:val="fr-FR"/>
              </w:rPr>
              <w:t xml:space="preserve">ra </w:t>
            </w:r>
            <w:r w:rsidR="00AA6538" w:rsidRPr="00B95EA4">
              <w:rPr>
                <w:rFonts w:eastAsia="MS Mincho" w:cs="Times New Roman"/>
                <w:noProof/>
                <w:szCs w:val="32"/>
                <w:lang w:val="fr-FR"/>
              </w:rPr>
              <w:t xml:space="preserve"> </w:t>
            </w:r>
            <w:r w:rsidR="00443A1F">
              <w:rPr>
                <w:rFonts w:eastAsia="MS Mincho" w:cs="Times New Roman"/>
                <w:noProof/>
                <w:szCs w:val="32"/>
                <w:lang w:val="fr-FR"/>
              </w:rPr>
              <w:t>avec des message</w:t>
            </w:r>
            <w:r w:rsidR="00443A1F" w:rsidRPr="00443A1F">
              <w:rPr>
                <w:rFonts w:eastAsia="MS Mincho" w:cs="Times New Roman"/>
                <w:noProof/>
                <w:szCs w:val="32"/>
                <w:lang w:val="fr-FR"/>
              </w:rPr>
              <w:t xml:space="preserve">s 15022 et </w:t>
            </w:r>
            <w:r w:rsidR="00AA6538" w:rsidRPr="00443A1F">
              <w:rPr>
                <w:rFonts w:eastAsia="MS Mincho" w:cs="Times New Roman"/>
                <w:noProof/>
                <w:szCs w:val="32"/>
                <w:lang w:val="fr-FR"/>
              </w:rPr>
              <w:t>20022</w:t>
            </w:r>
            <w:r w:rsidR="00443A1F" w:rsidRPr="00443A1F">
              <w:rPr>
                <w:rFonts w:eastAsia="MS Mincho" w:cs="Times New Roman"/>
                <w:noProof/>
                <w:szCs w:val="32"/>
                <w:lang w:val="fr-FR"/>
              </w:rPr>
              <w:t xml:space="preserve"> </w:t>
            </w:r>
            <w:r>
              <w:rPr>
                <w:rFonts w:eastAsia="MS Mincho" w:cs="Times New Roman"/>
                <w:noProof/>
                <w:szCs w:val="32"/>
                <w:lang w:val="fr-FR"/>
              </w:rPr>
              <w:t>et pourra</w:t>
            </w:r>
            <w:r w:rsidR="00AA6538" w:rsidRPr="00B95EA4">
              <w:rPr>
                <w:rFonts w:eastAsia="MS Mincho" w:cs="Times New Roman"/>
                <w:noProof/>
                <w:szCs w:val="32"/>
                <w:lang w:val="fr-FR"/>
              </w:rPr>
              <w:t xml:space="preserve"> également </w:t>
            </w:r>
            <w:r w:rsidR="00AA6538">
              <w:rPr>
                <w:rFonts w:eastAsia="MS Mincho" w:cs="Times New Roman"/>
                <w:noProof/>
                <w:szCs w:val="32"/>
                <w:lang w:val="fr-FR"/>
              </w:rPr>
              <w:t>être utilisée à partir du poste Euroclear  Connect</w:t>
            </w:r>
            <w:r w:rsidR="00AA6538" w:rsidRPr="00B95EA4">
              <w:rPr>
                <w:rFonts w:eastAsia="MS Mincho" w:cs="Times New Roman"/>
                <w:noProof/>
                <w:szCs w:val="32"/>
                <w:lang w:val="fr-FR"/>
              </w:rPr>
              <w:t>.</w:t>
            </w:r>
          </w:p>
          <w:p w14:paraId="2BF5A598" w14:textId="77777777" w:rsidR="00AA6538" w:rsidRDefault="00AA6538" w:rsidP="00AA6538">
            <w:pPr>
              <w:jc w:val="both"/>
              <w:rPr>
                <w:rFonts w:eastAsia="MS Mincho" w:cs="Times New Roman"/>
                <w:noProof/>
                <w:szCs w:val="32"/>
                <w:lang w:val="fr-FR"/>
              </w:rPr>
            </w:pPr>
          </w:p>
          <w:p w14:paraId="09DE76F0" w14:textId="693A11CF" w:rsidR="00AA6538" w:rsidRPr="00443A1F" w:rsidRDefault="00AA6538" w:rsidP="0004093E">
            <w:pPr>
              <w:jc w:val="both"/>
              <w:rPr>
                <w:rFonts w:eastAsia="MS Mincho" w:cs="Times New Roman"/>
                <w:noProof/>
                <w:szCs w:val="32"/>
                <w:u w:val="single"/>
              </w:rPr>
            </w:pPr>
            <w:r w:rsidRPr="00443A1F">
              <w:rPr>
                <w:rFonts w:eastAsia="MS Mincho" w:cs="Times New Roman"/>
                <w:b/>
                <w:noProof/>
                <w:szCs w:val="32"/>
                <w:u w:val="single"/>
              </w:rPr>
              <w:t>Principes généraux</w:t>
            </w:r>
          </w:p>
          <w:p w14:paraId="368589F0" w14:textId="5B272916" w:rsidR="00AA6538" w:rsidRPr="00B95EA4" w:rsidRDefault="00AA6538" w:rsidP="00443A1F">
            <w:pPr>
              <w:pStyle w:val="Paragraphedeliste"/>
              <w:numPr>
                <w:ilvl w:val="0"/>
                <w:numId w:val="3"/>
              </w:numPr>
              <w:jc w:val="both"/>
              <w:rPr>
                <w:rFonts w:eastAsia="MS Mincho" w:cs="Times New Roman"/>
                <w:noProof/>
                <w:szCs w:val="32"/>
                <w:lang w:val="fr-FR"/>
              </w:rPr>
            </w:pPr>
            <w:r w:rsidRPr="00B95EA4">
              <w:rPr>
                <w:rFonts w:eastAsia="MS Mincho" w:cs="Times New Roman"/>
                <w:noProof/>
                <w:szCs w:val="32"/>
                <w:lang w:val="fr-FR"/>
              </w:rPr>
              <w:t xml:space="preserve">Ne pas utiliser </w:t>
            </w:r>
            <w:r>
              <w:rPr>
                <w:rFonts w:eastAsia="MS Mincho" w:cs="Times New Roman"/>
                <w:noProof/>
                <w:szCs w:val="32"/>
                <w:lang w:val="fr-FR"/>
              </w:rPr>
              <w:t>les foncti</w:t>
            </w:r>
            <w:r w:rsidR="00443A1F">
              <w:rPr>
                <w:rFonts w:eastAsia="MS Mincho" w:cs="Times New Roman"/>
                <w:noProof/>
                <w:szCs w:val="32"/>
                <w:lang w:val="fr-FR"/>
              </w:rPr>
              <w:t>onnalités permettant de mettre e</w:t>
            </w:r>
            <w:r>
              <w:rPr>
                <w:rFonts w:eastAsia="MS Mincho" w:cs="Times New Roman"/>
                <w:noProof/>
                <w:szCs w:val="32"/>
                <w:lang w:val="fr-FR"/>
              </w:rPr>
              <w:t xml:space="preserve">n </w:t>
            </w:r>
            <w:r w:rsidRPr="00B95EA4">
              <w:rPr>
                <w:rFonts w:eastAsia="MS Mincho" w:cs="Times New Roman"/>
                <w:noProof/>
                <w:szCs w:val="32"/>
                <w:lang w:val="fr-FR"/>
              </w:rPr>
              <w:t>“hold”</w:t>
            </w:r>
            <w:r>
              <w:rPr>
                <w:rFonts w:eastAsia="MS Mincho" w:cs="Times New Roman"/>
                <w:noProof/>
                <w:szCs w:val="32"/>
                <w:lang w:val="fr-FR"/>
              </w:rPr>
              <w:t xml:space="preserve"> une instruction</w:t>
            </w:r>
          </w:p>
          <w:p w14:paraId="3C09913B" w14:textId="77777777" w:rsidR="00AA6538" w:rsidRDefault="00AA6538" w:rsidP="00443A1F">
            <w:pPr>
              <w:pStyle w:val="Paragraphedeliste"/>
              <w:numPr>
                <w:ilvl w:val="0"/>
                <w:numId w:val="3"/>
              </w:numPr>
              <w:jc w:val="both"/>
              <w:rPr>
                <w:rFonts w:eastAsia="MS Mincho" w:cs="Times New Roman"/>
                <w:noProof/>
                <w:szCs w:val="32"/>
                <w:lang w:val="fr-FR"/>
              </w:rPr>
            </w:pPr>
            <w:r w:rsidRPr="00E344E9">
              <w:rPr>
                <w:rFonts w:eastAsia="MS Mincho" w:cs="Times New Roman"/>
                <w:noProof/>
                <w:szCs w:val="32"/>
                <w:lang w:val="fr-FR"/>
              </w:rPr>
              <w:t>Ne pas utiliser les possibilités de dénouement partiel</w:t>
            </w:r>
          </w:p>
          <w:p w14:paraId="5615647E" w14:textId="3813C359" w:rsidR="00AA6538" w:rsidRPr="00A02DBD" w:rsidRDefault="00AA6538" w:rsidP="00443A1F">
            <w:pPr>
              <w:pStyle w:val="Paragraphedeliste"/>
              <w:numPr>
                <w:ilvl w:val="0"/>
                <w:numId w:val="3"/>
              </w:numPr>
              <w:jc w:val="both"/>
              <w:rPr>
                <w:lang w:val="fr-FR"/>
              </w:rPr>
            </w:pPr>
            <w:r w:rsidRPr="003C6831">
              <w:rPr>
                <w:rFonts w:eastAsia="MS Mincho" w:cs="Times New Roman"/>
                <w:noProof/>
                <w:szCs w:val="32"/>
                <w:lang w:val="fr-FR"/>
              </w:rPr>
              <w:t xml:space="preserve">Le </w:t>
            </w:r>
            <w:r w:rsidR="00443A1F">
              <w:rPr>
                <w:rFonts w:eastAsia="MS Mincho" w:cs="Times New Roman"/>
                <w:noProof/>
                <w:szCs w:val="32"/>
                <w:lang w:val="fr-FR"/>
              </w:rPr>
              <w:t>« </w:t>
            </w:r>
            <w:r w:rsidRPr="003C6831">
              <w:rPr>
                <w:rFonts w:eastAsia="MS Mincho" w:cs="Times New Roman"/>
                <w:noProof/>
                <w:szCs w:val="32"/>
                <w:lang w:val="fr-FR"/>
              </w:rPr>
              <w:t>Transaction Type</w:t>
            </w:r>
            <w:r w:rsidR="00443A1F">
              <w:rPr>
                <w:rFonts w:eastAsia="MS Mincho" w:cs="Times New Roman"/>
                <w:noProof/>
                <w:szCs w:val="32"/>
                <w:lang w:val="fr-FR"/>
              </w:rPr>
              <w:t> »</w:t>
            </w:r>
            <w:r w:rsidRPr="003C6831">
              <w:rPr>
                <w:rFonts w:eastAsia="MS Mincho" w:cs="Times New Roman"/>
                <w:noProof/>
                <w:szCs w:val="32"/>
                <w:lang w:val="fr-FR"/>
              </w:rPr>
              <w:t xml:space="preserve"> doit obligatoirement être </w:t>
            </w:r>
            <w:r w:rsidRPr="00770678">
              <w:rPr>
                <w:rFonts w:eastAsia="MS Mincho" w:cs="Times New Roman"/>
                <w:noProof/>
                <w:szCs w:val="32"/>
                <w:lang w:val="fr-FR"/>
              </w:rPr>
              <w:t xml:space="preserve">utilisé avec OWNE ce code </w:t>
            </w:r>
            <w:r w:rsidR="00443A1F">
              <w:rPr>
                <w:rFonts w:eastAsia="MS Mincho" w:cs="Times New Roman"/>
                <w:noProof/>
                <w:szCs w:val="32"/>
                <w:lang w:val="fr-FR"/>
              </w:rPr>
              <w:t>étant réservé aux instructions FOP</w:t>
            </w:r>
            <w:r w:rsidRPr="00770678">
              <w:rPr>
                <w:rFonts w:eastAsia="MS Mincho" w:cs="Times New Roman"/>
                <w:noProof/>
                <w:szCs w:val="32"/>
                <w:lang w:val="fr-FR"/>
              </w:rPr>
              <w:t xml:space="preserve"> without matching.</w:t>
            </w:r>
          </w:p>
          <w:p w14:paraId="0DBD0A5F" w14:textId="77777777" w:rsidR="00FB3AEB" w:rsidRPr="00443A1F" w:rsidRDefault="00FB3AEB" w:rsidP="00443A1F">
            <w:pPr>
              <w:pStyle w:val="Paragraphedeliste"/>
              <w:numPr>
                <w:ilvl w:val="0"/>
                <w:numId w:val="3"/>
              </w:numPr>
              <w:jc w:val="both"/>
              <w:rPr>
                <w:lang w:val="fr-FR"/>
              </w:rPr>
            </w:pPr>
            <w:r w:rsidRPr="008F4F8D">
              <w:rPr>
                <w:rFonts w:eastAsia="MS Mincho" w:cstheme="minorHAnsi"/>
                <w:noProof/>
                <w:szCs w:val="32"/>
                <w:lang w:val="fr-FR"/>
              </w:rPr>
              <w:t>Ces instructions étant éligibles au processus de détection des market claims et transformations (dans l</w:t>
            </w:r>
            <w:r w:rsidRPr="009072A9">
              <w:rPr>
                <w:rFonts w:eastAsia="MS Mincho" w:cstheme="minorHAnsi"/>
                <w:noProof/>
                <w:szCs w:val="32"/>
                <w:lang w:val="fr-FR"/>
              </w:rPr>
              <w:t>’attente de la correction du defect n° 27092</w:t>
            </w:r>
            <w:r>
              <w:rPr>
                <w:rFonts w:eastAsia="MS Mincho" w:cstheme="minorHAnsi"/>
                <w:noProof/>
                <w:szCs w:val="32"/>
                <w:lang w:val="fr-FR"/>
              </w:rPr>
              <w:t>)</w:t>
            </w:r>
            <w:r w:rsidRPr="008F4F8D">
              <w:rPr>
                <w:rFonts w:eastAsia="MS Mincho" w:cstheme="minorHAnsi"/>
                <w:noProof/>
                <w:szCs w:val="32"/>
                <w:lang w:val="fr-FR"/>
              </w:rPr>
              <w:t>, p</w:t>
            </w:r>
            <w:r w:rsidRPr="009072A9">
              <w:rPr>
                <w:rFonts w:eastAsia="MS Mincho" w:cs="Times New Roman"/>
                <w:noProof/>
                <w:szCs w:val="32"/>
                <w:lang w:val="fr-FR"/>
              </w:rPr>
              <w:t>our éviter les OST sur flux, la trade date doit être égale à la settlement date.</w:t>
            </w:r>
          </w:p>
          <w:p w14:paraId="73CA224A" w14:textId="77777777" w:rsidR="00443A1F" w:rsidRDefault="00443A1F" w:rsidP="00443A1F">
            <w:pPr>
              <w:pStyle w:val="Paragraphedeliste"/>
              <w:jc w:val="both"/>
              <w:rPr>
                <w:rFonts w:eastAsia="MS Mincho" w:cs="Times New Roman"/>
                <w:noProof/>
                <w:szCs w:val="32"/>
                <w:lang w:val="fr-FR"/>
              </w:rPr>
            </w:pPr>
          </w:p>
          <w:p w14:paraId="2C9266E5" w14:textId="77777777" w:rsidR="00443A1F" w:rsidRPr="00C0767C" w:rsidRDefault="00443A1F" w:rsidP="00443A1F">
            <w:pPr>
              <w:pStyle w:val="Paragraphedeliste"/>
              <w:jc w:val="both"/>
              <w:rPr>
                <w:lang w:val="fr-FR"/>
              </w:rPr>
            </w:pPr>
          </w:p>
          <w:p w14:paraId="680D09B7" w14:textId="77777777" w:rsidR="002A449C" w:rsidRPr="00C0767C" w:rsidRDefault="002A449C" w:rsidP="00C0767C">
            <w:pPr>
              <w:jc w:val="both"/>
              <w:rPr>
                <w:lang w:val="fr-FR"/>
              </w:rPr>
            </w:pPr>
          </w:p>
          <w:p w14:paraId="553A6B5B" w14:textId="1BE30AE1" w:rsidR="00CE06A4" w:rsidRPr="00D50655" w:rsidRDefault="00CE06A4" w:rsidP="00D50655">
            <w:pPr>
              <w:rPr>
                <w:rFonts w:eastAsia="MS Mincho" w:cs="Times New Roman"/>
                <w:b/>
                <w:noProof/>
                <w:szCs w:val="32"/>
                <w:u w:val="single"/>
                <w:lang w:val="fr-FR"/>
              </w:rPr>
            </w:pPr>
            <w:r w:rsidRPr="00443A1F">
              <w:rPr>
                <w:rFonts w:eastAsia="MS Mincho" w:cs="Times New Roman"/>
                <w:b/>
                <w:noProof/>
                <w:szCs w:val="32"/>
                <w:u w:val="single"/>
                <w:lang w:val="fr-FR"/>
              </w:rPr>
              <w:t xml:space="preserve">Renseignement des données </w:t>
            </w:r>
          </w:p>
          <w:p w14:paraId="1953F994" w14:textId="0CB70052" w:rsidR="00CE06A4" w:rsidRPr="00D50655" w:rsidRDefault="00483D8D" w:rsidP="00CE06A4">
            <w:pPr>
              <w:rPr>
                <w:rFonts w:eastAsia="MS Mincho" w:cs="Times New Roman"/>
                <w:noProof/>
                <w:szCs w:val="32"/>
                <w:lang w:val="fr-FR"/>
              </w:rPr>
            </w:pPr>
            <w:r w:rsidRPr="00D50655">
              <w:rPr>
                <w:rFonts w:eastAsia="MS Mincho" w:cs="Times New Roman"/>
                <w:noProof/>
                <w:szCs w:val="32"/>
                <w:lang w:val="fr-FR"/>
              </w:rPr>
              <w:t xml:space="preserve">Pour renseigner les différentes rubriques, se reporter à la fiche </w:t>
            </w:r>
            <w:r w:rsidR="00D50655" w:rsidRPr="00922B9C">
              <w:rPr>
                <w:i/>
                <w:lang w:val="fr-FR"/>
              </w:rPr>
              <w:t>MS-</w:t>
            </w:r>
            <w:r w:rsidR="00D50655">
              <w:rPr>
                <w:i/>
                <w:lang w:val="fr-FR"/>
              </w:rPr>
              <w:t xml:space="preserve">SETTL-FRANCO-02 </w:t>
            </w:r>
            <w:r w:rsidRPr="00D50655">
              <w:rPr>
                <w:rFonts w:eastAsia="MS Mincho" w:cs="Times New Roman"/>
                <w:noProof/>
                <w:szCs w:val="32"/>
                <w:lang w:val="fr-FR"/>
              </w:rPr>
              <w:t>« Transfert de portefeuille » </w:t>
            </w:r>
          </w:p>
          <w:p w14:paraId="459A636E" w14:textId="77777777" w:rsidR="00483D8D" w:rsidRDefault="00483D8D" w:rsidP="00FA627B">
            <w:pPr>
              <w:pStyle w:val="Paragraphedeliste"/>
              <w:numPr>
                <w:ilvl w:val="0"/>
                <w:numId w:val="9"/>
              </w:numPr>
              <w:rPr>
                <w:rFonts w:eastAsia="MS Mincho" w:cs="Times New Roman"/>
                <w:noProof/>
                <w:szCs w:val="32"/>
                <w:lang w:val="fr-FR"/>
              </w:rPr>
            </w:pPr>
            <w:r>
              <w:rPr>
                <w:rFonts w:eastAsia="MS Mincho" w:cs="Times New Roman"/>
                <w:noProof/>
                <w:szCs w:val="32"/>
                <w:lang w:val="fr-FR"/>
              </w:rPr>
              <w:t>RIB</w:t>
            </w:r>
            <w:r w:rsidR="00F805C0">
              <w:rPr>
                <w:rFonts w:eastAsia="MS Mincho" w:cs="Times New Roman"/>
                <w:noProof/>
                <w:szCs w:val="32"/>
                <w:lang w:val="fr-FR"/>
              </w:rPr>
              <w:t>,</w:t>
            </w:r>
          </w:p>
          <w:p w14:paraId="4EE5436F" w14:textId="77777777" w:rsidR="00483D8D" w:rsidRDefault="00483D8D" w:rsidP="00FA627B">
            <w:pPr>
              <w:pStyle w:val="Paragraphedeliste"/>
              <w:numPr>
                <w:ilvl w:val="0"/>
                <w:numId w:val="9"/>
              </w:numPr>
              <w:rPr>
                <w:rFonts w:eastAsia="MS Mincho" w:cs="Times New Roman"/>
                <w:noProof/>
                <w:szCs w:val="32"/>
                <w:lang w:val="fr-FR"/>
              </w:rPr>
            </w:pPr>
            <w:r>
              <w:rPr>
                <w:rFonts w:eastAsia="MS Mincho" w:cs="Times New Roman"/>
                <w:noProof/>
                <w:szCs w:val="32"/>
                <w:lang w:val="fr-FR"/>
              </w:rPr>
              <w:t>Millésime</w:t>
            </w:r>
            <w:r w:rsidR="00F805C0">
              <w:rPr>
                <w:rFonts w:eastAsia="MS Mincho" w:cs="Times New Roman"/>
                <w:noProof/>
                <w:szCs w:val="32"/>
                <w:lang w:val="fr-FR"/>
              </w:rPr>
              <w:t>,</w:t>
            </w:r>
          </w:p>
          <w:p w14:paraId="4C58D64F" w14:textId="77777777" w:rsidR="00483D8D" w:rsidRDefault="00483D8D" w:rsidP="00FA627B">
            <w:pPr>
              <w:pStyle w:val="Paragraphedeliste"/>
              <w:numPr>
                <w:ilvl w:val="0"/>
                <w:numId w:val="9"/>
              </w:numPr>
              <w:rPr>
                <w:rFonts w:eastAsia="MS Mincho" w:cs="Times New Roman"/>
                <w:noProof/>
                <w:szCs w:val="32"/>
                <w:lang w:val="fr-FR"/>
              </w:rPr>
            </w:pPr>
            <w:r>
              <w:rPr>
                <w:rFonts w:eastAsia="MS Mincho" w:cs="Times New Roman"/>
                <w:noProof/>
                <w:szCs w:val="32"/>
                <w:lang w:val="fr-FR"/>
              </w:rPr>
              <w:t>Prix moyen</w:t>
            </w:r>
            <w:r w:rsidR="00F805C0">
              <w:rPr>
                <w:rFonts w:eastAsia="MS Mincho" w:cs="Times New Roman"/>
                <w:noProof/>
                <w:szCs w:val="32"/>
                <w:lang w:val="fr-FR"/>
              </w:rPr>
              <w:t>, type de,prix moyen,</w:t>
            </w:r>
          </w:p>
          <w:p w14:paraId="07227E80" w14:textId="77777777" w:rsidR="00483D8D" w:rsidRDefault="00F805C0" w:rsidP="00FA627B">
            <w:pPr>
              <w:pStyle w:val="Paragraphedeliste"/>
              <w:numPr>
                <w:ilvl w:val="0"/>
                <w:numId w:val="9"/>
              </w:numPr>
              <w:rPr>
                <w:rFonts w:eastAsia="MS Mincho" w:cs="Times New Roman"/>
                <w:noProof/>
                <w:szCs w:val="32"/>
                <w:lang w:val="fr-FR"/>
              </w:rPr>
            </w:pPr>
            <w:r>
              <w:rPr>
                <w:rFonts w:eastAsia="MS Mincho" w:cs="Times New Roman"/>
                <w:noProof/>
                <w:szCs w:val="32"/>
                <w:lang w:val="fr-FR"/>
              </w:rPr>
              <w:t>Désignation du bénéficiaire,</w:t>
            </w:r>
          </w:p>
          <w:p w14:paraId="515BBA42" w14:textId="77777777" w:rsidR="00F805C0" w:rsidRDefault="00F805C0" w:rsidP="00FA627B">
            <w:pPr>
              <w:pStyle w:val="Paragraphedeliste"/>
              <w:numPr>
                <w:ilvl w:val="0"/>
                <w:numId w:val="9"/>
              </w:numPr>
              <w:rPr>
                <w:rFonts w:eastAsia="MS Mincho" w:cs="Times New Roman"/>
                <w:noProof/>
                <w:szCs w:val="32"/>
                <w:lang w:val="fr-FR"/>
              </w:rPr>
            </w:pPr>
            <w:r>
              <w:rPr>
                <w:rFonts w:eastAsia="MS Mincho" w:cs="Times New Roman"/>
                <w:noProof/>
                <w:szCs w:val="32"/>
                <w:lang w:val="fr-FR"/>
              </w:rPr>
              <w:t>Structure de compte,</w:t>
            </w:r>
          </w:p>
          <w:p w14:paraId="470553F0" w14:textId="77777777" w:rsidR="00F805C0" w:rsidRDefault="00F805C0" w:rsidP="00FA627B">
            <w:pPr>
              <w:pStyle w:val="Paragraphedeliste"/>
              <w:numPr>
                <w:ilvl w:val="0"/>
                <w:numId w:val="9"/>
              </w:numPr>
              <w:rPr>
                <w:rFonts w:eastAsia="MS Mincho" w:cs="Times New Roman"/>
                <w:noProof/>
                <w:szCs w:val="32"/>
                <w:lang w:val="fr-FR"/>
              </w:rPr>
            </w:pPr>
            <w:r>
              <w:rPr>
                <w:rFonts w:eastAsia="MS Mincho" w:cs="Times New Roman"/>
                <w:noProof/>
                <w:szCs w:val="32"/>
                <w:lang w:val="fr-FR"/>
              </w:rPr>
              <w:lastRenderedPageBreak/>
              <w:t>Commentaire complémentaire éventuel</w:t>
            </w:r>
            <w:r w:rsidR="00FA627B">
              <w:rPr>
                <w:rFonts w:eastAsia="MS Mincho" w:cs="Times New Roman"/>
                <w:noProof/>
                <w:szCs w:val="32"/>
                <w:lang w:val="fr-FR"/>
              </w:rPr>
              <w:t>.</w:t>
            </w:r>
          </w:p>
          <w:p w14:paraId="3271EF7C" w14:textId="77777777" w:rsidR="00CA3515" w:rsidRPr="00C0767C" w:rsidRDefault="00CA3515" w:rsidP="00C0767C">
            <w:pPr>
              <w:rPr>
                <w:rFonts w:eastAsia="MS Mincho" w:cs="Times New Roman"/>
                <w:noProof/>
                <w:szCs w:val="32"/>
                <w:lang w:val="fr-FR"/>
              </w:rPr>
            </w:pPr>
          </w:p>
          <w:p w14:paraId="57FD44F5" w14:textId="639411F1" w:rsidR="00CA3515" w:rsidRPr="0050662A" w:rsidRDefault="00B71843" w:rsidP="00CA3515">
            <w:pPr>
              <w:jc w:val="both"/>
              <w:rPr>
                <w:rFonts w:eastAsia="MS Mincho" w:cstheme="minorHAnsi"/>
                <w:b/>
                <w:noProof/>
                <w:szCs w:val="32"/>
                <w:u w:val="single"/>
                <w:lang w:val="fr-FR"/>
              </w:rPr>
            </w:pPr>
            <w:r>
              <w:rPr>
                <w:rFonts w:eastAsia="MS Mincho" w:cstheme="minorHAnsi"/>
                <w:b/>
                <w:noProof/>
                <w:szCs w:val="32"/>
                <w:u w:val="single"/>
                <w:lang w:val="fr-FR"/>
              </w:rPr>
              <w:t>Référence d’appariem</w:t>
            </w:r>
            <w:r w:rsidR="00CA3515">
              <w:rPr>
                <w:rFonts w:eastAsia="MS Mincho" w:cstheme="minorHAnsi"/>
                <w:b/>
                <w:noProof/>
                <w:szCs w:val="32"/>
                <w:u w:val="single"/>
                <w:lang w:val="fr-FR"/>
              </w:rPr>
              <w:t xml:space="preserve">ent </w:t>
            </w:r>
            <w:r w:rsidR="00CA3515" w:rsidRPr="00CA3515">
              <w:rPr>
                <w:rFonts w:eastAsia="MS Mincho" w:cstheme="minorHAnsi"/>
                <w:b/>
                <w:noProof/>
                <w:szCs w:val="32"/>
                <w:u w:val="single"/>
                <w:lang w:val="fr-FR"/>
              </w:rPr>
              <w:t>avec le BRN</w:t>
            </w:r>
          </w:p>
          <w:p w14:paraId="2A4B4DD6" w14:textId="77777777" w:rsidR="00CA3515" w:rsidRPr="0050662A" w:rsidRDefault="00CA3515" w:rsidP="00C0767C">
            <w:pPr>
              <w:ind w:left="33"/>
              <w:jc w:val="both"/>
              <w:rPr>
                <w:rFonts w:eastAsia="MS Mincho" w:cstheme="minorHAnsi"/>
                <w:noProof/>
                <w:szCs w:val="32"/>
                <w:lang w:val="fr-FR"/>
              </w:rPr>
            </w:pPr>
            <w:r w:rsidRPr="00CA3515">
              <w:rPr>
                <w:rFonts w:eastAsia="MS Mincho" w:cstheme="minorHAnsi"/>
                <w:noProof/>
                <w:szCs w:val="32"/>
                <w:lang w:val="fr-FR"/>
              </w:rPr>
              <w:t xml:space="preserve">La référence d'appariement avec le BRN doit être </w:t>
            </w:r>
            <w:r w:rsidR="00C84EA0">
              <w:rPr>
                <w:rFonts w:eastAsia="MS Mincho" w:cstheme="minorHAnsi"/>
                <w:noProof/>
                <w:szCs w:val="32"/>
                <w:lang w:val="fr-FR"/>
              </w:rPr>
              <w:t>renseignée dans les instructions suivant les règles ci-dessous :</w:t>
            </w:r>
          </w:p>
          <w:p w14:paraId="25F5D4A0" w14:textId="77777777" w:rsidR="00CA3515" w:rsidRPr="0050662A" w:rsidRDefault="00CA3515" w:rsidP="00CA3515">
            <w:pPr>
              <w:ind w:left="33"/>
              <w:jc w:val="both"/>
              <w:rPr>
                <w:rFonts w:eastAsia="MS Mincho" w:cstheme="minorHAnsi"/>
                <w:noProof/>
                <w:szCs w:val="32"/>
                <w:lang w:val="fr-FR"/>
              </w:rPr>
            </w:pPr>
          </w:p>
          <w:tbl>
            <w:tblPr>
              <w:tblStyle w:val="Grilledutableau"/>
              <w:tblW w:w="6925" w:type="dxa"/>
              <w:tblLayout w:type="fixed"/>
              <w:tblLook w:val="04A0" w:firstRow="1" w:lastRow="0" w:firstColumn="1" w:lastColumn="0" w:noHBand="0" w:noVBand="1"/>
            </w:tblPr>
            <w:tblGrid>
              <w:gridCol w:w="994"/>
              <w:gridCol w:w="978"/>
              <w:gridCol w:w="3525"/>
              <w:gridCol w:w="1428"/>
            </w:tblGrid>
            <w:tr w:rsidR="00CA3515" w:rsidRPr="00CA3515" w14:paraId="0B0E53E1" w14:textId="77777777" w:rsidTr="00D50655">
              <w:trPr>
                <w:trHeight w:val="193"/>
              </w:trPr>
              <w:tc>
                <w:tcPr>
                  <w:tcW w:w="994" w:type="dxa"/>
                  <w:shd w:val="clear" w:color="auto" w:fill="BFBFBF" w:themeFill="background1" w:themeFillShade="BF"/>
                  <w:vAlign w:val="center"/>
                </w:tcPr>
                <w:p w14:paraId="62EAB558" w14:textId="77777777" w:rsidR="00CA3515" w:rsidRPr="0050662A" w:rsidRDefault="00CA3515" w:rsidP="00CA3515">
                  <w:pPr>
                    <w:jc w:val="center"/>
                    <w:rPr>
                      <w:rFonts w:eastAsia="MS Mincho" w:cstheme="minorHAnsi"/>
                      <w:noProof/>
                      <w:sz w:val="16"/>
                      <w:szCs w:val="16"/>
                      <w:lang w:val="fr-FR"/>
                    </w:rPr>
                  </w:pPr>
                </w:p>
              </w:tc>
              <w:tc>
                <w:tcPr>
                  <w:tcW w:w="978" w:type="dxa"/>
                  <w:shd w:val="clear" w:color="auto" w:fill="BFBFBF" w:themeFill="background1" w:themeFillShade="BF"/>
                  <w:vAlign w:val="center"/>
                </w:tcPr>
                <w:p w14:paraId="613BEC26" w14:textId="77777777" w:rsidR="00CA3515" w:rsidRPr="0050662A" w:rsidRDefault="00CA3515" w:rsidP="00CA3515">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525" w:type="dxa"/>
                  <w:shd w:val="clear" w:color="auto" w:fill="BFBFBF" w:themeFill="background1" w:themeFillShade="BF"/>
                  <w:vAlign w:val="center"/>
                </w:tcPr>
                <w:p w14:paraId="52DF5F52" w14:textId="77777777" w:rsidR="00CA3515" w:rsidRPr="0050662A" w:rsidRDefault="00CA3515" w:rsidP="00CA3515">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428" w:type="dxa"/>
                  <w:shd w:val="clear" w:color="auto" w:fill="BFBFBF" w:themeFill="background1" w:themeFillShade="BF"/>
                  <w:vAlign w:val="center"/>
                </w:tcPr>
                <w:p w14:paraId="5E58ADBF" w14:textId="77777777" w:rsidR="00CA3515" w:rsidRPr="0050662A" w:rsidRDefault="00CA3515" w:rsidP="00CA3515">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CA3515" w:rsidRPr="00CA3515" w14:paraId="74366CA4" w14:textId="77777777" w:rsidTr="00D50655">
              <w:trPr>
                <w:trHeight w:val="178"/>
              </w:trPr>
              <w:tc>
                <w:tcPr>
                  <w:tcW w:w="994" w:type="dxa"/>
                  <w:vMerge w:val="restart"/>
                  <w:shd w:val="clear" w:color="auto" w:fill="BFBFBF" w:themeFill="background1" w:themeFillShade="BF"/>
                  <w:vAlign w:val="center"/>
                </w:tcPr>
                <w:p w14:paraId="3FB489E6" w14:textId="77777777" w:rsidR="00CA3515" w:rsidRPr="0050662A" w:rsidRDefault="00CA3515" w:rsidP="00CA3515">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978" w:type="dxa"/>
                  <w:vAlign w:val="center"/>
                </w:tcPr>
                <w:p w14:paraId="0C1B0803" w14:textId="77777777" w:rsidR="00CA3515" w:rsidRPr="0050662A" w:rsidRDefault="00CA3515" w:rsidP="00CA3515">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525" w:type="dxa"/>
                  <w:vAlign w:val="center"/>
                </w:tcPr>
                <w:p w14:paraId="040F0B33" w14:textId="77777777" w:rsidR="00CA3515" w:rsidRPr="0050662A" w:rsidRDefault="00CA3515" w:rsidP="00CA3515">
                  <w:pPr>
                    <w:jc w:val="center"/>
                    <w:rPr>
                      <w:rFonts w:eastAsia="MS Mincho" w:cstheme="minorHAnsi"/>
                      <w:noProof/>
                      <w:sz w:val="16"/>
                      <w:szCs w:val="16"/>
                      <w:lang w:val="fr-FR"/>
                    </w:rPr>
                  </w:pPr>
                  <w:r>
                    <w:rPr>
                      <w:rFonts w:eastAsia="MS Mincho" w:cstheme="minorHAnsi"/>
                      <w:noProof/>
                      <w:sz w:val="16"/>
                      <w:szCs w:val="16"/>
                      <w:lang w:val="fr-FR"/>
                    </w:rPr>
                    <w:t>Sese.023</w:t>
                  </w:r>
                </w:p>
              </w:tc>
              <w:tc>
                <w:tcPr>
                  <w:tcW w:w="1428" w:type="dxa"/>
                  <w:vMerge w:val="restart"/>
                  <w:vAlign w:val="center"/>
                </w:tcPr>
                <w:p w14:paraId="502D482B" w14:textId="35C4837E" w:rsidR="00CA3515" w:rsidRPr="0050662A" w:rsidRDefault="00CA3515" w:rsidP="00CD01E4">
                  <w:pPr>
                    <w:jc w:val="center"/>
                    <w:rPr>
                      <w:rFonts w:eastAsia="MS Mincho" w:cstheme="minorHAnsi"/>
                      <w:noProof/>
                      <w:sz w:val="16"/>
                      <w:szCs w:val="16"/>
                      <w:lang w:val="fr-FR"/>
                    </w:rPr>
                  </w:pPr>
                  <w:r w:rsidRPr="00CA3515">
                    <w:rPr>
                      <w:rFonts w:eastAsia="MS Mincho" w:cstheme="minorHAnsi"/>
                      <w:noProof/>
                      <w:sz w:val="16"/>
                      <w:szCs w:val="16"/>
                      <w:lang w:val="fr-FR"/>
                    </w:rPr>
                    <w:t>Processing I</w:t>
                  </w:r>
                  <w:r w:rsidR="00CD01E4">
                    <w:rPr>
                      <w:rFonts w:eastAsia="MS Mincho" w:cstheme="minorHAnsi"/>
                      <w:noProof/>
                      <w:sz w:val="16"/>
                      <w:szCs w:val="16"/>
                      <w:lang w:val="fr-FR"/>
                    </w:rPr>
                    <w:t>dentification</w:t>
                  </w:r>
                </w:p>
              </w:tc>
            </w:tr>
            <w:tr w:rsidR="00CA3515" w:rsidRPr="00B12372" w14:paraId="6ADCDAFD" w14:textId="77777777" w:rsidTr="00D50655">
              <w:trPr>
                <w:trHeight w:val="983"/>
              </w:trPr>
              <w:tc>
                <w:tcPr>
                  <w:tcW w:w="994" w:type="dxa"/>
                  <w:vMerge/>
                  <w:shd w:val="clear" w:color="auto" w:fill="BFBFBF" w:themeFill="background1" w:themeFillShade="BF"/>
                  <w:vAlign w:val="center"/>
                </w:tcPr>
                <w:p w14:paraId="66F2B34E" w14:textId="77777777" w:rsidR="00CA3515" w:rsidRPr="0050662A" w:rsidRDefault="00CA3515" w:rsidP="00CA3515">
                  <w:pPr>
                    <w:jc w:val="center"/>
                    <w:rPr>
                      <w:rFonts w:eastAsia="MS Mincho" w:cstheme="minorHAnsi"/>
                      <w:noProof/>
                      <w:sz w:val="16"/>
                      <w:szCs w:val="16"/>
                      <w:lang w:val="fr-FR"/>
                    </w:rPr>
                  </w:pPr>
                </w:p>
              </w:tc>
              <w:tc>
                <w:tcPr>
                  <w:tcW w:w="978" w:type="dxa"/>
                  <w:vAlign w:val="center"/>
                </w:tcPr>
                <w:p w14:paraId="07D5AE8D" w14:textId="77777777" w:rsidR="00CA3515" w:rsidRPr="0050662A" w:rsidRDefault="00CA3515" w:rsidP="00CA3515">
                  <w:pPr>
                    <w:jc w:val="center"/>
                    <w:rPr>
                      <w:rFonts w:eastAsia="MS Mincho" w:cstheme="minorHAnsi"/>
                      <w:noProof/>
                      <w:sz w:val="16"/>
                      <w:szCs w:val="16"/>
                      <w:lang w:val="fr-FR"/>
                    </w:rPr>
                  </w:pPr>
                  <w:r>
                    <w:rPr>
                      <w:rFonts w:eastAsia="MS Mincho" w:cstheme="minorHAnsi"/>
                      <w:noProof/>
                      <w:sz w:val="16"/>
                      <w:szCs w:val="16"/>
                      <w:lang w:val="fr-FR"/>
                    </w:rPr>
                    <w:t xml:space="preserve">20C:PROC des séquences DEAG et </w:t>
                  </w:r>
                  <w:r w:rsidRPr="00CA3515">
                    <w:rPr>
                      <w:rFonts w:eastAsia="MS Mincho" w:cstheme="minorHAnsi"/>
                      <w:noProof/>
                      <w:sz w:val="16"/>
                      <w:szCs w:val="16"/>
                      <w:lang w:val="fr-FR"/>
                    </w:rPr>
                    <w:t>REAG</w:t>
                  </w:r>
                </w:p>
              </w:tc>
              <w:tc>
                <w:tcPr>
                  <w:tcW w:w="3525" w:type="dxa"/>
                  <w:vAlign w:val="center"/>
                </w:tcPr>
                <w:p w14:paraId="2B960A53" w14:textId="77777777" w:rsidR="00CA3515" w:rsidRDefault="00CA3515" w:rsidP="00CA3515">
                  <w:pPr>
                    <w:jc w:val="center"/>
                    <w:rPr>
                      <w:rFonts w:eastAsia="MS Mincho" w:cstheme="minorHAnsi"/>
                      <w:noProof/>
                      <w:sz w:val="16"/>
                      <w:szCs w:val="16"/>
                      <w:lang w:val="fr-FR"/>
                    </w:rPr>
                  </w:pPr>
                  <w:r w:rsidRPr="00CA3515">
                    <w:rPr>
                      <w:rFonts w:eastAsia="MS Mincho" w:cstheme="minorHAnsi"/>
                      <w:noProof/>
                      <w:sz w:val="16"/>
                      <w:szCs w:val="16"/>
                      <w:lang w:val="fr-FR"/>
                    </w:rPr>
                    <w:t>SctiesSttlmTxInstr\DlvrgSttlmPties\Pty1\PrcgId</w:t>
                  </w:r>
                </w:p>
                <w:p w14:paraId="3616E759" w14:textId="77777777" w:rsidR="00CA3515" w:rsidRDefault="00CA3515" w:rsidP="00CA3515">
                  <w:pPr>
                    <w:jc w:val="center"/>
                    <w:rPr>
                      <w:rFonts w:eastAsia="MS Mincho" w:cstheme="minorHAnsi"/>
                      <w:noProof/>
                      <w:sz w:val="16"/>
                      <w:szCs w:val="16"/>
                      <w:lang w:val="fr-FR"/>
                    </w:rPr>
                  </w:pPr>
                  <w:r>
                    <w:rPr>
                      <w:rFonts w:eastAsia="MS Mincho" w:cstheme="minorHAnsi"/>
                      <w:noProof/>
                      <w:sz w:val="16"/>
                      <w:szCs w:val="16"/>
                      <w:lang w:val="fr-FR"/>
                    </w:rPr>
                    <w:t>Et</w:t>
                  </w:r>
                </w:p>
                <w:p w14:paraId="27B608F7" w14:textId="77777777" w:rsidR="00CA3515" w:rsidRPr="0050662A" w:rsidRDefault="00CA3515" w:rsidP="00CA3515">
                  <w:pPr>
                    <w:jc w:val="center"/>
                    <w:rPr>
                      <w:rFonts w:eastAsia="MS Mincho" w:cstheme="minorHAnsi"/>
                      <w:noProof/>
                      <w:sz w:val="16"/>
                      <w:szCs w:val="16"/>
                      <w:lang w:val="fr-FR"/>
                    </w:rPr>
                  </w:pPr>
                  <w:r w:rsidRPr="00CA3515">
                    <w:rPr>
                      <w:rFonts w:eastAsia="MS Mincho" w:cstheme="minorHAnsi"/>
                      <w:noProof/>
                      <w:sz w:val="16"/>
                      <w:szCs w:val="16"/>
                      <w:lang w:val="fr-FR"/>
                    </w:rPr>
                    <w:t>SctiesSttlmTxInstr\RcvgSttlmPties\Pty1\PrcgId</w:t>
                  </w:r>
                </w:p>
              </w:tc>
              <w:tc>
                <w:tcPr>
                  <w:tcW w:w="1428" w:type="dxa"/>
                  <w:vMerge/>
                  <w:vAlign w:val="center"/>
                </w:tcPr>
                <w:p w14:paraId="0D82B816" w14:textId="77777777" w:rsidR="00CA3515" w:rsidRPr="0050662A" w:rsidRDefault="00CA3515" w:rsidP="00CA3515">
                  <w:pPr>
                    <w:jc w:val="center"/>
                    <w:rPr>
                      <w:rFonts w:eastAsia="MS Mincho" w:cstheme="minorHAnsi"/>
                      <w:noProof/>
                      <w:sz w:val="16"/>
                      <w:szCs w:val="16"/>
                      <w:lang w:val="fr-FR"/>
                    </w:rPr>
                  </w:pPr>
                </w:p>
              </w:tc>
            </w:tr>
            <w:tr w:rsidR="00CA3515" w:rsidRPr="00F65217" w14:paraId="33AE27E8" w14:textId="77777777" w:rsidTr="00D50655">
              <w:trPr>
                <w:trHeight w:val="193"/>
              </w:trPr>
              <w:tc>
                <w:tcPr>
                  <w:tcW w:w="994" w:type="dxa"/>
                  <w:vMerge w:val="restart"/>
                  <w:shd w:val="clear" w:color="auto" w:fill="BFBFBF" w:themeFill="background1" w:themeFillShade="BF"/>
                  <w:vAlign w:val="center"/>
                </w:tcPr>
                <w:p w14:paraId="35CA0230" w14:textId="77777777" w:rsidR="00CA3515" w:rsidRPr="0050662A" w:rsidRDefault="00CA3515" w:rsidP="00F65217">
                  <w:pPr>
                    <w:jc w:val="center"/>
                    <w:rPr>
                      <w:rFonts w:eastAsia="MS Mincho" w:cstheme="minorHAnsi"/>
                      <w:noProof/>
                      <w:sz w:val="16"/>
                      <w:szCs w:val="16"/>
                      <w:lang w:val="fr-FR"/>
                    </w:rPr>
                  </w:pPr>
                  <w:r w:rsidRPr="00CA3515">
                    <w:rPr>
                      <w:rFonts w:eastAsia="MS Mincho" w:cstheme="minorHAnsi"/>
                      <w:noProof/>
                      <w:sz w:val="16"/>
                      <w:szCs w:val="16"/>
                      <w:lang w:val="fr-FR"/>
                    </w:rPr>
                    <w:t>Confirmation de dénouement</w:t>
                  </w:r>
                </w:p>
              </w:tc>
              <w:tc>
                <w:tcPr>
                  <w:tcW w:w="978" w:type="dxa"/>
                  <w:vAlign w:val="center"/>
                </w:tcPr>
                <w:p w14:paraId="21C2C308" w14:textId="77777777" w:rsidR="00CA3515" w:rsidRPr="0050662A" w:rsidRDefault="00C84EA0" w:rsidP="00F65217">
                  <w:pPr>
                    <w:jc w:val="center"/>
                    <w:rPr>
                      <w:rFonts w:eastAsia="MS Mincho" w:cstheme="minorHAnsi"/>
                      <w:noProof/>
                      <w:sz w:val="16"/>
                      <w:szCs w:val="16"/>
                      <w:lang w:val="fr-FR"/>
                    </w:rPr>
                  </w:pPr>
                  <w:r>
                    <w:rPr>
                      <w:rFonts w:eastAsia="MS Mincho" w:cstheme="minorHAnsi"/>
                      <w:noProof/>
                      <w:sz w:val="16"/>
                      <w:szCs w:val="16"/>
                      <w:lang w:val="fr-FR"/>
                    </w:rPr>
                    <w:t>MT 54x</w:t>
                  </w:r>
                </w:p>
              </w:tc>
              <w:tc>
                <w:tcPr>
                  <w:tcW w:w="3525" w:type="dxa"/>
                  <w:vAlign w:val="center"/>
                </w:tcPr>
                <w:p w14:paraId="47C0CA58" w14:textId="77777777" w:rsidR="00CA3515" w:rsidRPr="0050662A" w:rsidRDefault="00C84EA0" w:rsidP="00F65217">
                  <w:pPr>
                    <w:jc w:val="center"/>
                    <w:rPr>
                      <w:rFonts w:eastAsia="MS Mincho" w:cstheme="minorHAnsi"/>
                      <w:noProof/>
                      <w:sz w:val="16"/>
                      <w:szCs w:val="16"/>
                      <w:lang w:val="fr-FR"/>
                    </w:rPr>
                  </w:pPr>
                  <w:r>
                    <w:rPr>
                      <w:rFonts w:eastAsia="MS Mincho" w:cstheme="minorHAnsi"/>
                      <w:noProof/>
                      <w:sz w:val="16"/>
                      <w:szCs w:val="16"/>
                      <w:lang w:val="fr-FR"/>
                    </w:rPr>
                    <w:t>Sese.025</w:t>
                  </w:r>
                </w:p>
              </w:tc>
              <w:tc>
                <w:tcPr>
                  <w:tcW w:w="1428" w:type="dxa"/>
                  <w:vMerge w:val="restart"/>
                  <w:vAlign w:val="center"/>
                </w:tcPr>
                <w:p w14:paraId="4A1F73E6" w14:textId="79737054" w:rsidR="00CA3515" w:rsidRPr="0050662A" w:rsidRDefault="00CA3515" w:rsidP="00CD01E4">
                  <w:pPr>
                    <w:jc w:val="center"/>
                    <w:rPr>
                      <w:rFonts w:eastAsia="MS Mincho" w:cstheme="minorHAnsi"/>
                      <w:noProof/>
                      <w:sz w:val="16"/>
                      <w:szCs w:val="16"/>
                      <w:lang w:val="fr-FR"/>
                    </w:rPr>
                  </w:pPr>
                  <w:r w:rsidRPr="00CA3515">
                    <w:rPr>
                      <w:rFonts w:eastAsia="MS Mincho" w:cstheme="minorHAnsi"/>
                      <w:noProof/>
                      <w:sz w:val="16"/>
                      <w:szCs w:val="16"/>
                      <w:lang w:val="fr-FR"/>
                    </w:rPr>
                    <w:t>Processing I</w:t>
                  </w:r>
                  <w:r w:rsidR="00CD01E4">
                    <w:rPr>
                      <w:rFonts w:eastAsia="MS Mincho" w:cstheme="minorHAnsi"/>
                      <w:noProof/>
                      <w:sz w:val="16"/>
                      <w:szCs w:val="16"/>
                      <w:lang w:val="fr-FR"/>
                    </w:rPr>
                    <w:t>dentification</w:t>
                  </w:r>
                </w:p>
              </w:tc>
            </w:tr>
            <w:tr w:rsidR="00CA3515" w:rsidRPr="00F65217" w14:paraId="53C8D024" w14:textId="77777777" w:rsidTr="00D50655">
              <w:trPr>
                <w:trHeight w:val="968"/>
              </w:trPr>
              <w:tc>
                <w:tcPr>
                  <w:tcW w:w="994" w:type="dxa"/>
                  <w:vMerge/>
                  <w:shd w:val="clear" w:color="auto" w:fill="BFBFBF" w:themeFill="background1" w:themeFillShade="BF"/>
                  <w:vAlign w:val="center"/>
                </w:tcPr>
                <w:p w14:paraId="3B3DB198" w14:textId="77777777" w:rsidR="00CA3515" w:rsidRPr="0050662A" w:rsidRDefault="00CA3515" w:rsidP="00F65217">
                  <w:pPr>
                    <w:jc w:val="center"/>
                    <w:rPr>
                      <w:rFonts w:eastAsia="MS Mincho" w:cstheme="minorHAnsi"/>
                      <w:noProof/>
                      <w:sz w:val="16"/>
                      <w:szCs w:val="16"/>
                      <w:lang w:val="fr-FR"/>
                    </w:rPr>
                  </w:pPr>
                </w:p>
              </w:tc>
              <w:tc>
                <w:tcPr>
                  <w:tcW w:w="978" w:type="dxa"/>
                  <w:vAlign w:val="center"/>
                </w:tcPr>
                <w:p w14:paraId="48D2E48B" w14:textId="77777777" w:rsidR="00CA3515" w:rsidRPr="0050662A" w:rsidRDefault="00CA3515" w:rsidP="00F65217">
                  <w:pPr>
                    <w:jc w:val="center"/>
                    <w:rPr>
                      <w:rFonts w:eastAsia="MS Mincho" w:cstheme="minorHAnsi"/>
                      <w:noProof/>
                      <w:sz w:val="16"/>
                      <w:szCs w:val="16"/>
                      <w:lang w:val="fr-FR"/>
                    </w:rPr>
                  </w:pPr>
                  <w:r>
                    <w:rPr>
                      <w:rFonts w:eastAsia="MS Mincho" w:cstheme="minorHAnsi"/>
                      <w:noProof/>
                      <w:sz w:val="16"/>
                      <w:szCs w:val="16"/>
                      <w:lang w:val="fr-FR"/>
                    </w:rPr>
                    <w:t xml:space="preserve">20C:PROC des séquences DEAG et </w:t>
                  </w:r>
                  <w:r w:rsidRPr="00CA3515">
                    <w:rPr>
                      <w:rFonts w:eastAsia="MS Mincho" w:cstheme="minorHAnsi"/>
                      <w:noProof/>
                      <w:sz w:val="16"/>
                      <w:szCs w:val="16"/>
                      <w:lang w:val="fr-FR"/>
                    </w:rPr>
                    <w:t>REAG</w:t>
                  </w:r>
                </w:p>
              </w:tc>
              <w:tc>
                <w:tcPr>
                  <w:tcW w:w="3525" w:type="dxa"/>
                  <w:vAlign w:val="center"/>
                </w:tcPr>
                <w:p w14:paraId="5D96778B" w14:textId="77777777" w:rsidR="00CA3515" w:rsidRPr="0050662A" w:rsidRDefault="00CA3515" w:rsidP="00F65217">
                  <w:pPr>
                    <w:jc w:val="center"/>
                    <w:rPr>
                      <w:rFonts w:eastAsia="MS Mincho" w:cstheme="minorHAnsi"/>
                      <w:noProof/>
                      <w:sz w:val="16"/>
                      <w:szCs w:val="16"/>
                      <w:lang w:val="fr-FR"/>
                    </w:rPr>
                  </w:pPr>
                  <w:r w:rsidRPr="00CA3515">
                    <w:rPr>
                      <w:rFonts w:eastAsia="MS Mincho" w:cstheme="minorHAnsi"/>
                      <w:noProof/>
                      <w:sz w:val="16"/>
                      <w:szCs w:val="16"/>
                      <w:lang w:val="fr-FR"/>
                    </w:rPr>
                    <w:t>Document\SctiesSttlmTxConf\TxIdDtls\AcctOwnrTxId</w:t>
                  </w:r>
                </w:p>
              </w:tc>
              <w:tc>
                <w:tcPr>
                  <w:tcW w:w="1428" w:type="dxa"/>
                  <w:vMerge/>
                  <w:vAlign w:val="center"/>
                </w:tcPr>
                <w:p w14:paraId="70750189" w14:textId="77777777" w:rsidR="00CA3515" w:rsidRPr="0050662A" w:rsidRDefault="00CA3515" w:rsidP="00F65217">
                  <w:pPr>
                    <w:jc w:val="center"/>
                    <w:rPr>
                      <w:rFonts w:eastAsia="MS Mincho" w:cstheme="minorHAnsi"/>
                      <w:noProof/>
                      <w:sz w:val="16"/>
                      <w:szCs w:val="16"/>
                      <w:lang w:val="fr-FR"/>
                    </w:rPr>
                  </w:pPr>
                </w:p>
              </w:tc>
            </w:tr>
          </w:tbl>
          <w:p w14:paraId="3853FE26" w14:textId="77777777" w:rsidR="00F805C0" w:rsidRPr="00FA627B" w:rsidRDefault="00F805C0" w:rsidP="00644076">
            <w:pPr>
              <w:rPr>
                <w:rFonts w:ascii="Arial" w:hAnsi="Arial" w:cs="Arial"/>
                <w:b/>
                <w:bCs/>
                <w:color w:val="FF0000"/>
                <w:sz w:val="20"/>
                <w:szCs w:val="20"/>
                <w:lang w:val="fr-FR"/>
              </w:rPr>
            </w:pPr>
          </w:p>
          <w:p w14:paraId="0949D3E5" w14:textId="77777777" w:rsidR="00612819" w:rsidRDefault="00612819" w:rsidP="00644076">
            <w:pPr>
              <w:rPr>
                <w:rFonts w:eastAsia="MS Mincho" w:cs="Times New Roman"/>
                <w:noProof/>
                <w:szCs w:val="32"/>
                <w:lang w:val="fr-FR"/>
              </w:rPr>
            </w:pPr>
          </w:p>
        </w:tc>
      </w:tr>
      <w:tr w:rsidR="001E0D83" w14:paraId="64D26632" w14:textId="77777777" w:rsidTr="00FC5331">
        <w:tc>
          <w:tcPr>
            <w:tcW w:w="2122" w:type="dxa"/>
            <w:tcBorders>
              <w:bottom w:val="single" w:sz="4" w:space="0" w:color="auto"/>
            </w:tcBorders>
            <w:shd w:val="clear" w:color="auto" w:fill="BFBFBF" w:themeFill="background1" w:themeFillShade="BF"/>
          </w:tcPr>
          <w:p w14:paraId="2FEC6125" w14:textId="77777777" w:rsidR="001E0D83" w:rsidRDefault="001E0D83" w:rsidP="00644076">
            <w:pPr>
              <w:rPr>
                <w:rFonts w:eastAsia="MS Mincho" w:cs="Times New Roman"/>
                <w:b/>
                <w:noProof/>
                <w:szCs w:val="32"/>
                <w:lang w:val="fr-FR"/>
              </w:rPr>
            </w:pPr>
            <w:r>
              <w:rPr>
                <w:rFonts w:eastAsia="MS Mincho" w:cs="Times New Roman"/>
                <w:b/>
                <w:noProof/>
                <w:szCs w:val="32"/>
                <w:lang w:val="fr-FR"/>
              </w:rPr>
              <w:lastRenderedPageBreak/>
              <w:t>Raisons du choix</w:t>
            </w:r>
          </w:p>
        </w:tc>
        <w:tc>
          <w:tcPr>
            <w:tcW w:w="7228" w:type="dxa"/>
            <w:tcBorders>
              <w:bottom w:val="single" w:sz="4" w:space="0" w:color="auto"/>
            </w:tcBorders>
          </w:tcPr>
          <w:p w14:paraId="52705EB7" w14:textId="77777777" w:rsidR="001E0D83" w:rsidRDefault="001E0D83" w:rsidP="00644076">
            <w:pPr>
              <w:rPr>
                <w:rFonts w:eastAsia="MS Mincho" w:cs="Times New Roman"/>
                <w:noProof/>
                <w:szCs w:val="32"/>
                <w:lang w:val="fr-FR"/>
              </w:rPr>
            </w:pPr>
          </w:p>
          <w:p w14:paraId="7A1077D7" w14:textId="77777777" w:rsidR="00FF4EFB" w:rsidRDefault="00FF4EFB" w:rsidP="00644076">
            <w:pPr>
              <w:rPr>
                <w:rFonts w:eastAsia="MS Mincho" w:cs="Times New Roman"/>
                <w:noProof/>
                <w:szCs w:val="32"/>
                <w:lang w:val="fr-FR"/>
              </w:rPr>
            </w:pPr>
          </w:p>
        </w:tc>
      </w:tr>
      <w:tr w:rsidR="00B540C8" w14:paraId="4BA61026" w14:textId="77777777" w:rsidTr="00FC5331">
        <w:tc>
          <w:tcPr>
            <w:tcW w:w="2122" w:type="dxa"/>
            <w:tcBorders>
              <w:bottom w:val="single" w:sz="4" w:space="0" w:color="auto"/>
            </w:tcBorders>
            <w:shd w:val="clear" w:color="auto" w:fill="BFBFBF" w:themeFill="background1" w:themeFillShade="BF"/>
          </w:tcPr>
          <w:p w14:paraId="50496989" w14:textId="77777777" w:rsidR="00B540C8" w:rsidRDefault="00B540C8" w:rsidP="00644076">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14:paraId="2B62A016" w14:textId="77777777" w:rsidR="00B540C8" w:rsidRPr="00D103DA" w:rsidRDefault="00B540C8" w:rsidP="00644076">
            <w:pPr>
              <w:rPr>
                <w:rFonts w:eastAsia="MS Mincho" w:cs="Times New Roman"/>
                <w:b/>
                <w:noProof/>
                <w:szCs w:val="32"/>
                <w:lang w:val="fr-FR"/>
              </w:rPr>
            </w:pPr>
            <w:r>
              <w:rPr>
                <w:rFonts w:eastAsia="MS Mincho" w:cs="Times New Roman"/>
                <w:b/>
                <w:noProof/>
                <w:szCs w:val="32"/>
                <w:lang w:val="fr-FR"/>
              </w:rPr>
              <w:t>(FACULTATIF)</w:t>
            </w:r>
          </w:p>
        </w:tc>
        <w:tc>
          <w:tcPr>
            <w:tcW w:w="7228" w:type="dxa"/>
            <w:tcBorders>
              <w:bottom w:val="single" w:sz="4" w:space="0" w:color="auto"/>
            </w:tcBorders>
          </w:tcPr>
          <w:p w14:paraId="01A43461" w14:textId="77777777" w:rsidR="00B540C8" w:rsidRDefault="00B540C8" w:rsidP="00644076">
            <w:pPr>
              <w:rPr>
                <w:rFonts w:eastAsia="MS Mincho" w:cs="Times New Roman"/>
                <w:noProof/>
                <w:szCs w:val="32"/>
                <w:lang w:val="fr-FR"/>
              </w:rPr>
            </w:pPr>
          </w:p>
          <w:p w14:paraId="137A0C30" w14:textId="77777777" w:rsidR="00B540C8" w:rsidRDefault="00B540C8" w:rsidP="00644076">
            <w:pPr>
              <w:rPr>
                <w:rFonts w:eastAsia="MS Mincho" w:cs="Times New Roman"/>
                <w:noProof/>
                <w:szCs w:val="32"/>
                <w:lang w:val="fr-FR"/>
              </w:rPr>
            </w:pPr>
          </w:p>
          <w:p w14:paraId="25FF3BCE" w14:textId="77777777" w:rsidR="00B540C8" w:rsidRDefault="00B540C8" w:rsidP="00644076">
            <w:pPr>
              <w:rPr>
                <w:rFonts w:eastAsia="MS Mincho" w:cs="Times New Roman"/>
                <w:noProof/>
                <w:szCs w:val="32"/>
                <w:lang w:val="fr-FR"/>
              </w:rPr>
            </w:pPr>
          </w:p>
        </w:tc>
      </w:tr>
      <w:tr w:rsidR="00B540C8" w14:paraId="6367CA4F" w14:textId="77777777" w:rsidTr="00FC5331">
        <w:tc>
          <w:tcPr>
            <w:tcW w:w="2122" w:type="dxa"/>
            <w:tcBorders>
              <w:left w:val="nil"/>
              <w:right w:val="nil"/>
            </w:tcBorders>
            <w:shd w:val="clear" w:color="auto" w:fill="FFFFFF" w:themeFill="background1"/>
          </w:tcPr>
          <w:p w14:paraId="3CC65221" w14:textId="77777777" w:rsidR="00B540C8" w:rsidRDefault="00B540C8" w:rsidP="00644076">
            <w:pPr>
              <w:rPr>
                <w:rFonts w:eastAsia="MS Mincho" w:cs="Times New Roman"/>
                <w:b/>
                <w:noProof/>
                <w:szCs w:val="32"/>
                <w:lang w:val="fr-FR"/>
              </w:rPr>
            </w:pPr>
          </w:p>
        </w:tc>
        <w:tc>
          <w:tcPr>
            <w:tcW w:w="7228" w:type="dxa"/>
            <w:tcBorders>
              <w:left w:val="nil"/>
              <w:bottom w:val="single" w:sz="4" w:space="0" w:color="auto"/>
              <w:right w:val="nil"/>
            </w:tcBorders>
            <w:shd w:val="clear" w:color="auto" w:fill="FFFFFF" w:themeFill="background1"/>
          </w:tcPr>
          <w:p w14:paraId="1F498B0A" w14:textId="77777777" w:rsidR="00B540C8" w:rsidRDefault="00B540C8" w:rsidP="00644076">
            <w:pPr>
              <w:rPr>
                <w:rFonts w:eastAsia="MS Mincho" w:cs="Times New Roman"/>
                <w:noProof/>
                <w:szCs w:val="32"/>
                <w:lang w:val="fr-FR"/>
              </w:rPr>
            </w:pPr>
          </w:p>
        </w:tc>
      </w:tr>
      <w:tr w:rsidR="00B540C8" w:rsidRPr="00AA6538" w14:paraId="71FF86FB" w14:textId="77777777" w:rsidTr="00FC5331">
        <w:tc>
          <w:tcPr>
            <w:tcW w:w="2122" w:type="dxa"/>
            <w:shd w:val="clear" w:color="auto" w:fill="BFBFBF" w:themeFill="background1" w:themeFillShade="BF"/>
          </w:tcPr>
          <w:p w14:paraId="1FC92413" w14:textId="77777777" w:rsidR="00B540C8" w:rsidRDefault="00B540C8" w:rsidP="00644076">
            <w:pPr>
              <w:rPr>
                <w:rFonts w:eastAsia="MS Mincho" w:cs="Times New Roman"/>
                <w:b/>
                <w:noProof/>
                <w:szCs w:val="32"/>
                <w:lang w:val="fr-FR"/>
              </w:rPr>
            </w:pPr>
            <w:r>
              <w:rPr>
                <w:rFonts w:eastAsia="MS Mincho" w:cs="Times New Roman"/>
                <w:b/>
                <w:noProof/>
                <w:szCs w:val="32"/>
                <w:lang w:val="fr-FR"/>
              </w:rPr>
              <w:t>Schéma des flux</w:t>
            </w:r>
          </w:p>
          <w:p w14:paraId="0279AB8C" w14:textId="77777777" w:rsidR="00B540C8" w:rsidRDefault="00B540C8" w:rsidP="00644076">
            <w:pPr>
              <w:rPr>
                <w:rFonts w:eastAsia="MS Mincho" w:cs="Times New Roman"/>
                <w:b/>
                <w:noProof/>
                <w:szCs w:val="32"/>
                <w:lang w:val="fr-FR"/>
              </w:rPr>
            </w:pPr>
            <w:r>
              <w:rPr>
                <w:rFonts w:eastAsia="MS Mincho" w:cs="Times New Roman"/>
                <w:b/>
                <w:noProof/>
                <w:szCs w:val="32"/>
                <w:lang w:val="fr-FR"/>
              </w:rPr>
              <w:t>(FACULTATIF)</w:t>
            </w:r>
          </w:p>
        </w:tc>
        <w:tc>
          <w:tcPr>
            <w:tcW w:w="7228" w:type="dxa"/>
            <w:tcBorders>
              <w:bottom w:val="single" w:sz="4" w:space="0" w:color="auto"/>
            </w:tcBorders>
          </w:tcPr>
          <w:p w14:paraId="4F15B7BF" w14:textId="77777777" w:rsidR="00B540C8" w:rsidRPr="00CC1C26" w:rsidRDefault="00B540C8" w:rsidP="00644076">
            <w:pPr>
              <w:rPr>
                <w:rFonts w:eastAsia="MS Mincho" w:cs="Times New Roman"/>
                <w:noProof/>
                <w:szCs w:val="32"/>
                <w:highlight w:val="green"/>
              </w:rPr>
            </w:pPr>
          </w:p>
          <w:p w14:paraId="7EA0984C" w14:textId="77777777" w:rsidR="00B540C8" w:rsidRPr="0004093E" w:rsidRDefault="00B540C8" w:rsidP="00644076">
            <w:pPr>
              <w:rPr>
                <w:rFonts w:eastAsia="MS Mincho" w:cs="Times New Roman"/>
                <w:noProof/>
                <w:szCs w:val="32"/>
              </w:rPr>
            </w:pPr>
          </w:p>
        </w:tc>
      </w:tr>
    </w:tbl>
    <w:p w14:paraId="72EA3042" w14:textId="77777777" w:rsidR="001E0D83" w:rsidRPr="0004093E" w:rsidRDefault="001E0D83" w:rsidP="00D103DA">
      <w:pPr>
        <w:spacing w:after="0" w:line="240" w:lineRule="auto"/>
        <w:rPr>
          <w:rFonts w:eastAsia="MS Mincho" w:cs="Times New Roman"/>
          <w:noProof/>
          <w:szCs w:val="32"/>
        </w:rPr>
      </w:pPr>
    </w:p>
    <w:p w14:paraId="1D4A5588" w14:textId="18E595FE" w:rsidR="001E0D83" w:rsidRDefault="001E0D83" w:rsidP="001E0D83">
      <w:pPr>
        <w:spacing w:after="0" w:line="240" w:lineRule="auto"/>
        <w:rPr>
          <w:rFonts w:eastAsia="MS Mincho" w:cs="Times New Roman"/>
          <w:noProof/>
          <w:szCs w:val="32"/>
        </w:rPr>
      </w:pPr>
    </w:p>
    <w:p w14:paraId="5B7A0ECF" w14:textId="77777777" w:rsidR="002A449C" w:rsidRPr="0004093E" w:rsidRDefault="002A449C" w:rsidP="001E0D83">
      <w:pPr>
        <w:spacing w:after="0" w:line="240" w:lineRule="auto"/>
        <w:rPr>
          <w:rFonts w:eastAsia="MS Mincho" w:cs="Times New Roman"/>
          <w:noProof/>
          <w:szCs w:val="32"/>
        </w:rPr>
      </w:pPr>
    </w:p>
    <w:p w14:paraId="5B7CC7E3" w14:textId="3243CE7B" w:rsidR="00D50655" w:rsidRPr="00D50655" w:rsidRDefault="00A32F43" w:rsidP="00D50655">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14:paraId="5D0D2FF9" w14:textId="77777777" w:rsidR="00D50655" w:rsidRDefault="00D50655" w:rsidP="00D50655">
      <w:pPr>
        <w:spacing w:after="0" w:line="240" w:lineRule="auto"/>
        <w:rPr>
          <w:rFonts w:eastAsia="MS Mincho" w:cs="Times New Roman"/>
          <w:noProof/>
          <w:szCs w:val="32"/>
          <w:lang w:val="fr-FR"/>
        </w:rPr>
      </w:pPr>
    </w:p>
    <w:tbl>
      <w:tblPr>
        <w:tblStyle w:val="Grilledutableau"/>
        <w:tblW w:w="9616" w:type="dxa"/>
        <w:tblLook w:val="04A0" w:firstRow="1" w:lastRow="0" w:firstColumn="1" w:lastColumn="0" w:noHBand="0" w:noVBand="1"/>
      </w:tblPr>
      <w:tblGrid>
        <w:gridCol w:w="2302"/>
        <w:gridCol w:w="2438"/>
        <w:gridCol w:w="2438"/>
        <w:gridCol w:w="2438"/>
      </w:tblGrid>
      <w:tr w:rsidR="00D50655" w:rsidRPr="00B12372" w14:paraId="3971BCE4" w14:textId="77777777" w:rsidTr="00C76664">
        <w:trPr>
          <w:trHeight w:val="338"/>
        </w:trPr>
        <w:tc>
          <w:tcPr>
            <w:tcW w:w="2302" w:type="dxa"/>
            <w:vMerge w:val="restart"/>
            <w:shd w:val="clear" w:color="auto" w:fill="BFBFBF" w:themeFill="background1" w:themeFillShade="BF"/>
          </w:tcPr>
          <w:p w14:paraId="5DF63B7F" w14:textId="77777777" w:rsidR="00D50655" w:rsidRPr="00D103DA" w:rsidRDefault="00D50655" w:rsidP="00C76664">
            <w:pPr>
              <w:rPr>
                <w:rFonts w:eastAsia="MS Mincho" w:cs="Times New Roman"/>
                <w:b/>
                <w:noProof/>
                <w:szCs w:val="32"/>
                <w:lang w:val="fr-FR"/>
              </w:rPr>
            </w:pPr>
            <w:r>
              <w:rPr>
                <w:rFonts w:eastAsia="MS Mincho" w:cs="Times New Roman"/>
                <w:b/>
                <w:noProof/>
                <w:szCs w:val="32"/>
                <w:lang w:val="fr-FR"/>
              </w:rPr>
              <w:t>Horizon de mise en oeuvre</w:t>
            </w:r>
          </w:p>
        </w:tc>
        <w:tc>
          <w:tcPr>
            <w:tcW w:w="2438" w:type="dxa"/>
          </w:tcPr>
          <w:p w14:paraId="4A556162" w14:textId="77777777" w:rsidR="00D50655" w:rsidRPr="00785264" w:rsidRDefault="00D50655" w:rsidP="00C76664">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tcPr>
          <w:p w14:paraId="4885DC2B" w14:textId="77777777" w:rsidR="00D50655" w:rsidRPr="009637E5" w:rsidRDefault="00D50655" w:rsidP="00C76664">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tcPr>
          <w:p w14:paraId="525C4938" w14:textId="77777777" w:rsidR="00D50655" w:rsidRPr="009637E5" w:rsidRDefault="00D50655" w:rsidP="00C76664">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D50655" w14:paraId="2DFADC95" w14:textId="77777777" w:rsidTr="00C76664">
        <w:trPr>
          <w:trHeight w:val="337"/>
        </w:trPr>
        <w:tc>
          <w:tcPr>
            <w:tcW w:w="2302" w:type="dxa"/>
            <w:vMerge/>
            <w:tcBorders>
              <w:bottom w:val="single" w:sz="4" w:space="0" w:color="auto"/>
            </w:tcBorders>
            <w:shd w:val="clear" w:color="auto" w:fill="BFBFBF" w:themeFill="background1" w:themeFillShade="BF"/>
          </w:tcPr>
          <w:p w14:paraId="5B683E9C" w14:textId="77777777" w:rsidR="00D50655" w:rsidRDefault="00D50655" w:rsidP="00C76664">
            <w:pPr>
              <w:rPr>
                <w:rFonts w:eastAsia="MS Mincho" w:cs="Times New Roman"/>
                <w:b/>
                <w:noProof/>
                <w:szCs w:val="32"/>
                <w:lang w:val="fr-FR"/>
              </w:rPr>
            </w:pPr>
          </w:p>
        </w:tc>
        <w:tc>
          <w:tcPr>
            <w:tcW w:w="2438" w:type="dxa"/>
            <w:tcBorders>
              <w:bottom w:val="single" w:sz="4" w:space="0" w:color="auto"/>
            </w:tcBorders>
            <w:shd w:val="clear" w:color="auto" w:fill="auto"/>
          </w:tcPr>
          <w:p w14:paraId="4936C0F6" w14:textId="77777777" w:rsidR="00D50655" w:rsidRDefault="00D50655" w:rsidP="00C76664">
            <w:pPr>
              <w:jc w:val="center"/>
              <w:rPr>
                <w:rFonts w:ascii="Wingdings" w:hAnsi="Wingdings" w:cs="Wingdings"/>
                <w:sz w:val="26"/>
                <w:szCs w:val="26"/>
              </w:rPr>
            </w:pPr>
            <w:r>
              <w:rPr>
                <w:rFonts w:ascii="Wingdings" w:hAnsi="Wingdings" w:cs="Wingdings"/>
                <w:sz w:val="26"/>
                <w:szCs w:val="26"/>
              </w:rPr>
              <w:t></w:t>
            </w:r>
          </w:p>
          <w:p w14:paraId="5495727C" w14:textId="77777777" w:rsidR="00D50655" w:rsidRPr="00785264" w:rsidRDefault="00D50655" w:rsidP="00C76664">
            <w:pPr>
              <w:jc w:val="center"/>
              <w:rPr>
                <w:rFonts w:cs="Wingdings"/>
                <w:szCs w:val="26"/>
              </w:rPr>
            </w:pPr>
            <w:r w:rsidRPr="00785264">
              <w:rPr>
                <w:rFonts w:cs="Wingdings"/>
                <w:szCs w:val="26"/>
              </w:rPr>
              <w:t xml:space="preserve">Date: </w:t>
            </w:r>
          </w:p>
          <w:p w14:paraId="0455E614" w14:textId="77777777" w:rsidR="00D50655" w:rsidRDefault="00D50655" w:rsidP="00C76664">
            <w:pPr>
              <w:rPr>
                <w:rFonts w:eastAsia="MS Mincho" w:cs="Times New Roman"/>
                <w:noProof/>
                <w:szCs w:val="32"/>
                <w:lang w:val="fr-FR"/>
              </w:rPr>
            </w:pPr>
          </w:p>
        </w:tc>
        <w:tc>
          <w:tcPr>
            <w:tcW w:w="2438" w:type="dxa"/>
            <w:tcBorders>
              <w:bottom w:val="single" w:sz="4" w:space="0" w:color="auto"/>
            </w:tcBorders>
          </w:tcPr>
          <w:p w14:paraId="6E68375F" w14:textId="77777777" w:rsidR="00D50655" w:rsidRDefault="00D50655" w:rsidP="00C76664">
            <w:pPr>
              <w:jc w:val="center"/>
              <w:rPr>
                <w:rFonts w:ascii="Wingdings" w:hAnsi="Wingdings" w:cs="Wingdings"/>
                <w:sz w:val="26"/>
                <w:szCs w:val="26"/>
              </w:rPr>
            </w:pPr>
            <w:r>
              <w:rPr>
                <w:rFonts w:ascii="Wingdings" w:hAnsi="Wingdings" w:cs="Wingdings"/>
                <w:sz w:val="26"/>
                <w:szCs w:val="26"/>
              </w:rPr>
              <w:t></w:t>
            </w:r>
          </w:p>
          <w:p w14:paraId="2F213ADD" w14:textId="77777777" w:rsidR="00D50655" w:rsidRPr="00785264" w:rsidRDefault="00D50655" w:rsidP="00C76664">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14:paraId="28DBF3CC" w14:textId="77777777" w:rsidR="00D50655" w:rsidRDefault="00D50655" w:rsidP="00C76664">
            <w:pPr>
              <w:jc w:val="center"/>
              <w:rPr>
                <w:rFonts w:ascii="Wingdings" w:hAnsi="Wingdings" w:cs="Wingdings"/>
                <w:sz w:val="26"/>
                <w:szCs w:val="26"/>
              </w:rPr>
            </w:pPr>
            <w:r>
              <w:rPr>
                <w:rFonts w:ascii="Wingdings" w:hAnsi="Wingdings" w:cs="Wingdings"/>
                <w:sz w:val="26"/>
                <w:szCs w:val="26"/>
              </w:rPr>
              <w:t></w:t>
            </w:r>
          </w:p>
          <w:p w14:paraId="1924A5D7" w14:textId="77777777" w:rsidR="00D50655" w:rsidRPr="00785264" w:rsidRDefault="00D50655" w:rsidP="00C76664">
            <w:pPr>
              <w:jc w:val="center"/>
              <w:rPr>
                <w:rFonts w:cs="Wingdings"/>
                <w:szCs w:val="26"/>
              </w:rPr>
            </w:pPr>
            <w:r w:rsidRPr="00785264">
              <w:rPr>
                <w:rFonts w:cs="Wingdings"/>
                <w:szCs w:val="26"/>
              </w:rPr>
              <w:t xml:space="preserve">Date: </w:t>
            </w:r>
            <w:r>
              <w:rPr>
                <w:rFonts w:cs="Wingdings"/>
                <w:szCs w:val="26"/>
              </w:rPr>
              <w:t>________</w:t>
            </w:r>
          </w:p>
        </w:tc>
      </w:tr>
    </w:tbl>
    <w:p w14:paraId="0BED11CE" w14:textId="77777777" w:rsidR="00D50655" w:rsidRDefault="00D50655" w:rsidP="00D50655">
      <w:pPr>
        <w:spacing w:after="0" w:line="240" w:lineRule="auto"/>
        <w:rPr>
          <w:rFonts w:eastAsia="MS Mincho" w:cs="Times New Roman"/>
          <w:noProof/>
          <w:szCs w:val="32"/>
          <w:lang w:val="fr-FR"/>
        </w:rPr>
      </w:pPr>
    </w:p>
    <w:p w14:paraId="3316154E" w14:textId="77777777" w:rsidR="00363E89" w:rsidRPr="00A32F43" w:rsidRDefault="00363E89" w:rsidP="00A32F43">
      <w:pPr>
        <w:spacing w:after="0" w:line="240" w:lineRule="auto"/>
        <w:rPr>
          <w:rFonts w:eastAsia="MS Mincho" w:cs="Times New Roman"/>
          <w:noProof/>
          <w:szCs w:val="32"/>
          <w:lang w:val="fr-FR"/>
        </w:rPr>
      </w:pPr>
    </w:p>
    <w:sectPr w:rsidR="00363E89" w:rsidRPr="00A32F43" w:rsidSect="00C11073">
      <w:headerReference w:type="default" r:id="rId7"/>
      <w:footerReference w:type="default" r:id="rId8"/>
      <w:pgSz w:w="12240" w:h="15840"/>
      <w:pgMar w:top="284" w:right="1440" w:bottom="119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67561" w14:textId="77777777" w:rsidR="002314CC" w:rsidRDefault="002314CC" w:rsidP="006D6846">
      <w:pPr>
        <w:spacing w:after="0" w:line="240" w:lineRule="auto"/>
      </w:pPr>
      <w:r>
        <w:separator/>
      </w:r>
    </w:p>
  </w:endnote>
  <w:endnote w:type="continuationSeparator" w:id="0">
    <w:p w14:paraId="1484AA1D" w14:textId="77777777" w:rsidR="002314CC" w:rsidRDefault="002314CC"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1080221"/>
      <w:docPartObj>
        <w:docPartGallery w:val="Page Numbers (Bottom of Page)"/>
        <w:docPartUnique/>
      </w:docPartObj>
    </w:sdtPr>
    <w:sdtEndPr/>
    <w:sdtContent>
      <w:sdt>
        <w:sdtPr>
          <w:id w:val="-1769616900"/>
          <w:docPartObj>
            <w:docPartGallery w:val="Page Numbers (Top of Page)"/>
            <w:docPartUnique/>
          </w:docPartObj>
        </w:sdtPr>
        <w:sdtEndPr/>
        <w:sdtContent>
          <w:p w14:paraId="3613FC70" w14:textId="1399FAA5" w:rsidR="00C11073" w:rsidRDefault="00C11073">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C12F1E">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C12F1E">
              <w:rPr>
                <w:b/>
                <w:bCs/>
                <w:noProof/>
              </w:rPr>
              <w:t>4</w:t>
            </w:r>
            <w:r>
              <w:rPr>
                <w:b/>
                <w:bCs/>
                <w:sz w:val="24"/>
                <w:szCs w:val="24"/>
              </w:rPr>
              <w:fldChar w:fldCharType="end"/>
            </w:r>
          </w:p>
        </w:sdtContent>
      </w:sdt>
    </w:sdtContent>
  </w:sdt>
  <w:p w14:paraId="45670A32" w14:textId="77777777" w:rsidR="0016209B" w:rsidRDefault="0016209B" w:rsidP="00C11073">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65856" w14:textId="77777777" w:rsidR="002314CC" w:rsidRDefault="002314CC" w:rsidP="006D6846">
      <w:pPr>
        <w:spacing w:after="0" w:line="240" w:lineRule="auto"/>
      </w:pPr>
      <w:r>
        <w:separator/>
      </w:r>
    </w:p>
  </w:footnote>
  <w:footnote w:type="continuationSeparator" w:id="0">
    <w:p w14:paraId="4F905D16" w14:textId="77777777" w:rsidR="002314CC" w:rsidRDefault="002314CC"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pPr w:leftFromText="141" w:rightFromText="141" w:horzAnchor="page" w:tblpX="1006" w:tblpY="240"/>
      <w:tblW w:w="10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7"/>
      <w:gridCol w:w="4220"/>
    </w:tblGrid>
    <w:tr w:rsidR="00C11073" w14:paraId="0A685E1E" w14:textId="77777777" w:rsidTr="00C11073">
      <w:trPr>
        <w:trHeight w:val="833"/>
      </w:trPr>
      <w:tc>
        <w:tcPr>
          <w:tcW w:w="6367" w:type="dxa"/>
          <w:vAlign w:val="center"/>
        </w:tcPr>
        <w:p w14:paraId="22286F72" w14:textId="77777777" w:rsidR="00C11073" w:rsidRDefault="00C11073" w:rsidP="00C11073">
          <w:pPr>
            <w:pStyle w:val="En-tte"/>
            <w:jc w:val="center"/>
            <w:rPr>
              <w:b/>
              <w:lang w:val="fr-FR"/>
            </w:rPr>
          </w:pPr>
          <w:r w:rsidRPr="007F6CFC">
            <w:rPr>
              <w:b/>
              <w:lang w:val="fr-FR"/>
            </w:rPr>
            <w:t>Groupe d’Adaptation des Pratiques de Marché T2S</w:t>
          </w:r>
        </w:p>
        <w:p w14:paraId="04482A21" w14:textId="77777777" w:rsidR="00C11073" w:rsidRDefault="00C11073" w:rsidP="00C11073">
          <w:pPr>
            <w:pStyle w:val="En-tte"/>
            <w:jc w:val="center"/>
            <w:rPr>
              <w:b/>
              <w:lang w:val="fr-FR"/>
            </w:rPr>
          </w:pPr>
          <w:r>
            <w:rPr>
              <w:b/>
              <w:lang w:val="fr-FR"/>
            </w:rPr>
            <w:t>Fiche Pratique de marché</w:t>
          </w:r>
        </w:p>
      </w:tc>
      <w:tc>
        <w:tcPr>
          <w:tcW w:w="4220" w:type="dxa"/>
          <w:vAlign w:val="center"/>
        </w:tcPr>
        <w:p w14:paraId="5F84F2ED" w14:textId="77777777" w:rsidR="00C11073" w:rsidRDefault="00C11073" w:rsidP="00C11073">
          <w:pPr>
            <w:pStyle w:val="En-tte"/>
            <w:rPr>
              <w:b/>
              <w:lang w:val="fr-FR"/>
            </w:rPr>
          </w:pPr>
          <w:r>
            <w:rPr>
              <w:noProof/>
              <w:lang w:val="fr-FR" w:eastAsia="fr-FR"/>
            </w:rPr>
            <w:drawing>
              <wp:inline distT="0" distB="0" distL="0" distR="0" wp14:anchorId="34619EDC" wp14:editId="20182A80">
                <wp:extent cx="1032931" cy="516467"/>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object w:dxaOrig="7200" w:dyaOrig="4605" w14:anchorId="76B89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4pt" o:ole="">
                <v:imagedata r:id="rId2" o:title=""/>
              </v:shape>
              <o:OLEObject Type="Embed" ProgID="PBrush" ShapeID="_x0000_i1025" DrawAspect="Content" ObjectID="_1540905106" r:id="rId3"/>
            </w:object>
          </w:r>
        </w:p>
      </w:tc>
    </w:tr>
    <w:tr w:rsidR="00C11073" w:rsidRPr="00B12372" w14:paraId="5D76DF4E" w14:textId="77777777" w:rsidTr="00C11073">
      <w:trPr>
        <w:trHeight w:val="271"/>
      </w:trPr>
      <w:tc>
        <w:tcPr>
          <w:tcW w:w="6367" w:type="dxa"/>
          <w:vAlign w:val="center"/>
        </w:tcPr>
        <w:p w14:paraId="60EF6D94" w14:textId="77777777" w:rsidR="00C11073" w:rsidRPr="00EC776F" w:rsidRDefault="00C11073" w:rsidP="00FF4EFB">
          <w:pPr>
            <w:pStyle w:val="En-tte"/>
            <w:jc w:val="center"/>
            <w:rPr>
              <w:i/>
              <w:lang w:val="fr-FR"/>
            </w:rPr>
          </w:pPr>
          <w:r>
            <w:rPr>
              <w:i/>
              <w:lang w:val="fr-FR"/>
            </w:rPr>
            <w:t xml:space="preserve">Référence de la pratique : </w:t>
          </w:r>
          <w:r w:rsidRPr="00922B9C">
            <w:rPr>
              <w:i/>
              <w:lang w:val="fr-FR"/>
            </w:rPr>
            <w:t>MS-</w:t>
          </w:r>
          <w:r>
            <w:rPr>
              <w:i/>
              <w:lang w:val="fr-FR"/>
            </w:rPr>
            <w:t>SETTL-FRANCO-03</w:t>
          </w:r>
        </w:p>
      </w:tc>
      <w:tc>
        <w:tcPr>
          <w:tcW w:w="4220" w:type="dxa"/>
          <w:vAlign w:val="center"/>
        </w:tcPr>
        <w:p w14:paraId="5C4BA7F2" w14:textId="77777777" w:rsidR="00C11073" w:rsidRPr="00EC776F" w:rsidRDefault="00C11073" w:rsidP="00C11073">
          <w:pPr>
            <w:pStyle w:val="En-tte"/>
            <w:jc w:val="center"/>
            <w:rPr>
              <w:noProof/>
              <w:lang w:val="fr-FR"/>
            </w:rPr>
          </w:pPr>
        </w:p>
      </w:tc>
    </w:tr>
  </w:tbl>
  <w:p w14:paraId="64343C97" w14:textId="77777777" w:rsidR="00C11073" w:rsidRPr="00C11073" w:rsidRDefault="00C11073">
    <w:pPr>
      <w:pStyle w:val="En-tte"/>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0638B"/>
    <w:multiLevelType w:val="hybridMultilevel"/>
    <w:tmpl w:val="D4E055C6"/>
    <w:lvl w:ilvl="0" w:tplc="D536161E">
      <w:start w:val="17"/>
      <w:numFmt w:val="bullet"/>
      <w:lvlText w:val="-"/>
      <w:lvlJc w:val="left"/>
      <w:pPr>
        <w:ind w:left="720" w:hanging="360"/>
      </w:pPr>
      <w:rPr>
        <w:rFonts w:ascii="Calibri" w:eastAsia="MS Mincho"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C76FC"/>
    <w:multiLevelType w:val="hybridMultilevel"/>
    <w:tmpl w:val="0FEADF7C"/>
    <w:lvl w:ilvl="0" w:tplc="4FD8A8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BBC7E57"/>
    <w:multiLevelType w:val="hybridMultilevel"/>
    <w:tmpl w:val="39D02832"/>
    <w:lvl w:ilvl="0" w:tplc="3D066DD0">
      <w:start w:val="1"/>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74AEE"/>
    <w:multiLevelType w:val="hybridMultilevel"/>
    <w:tmpl w:val="86EED61A"/>
    <w:lvl w:ilvl="0" w:tplc="17C2B8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452059"/>
    <w:multiLevelType w:val="hybridMultilevel"/>
    <w:tmpl w:val="0866A86C"/>
    <w:lvl w:ilvl="0" w:tplc="9BA8E9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6"/>
  </w:num>
  <w:num w:numId="5">
    <w:abstractNumId w:val="2"/>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5120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46"/>
    <w:rsid w:val="0004093E"/>
    <w:rsid w:val="00077E8A"/>
    <w:rsid w:val="0008600C"/>
    <w:rsid w:val="000C1C9B"/>
    <w:rsid w:val="000C5516"/>
    <w:rsid w:val="000E3BCE"/>
    <w:rsid w:val="000E438A"/>
    <w:rsid w:val="0016209B"/>
    <w:rsid w:val="00180CFE"/>
    <w:rsid w:val="001B1E38"/>
    <w:rsid w:val="001D7830"/>
    <w:rsid w:val="001E0D83"/>
    <w:rsid w:val="002314CC"/>
    <w:rsid w:val="002615A0"/>
    <w:rsid w:val="00275D4E"/>
    <w:rsid w:val="00291650"/>
    <w:rsid w:val="002A449C"/>
    <w:rsid w:val="002E2ECC"/>
    <w:rsid w:val="00343B9E"/>
    <w:rsid w:val="00363E89"/>
    <w:rsid w:val="003B3DA4"/>
    <w:rsid w:val="00417262"/>
    <w:rsid w:val="00420E79"/>
    <w:rsid w:val="00443A1F"/>
    <w:rsid w:val="00452AB5"/>
    <w:rsid w:val="00453026"/>
    <w:rsid w:val="00454884"/>
    <w:rsid w:val="004615F9"/>
    <w:rsid w:val="00473F08"/>
    <w:rsid w:val="00483D8D"/>
    <w:rsid w:val="00494FE4"/>
    <w:rsid w:val="004957D8"/>
    <w:rsid w:val="004B3BDA"/>
    <w:rsid w:val="004B4305"/>
    <w:rsid w:val="004C283B"/>
    <w:rsid w:val="004E64C5"/>
    <w:rsid w:val="004F6025"/>
    <w:rsid w:val="005061BA"/>
    <w:rsid w:val="0052076F"/>
    <w:rsid w:val="00533C3A"/>
    <w:rsid w:val="0059032C"/>
    <w:rsid w:val="00601732"/>
    <w:rsid w:val="00610CC8"/>
    <w:rsid w:val="00612819"/>
    <w:rsid w:val="006230B7"/>
    <w:rsid w:val="006C57CA"/>
    <w:rsid w:val="006D6846"/>
    <w:rsid w:val="00727BF7"/>
    <w:rsid w:val="00754D2E"/>
    <w:rsid w:val="00765664"/>
    <w:rsid w:val="00776FDB"/>
    <w:rsid w:val="00797C57"/>
    <w:rsid w:val="007F15E0"/>
    <w:rsid w:val="007F6CFC"/>
    <w:rsid w:val="00800E18"/>
    <w:rsid w:val="00862737"/>
    <w:rsid w:val="008751AF"/>
    <w:rsid w:val="00890300"/>
    <w:rsid w:val="00893912"/>
    <w:rsid w:val="00933237"/>
    <w:rsid w:val="0096310C"/>
    <w:rsid w:val="00964D96"/>
    <w:rsid w:val="00973FF3"/>
    <w:rsid w:val="0097539D"/>
    <w:rsid w:val="00982218"/>
    <w:rsid w:val="009E5308"/>
    <w:rsid w:val="00A02DBD"/>
    <w:rsid w:val="00A061D4"/>
    <w:rsid w:val="00A21489"/>
    <w:rsid w:val="00A32F43"/>
    <w:rsid w:val="00A67DB3"/>
    <w:rsid w:val="00A80EBC"/>
    <w:rsid w:val="00AA6538"/>
    <w:rsid w:val="00AB6CC1"/>
    <w:rsid w:val="00AE6B7F"/>
    <w:rsid w:val="00B0456F"/>
    <w:rsid w:val="00B12372"/>
    <w:rsid w:val="00B26098"/>
    <w:rsid w:val="00B42FCD"/>
    <w:rsid w:val="00B540C8"/>
    <w:rsid w:val="00B5600F"/>
    <w:rsid w:val="00B71843"/>
    <w:rsid w:val="00BA66D3"/>
    <w:rsid w:val="00BE4C60"/>
    <w:rsid w:val="00C070B0"/>
    <w:rsid w:val="00C0767C"/>
    <w:rsid w:val="00C1000A"/>
    <w:rsid w:val="00C11073"/>
    <w:rsid w:val="00C12F1E"/>
    <w:rsid w:val="00C21AA5"/>
    <w:rsid w:val="00C23EE1"/>
    <w:rsid w:val="00C329BD"/>
    <w:rsid w:val="00C561DB"/>
    <w:rsid w:val="00C60EC8"/>
    <w:rsid w:val="00C77C0A"/>
    <w:rsid w:val="00C84EA0"/>
    <w:rsid w:val="00CA3515"/>
    <w:rsid w:val="00CB3D2E"/>
    <w:rsid w:val="00CB789E"/>
    <w:rsid w:val="00CC0B75"/>
    <w:rsid w:val="00CC1C26"/>
    <w:rsid w:val="00CD01E4"/>
    <w:rsid w:val="00CE06A4"/>
    <w:rsid w:val="00CE5BAA"/>
    <w:rsid w:val="00D103DA"/>
    <w:rsid w:val="00D428A9"/>
    <w:rsid w:val="00D50655"/>
    <w:rsid w:val="00D53037"/>
    <w:rsid w:val="00D76866"/>
    <w:rsid w:val="00D92BF0"/>
    <w:rsid w:val="00DA43F9"/>
    <w:rsid w:val="00DA7878"/>
    <w:rsid w:val="00DB106F"/>
    <w:rsid w:val="00DE3451"/>
    <w:rsid w:val="00E206BA"/>
    <w:rsid w:val="00E50F17"/>
    <w:rsid w:val="00E9152F"/>
    <w:rsid w:val="00EC353B"/>
    <w:rsid w:val="00F00BF4"/>
    <w:rsid w:val="00F51F4D"/>
    <w:rsid w:val="00F805C0"/>
    <w:rsid w:val="00F81BF0"/>
    <w:rsid w:val="00FA26FA"/>
    <w:rsid w:val="00FA627B"/>
    <w:rsid w:val="00FB3AEB"/>
    <w:rsid w:val="00FC5331"/>
    <w:rsid w:val="00FF4EF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14:docId w14:val="77B72911"/>
  <w15:docId w15:val="{B14DBA21-868C-47E6-9A16-C0DBA22E3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semiHidden/>
    <w:unhideWhenUsed/>
    <w:qFormat/>
    <w:rsid w:val="00AA6538"/>
    <w:pPr>
      <w:spacing w:before="100" w:beforeAutospacing="1" w:after="100" w:afterAutospacing="1" w:line="240" w:lineRule="auto"/>
      <w:outlineLvl w:val="1"/>
    </w:pPr>
    <w:rPr>
      <w:rFonts w:ascii="Times New Roman" w:hAnsi="Times New Roman" w:cs="Times New Roman"/>
      <w:b/>
      <w:bCs/>
      <w:sz w:val="36"/>
      <w:szCs w:val="3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6846"/>
    <w:pPr>
      <w:tabs>
        <w:tab w:val="center" w:pos="4680"/>
        <w:tab w:val="right" w:pos="9360"/>
      </w:tabs>
      <w:spacing w:after="0" w:line="240" w:lineRule="auto"/>
    </w:pPr>
  </w:style>
  <w:style w:type="character" w:customStyle="1" w:styleId="En-tteCar">
    <w:name w:val="En-tête Car"/>
    <w:basedOn w:val="Policepardfaut"/>
    <w:link w:val="En-tte"/>
    <w:uiPriority w:val="99"/>
    <w:rsid w:val="006D6846"/>
  </w:style>
  <w:style w:type="paragraph" w:styleId="Pieddepage">
    <w:name w:val="footer"/>
    <w:basedOn w:val="Normal"/>
    <w:link w:val="PieddepageCar"/>
    <w:uiPriority w:val="99"/>
    <w:unhideWhenUsed/>
    <w:rsid w:val="006D684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D6846"/>
  </w:style>
  <w:style w:type="paragraph" w:styleId="Textedebulles">
    <w:name w:val="Balloon Text"/>
    <w:basedOn w:val="Normal"/>
    <w:link w:val="TextedebullesCar"/>
    <w:uiPriority w:val="99"/>
    <w:semiHidden/>
    <w:unhideWhenUsed/>
    <w:rsid w:val="006D68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46"/>
    <w:rPr>
      <w:rFonts w:ascii="Tahoma" w:hAnsi="Tahoma" w:cs="Tahoma"/>
      <w:sz w:val="16"/>
      <w:szCs w:val="16"/>
    </w:rPr>
  </w:style>
  <w:style w:type="paragraph" w:styleId="TM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Paragraphedeliste">
    <w:name w:val="List Paragraph"/>
    <w:basedOn w:val="Normal"/>
    <w:uiPriority w:val="34"/>
    <w:qFormat/>
    <w:rsid w:val="00B26098"/>
    <w:pPr>
      <w:ind w:left="720"/>
      <w:contextualSpacing/>
    </w:pPr>
  </w:style>
  <w:style w:type="table" w:styleId="Grilledutableau">
    <w:name w:val="Table Grid"/>
    <w:basedOn w:val="Tableau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751AF"/>
    <w:rPr>
      <w:sz w:val="16"/>
      <w:szCs w:val="16"/>
    </w:rPr>
  </w:style>
  <w:style w:type="paragraph" w:styleId="Commentaire">
    <w:name w:val="annotation text"/>
    <w:basedOn w:val="Normal"/>
    <w:link w:val="CommentaireCar"/>
    <w:uiPriority w:val="99"/>
    <w:semiHidden/>
    <w:unhideWhenUsed/>
    <w:rsid w:val="008751AF"/>
    <w:pPr>
      <w:spacing w:line="240" w:lineRule="auto"/>
    </w:pPr>
    <w:rPr>
      <w:sz w:val="20"/>
      <w:szCs w:val="20"/>
    </w:rPr>
  </w:style>
  <w:style w:type="character" w:customStyle="1" w:styleId="CommentaireCar">
    <w:name w:val="Commentaire Car"/>
    <w:basedOn w:val="Policepardfaut"/>
    <w:link w:val="Commentaire"/>
    <w:uiPriority w:val="99"/>
    <w:semiHidden/>
    <w:rsid w:val="008751AF"/>
    <w:rPr>
      <w:sz w:val="20"/>
      <w:szCs w:val="20"/>
    </w:rPr>
  </w:style>
  <w:style w:type="paragraph" w:styleId="Objetducommentaire">
    <w:name w:val="annotation subject"/>
    <w:basedOn w:val="Commentaire"/>
    <w:next w:val="Commentaire"/>
    <w:link w:val="ObjetducommentaireCar"/>
    <w:uiPriority w:val="99"/>
    <w:semiHidden/>
    <w:unhideWhenUsed/>
    <w:rsid w:val="008751AF"/>
    <w:rPr>
      <w:b/>
      <w:bCs/>
    </w:rPr>
  </w:style>
  <w:style w:type="character" w:customStyle="1" w:styleId="ObjetducommentaireCar">
    <w:name w:val="Objet du commentaire Car"/>
    <w:basedOn w:val="CommentaireCar"/>
    <w:link w:val="Objetducommentaire"/>
    <w:uiPriority w:val="99"/>
    <w:semiHidden/>
    <w:rsid w:val="008751AF"/>
    <w:rPr>
      <w:b/>
      <w:bCs/>
      <w:sz w:val="20"/>
      <w:szCs w:val="20"/>
    </w:rPr>
  </w:style>
  <w:style w:type="paragraph" w:styleId="Rvision">
    <w:name w:val="Revision"/>
    <w:hidden/>
    <w:uiPriority w:val="99"/>
    <w:semiHidden/>
    <w:rsid w:val="00AA6538"/>
    <w:pPr>
      <w:spacing w:after="0" w:line="240" w:lineRule="auto"/>
    </w:pPr>
  </w:style>
  <w:style w:type="character" w:customStyle="1" w:styleId="Titre2Car">
    <w:name w:val="Titre 2 Car"/>
    <w:basedOn w:val="Policepardfaut"/>
    <w:link w:val="Titre2"/>
    <w:uiPriority w:val="9"/>
    <w:semiHidden/>
    <w:rsid w:val="00AA6538"/>
    <w:rPr>
      <w:rFonts w:ascii="Times New Roman" w:hAnsi="Times New Roman" w:cs="Times New Roman"/>
      <w:b/>
      <w:bCs/>
      <w:sz w:val="36"/>
      <w:szCs w:val="36"/>
      <w:lang w:val="fr-FR" w:eastAsia="fr-FR"/>
    </w:rPr>
  </w:style>
  <w:style w:type="character" w:customStyle="1" w:styleId="ui-panel-title">
    <w:name w:val="ui-panel-title"/>
    <w:basedOn w:val="Policepardfaut"/>
    <w:rsid w:val="00AA6538"/>
  </w:style>
  <w:style w:type="character" w:customStyle="1" w:styleId="italic">
    <w:name w:val="italic"/>
    <w:basedOn w:val="Policepardfaut"/>
    <w:rsid w:val="00AA6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99672">
      <w:bodyDiv w:val="1"/>
      <w:marLeft w:val="0"/>
      <w:marRight w:val="0"/>
      <w:marTop w:val="0"/>
      <w:marBottom w:val="0"/>
      <w:divBdr>
        <w:top w:val="none" w:sz="0" w:space="0" w:color="auto"/>
        <w:left w:val="none" w:sz="0" w:space="0" w:color="auto"/>
        <w:bottom w:val="none" w:sz="0" w:space="0" w:color="auto"/>
        <w:right w:val="none" w:sz="0" w:space="0" w:color="auto"/>
      </w:divBdr>
    </w:div>
    <w:div w:id="327024997">
      <w:bodyDiv w:val="1"/>
      <w:marLeft w:val="0"/>
      <w:marRight w:val="0"/>
      <w:marTop w:val="0"/>
      <w:marBottom w:val="0"/>
      <w:divBdr>
        <w:top w:val="none" w:sz="0" w:space="0" w:color="auto"/>
        <w:left w:val="none" w:sz="0" w:space="0" w:color="auto"/>
        <w:bottom w:val="none" w:sz="0" w:space="0" w:color="auto"/>
        <w:right w:val="none" w:sz="0" w:space="0" w:color="auto"/>
      </w:divBdr>
    </w:div>
    <w:div w:id="1459840982">
      <w:bodyDiv w:val="1"/>
      <w:marLeft w:val="0"/>
      <w:marRight w:val="0"/>
      <w:marTop w:val="0"/>
      <w:marBottom w:val="0"/>
      <w:divBdr>
        <w:top w:val="none" w:sz="0" w:space="0" w:color="auto"/>
        <w:left w:val="none" w:sz="0" w:space="0" w:color="auto"/>
        <w:bottom w:val="none" w:sz="0" w:space="0" w:color="auto"/>
        <w:right w:val="none" w:sz="0" w:space="0" w:color="auto"/>
      </w:divBdr>
    </w:div>
    <w:div w:id="1617443828">
      <w:bodyDiv w:val="1"/>
      <w:marLeft w:val="0"/>
      <w:marRight w:val="0"/>
      <w:marTop w:val="0"/>
      <w:marBottom w:val="0"/>
      <w:divBdr>
        <w:top w:val="none" w:sz="0" w:space="0" w:color="auto"/>
        <w:left w:val="none" w:sz="0" w:space="0" w:color="auto"/>
        <w:bottom w:val="none" w:sz="0" w:space="0" w:color="auto"/>
        <w:right w:val="none" w:sz="0" w:space="0" w:color="auto"/>
      </w:divBdr>
    </w:div>
    <w:div w:id="179602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1010</Words>
  <Characters>5559</Characters>
  <Application>Microsoft Office Word</Application>
  <DocSecurity>4</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Deciron, Isabelle</cp:lastModifiedBy>
  <cp:revision>2</cp:revision>
  <cp:lastPrinted>2015-10-26T16:24:00Z</cp:lastPrinted>
  <dcterms:created xsi:type="dcterms:W3CDTF">2016-11-17T15:25:00Z</dcterms:created>
  <dcterms:modified xsi:type="dcterms:W3CDTF">2016-11-17T15:25:00Z</dcterms:modified>
</cp:coreProperties>
</file>