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664" w:rsidRDefault="00765664" w:rsidP="006D6846">
      <w:pPr>
        <w:tabs>
          <w:tab w:val="left" w:pos="9356"/>
        </w:tabs>
        <w:ind w:right="-279"/>
        <w:jc w:val="center"/>
        <w:rPr>
          <w:sz w:val="36"/>
          <w:lang w:val="fr-FR"/>
        </w:rPr>
      </w:pPr>
    </w:p>
    <w:p w:rsidR="00575F36" w:rsidRPr="00EC776F" w:rsidRDefault="00113071" w:rsidP="00AA1FD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000000" w:fill="FFFFFF"/>
        <w:jc w:val="center"/>
        <w:rPr>
          <w:b/>
          <w:noProof/>
          <w:sz w:val="36"/>
          <w:lang w:val="fr-FR"/>
        </w:rPr>
      </w:pPr>
      <w:r w:rsidRPr="00113071">
        <w:rPr>
          <w:b/>
          <w:noProof/>
          <w:sz w:val="36"/>
          <w:lang w:val="fr-FR"/>
        </w:rPr>
        <w:t>Migration des instructions positionnées en ICPG3 par les deux contreparties</w:t>
      </w:r>
    </w:p>
    <w:p w:rsidR="001B1E38" w:rsidRDefault="001B1E38" w:rsidP="006D6846">
      <w:pPr>
        <w:tabs>
          <w:tab w:val="left" w:pos="9356"/>
        </w:tabs>
        <w:ind w:right="-279"/>
        <w:rPr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4932"/>
      </w:tblGrid>
      <w:tr w:rsidR="004F6025" w:rsidTr="0091257E">
        <w:tc>
          <w:tcPr>
            <w:tcW w:w="2093" w:type="dxa"/>
            <w:vMerge w:val="restart"/>
            <w:shd w:val="clear" w:color="auto" w:fill="BFBFBF" w:themeFill="background1" w:themeFillShade="BF"/>
          </w:tcPr>
          <w:p w:rsidR="004F6025" w:rsidRPr="004F6025" w:rsidRDefault="004F6025" w:rsidP="006D6846">
            <w:pPr>
              <w:tabs>
                <w:tab w:val="left" w:pos="9356"/>
              </w:tabs>
              <w:ind w:right="-279"/>
              <w:rPr>
                <w:b/>
                <w:lang w:val="fr-FR"/>
              </w:rPr>
            </w:pPr>
            <w:proofErr w:type="spellStart"/>
            <w:r w:rsidRPr="004F6025">
              <w:rPr>
                <w:b/>
                <w:lang w:val="fr-FR"/>
              </w:rPr>
              <w:t>Versioning</w:t>
            </w:r>
            <w:proofErr w:type="spellEnd"/>
          </w:p>
        </w:tc>
        <w:tc>
          <w:tcPr>
            <w:tcW w:w="2551" w:type="dxa"/>
            <w:shd w:val="clear" w:color="auto" w:fill="F2F2F2" w:themeFill="background1" w:themeFillShade="F2"/>
          </w:tcPr>
          <w:p w:rsidR="004F6025" w:rsidRDefault="004F6025" w:rsidP="006D6846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Version</w:t>
            </w:r>
          </w:p>
        </w:tc>
        <w:tc>
          <w:tcPr>
            <w:tcW w:w="4932" w:type="dxa"/>
          </w:tcPr>
          <w:p w:rsidR="004F6025" w:rsidRDefault="00113071" w:rsidP="00C81E32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1</w:t>
            </w:r>
            <w:r w:rsidR="00140482">
              <w:rPr>
                <w:lang w:val="fr-FR"/>
              </w:rPr>
              <w:t>.</w:t>
            </w:r>
            <w:r w:rsidR="00C81E32">
              <w:rPr>
                <w:lang w:val="fr-FR"/>
              </w:rPr>
              <w:t>2</w:t>
            </w:r>
          </w:p>
        </w:tc>
      </w:tr>
      <w:tr w:rsidR="004F6025" w:rsidRPr="00AA1FDB" w:rsidTr="0091257E">
        <w:tc>
          <w:tcPr>
            <w:tcW w:w="2093" w:type="dxa"/>
            <w:vMerge/>
            <w:shd w:val="clear" w:color="auto" w:fill="BFBFBF" w:themeFill="background1" w:themeFillShade="BF"/>
          </w:tcPr>
          <w:p w:rsidR="004F6025" w:rsidRPr="004F6025" w:rsidRDefault="004F6025" w:rsidP="006D6846">
            <w:pPr>
              <w:tabs>
                <w:tab w:val="left" w:pos="9356"/>
              </w:tabs>
              <w:ind w:right="-279"/>
              <w:rPr>
                <w:b/>
                <w:lang w:val="fr-FR"/>
              </w:rPr>
            </w:pPr>
          </w:p>
        </w:tc>
        <w:tc>
          <w:tcPr>
            <w:tcW w:w="2551" w:type="dxa"/>
            <w:shd w:val="clear" w:color="auto" w:fill="F2F2F2" w:themeFill="background1" w:themeFillShade="F2"/>
          </w:tcPr>
          <w:p w:rsidR="004F6025" w:rsidRDefault="004F6025" w:rsidP="00EC776F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 xml:space="preserve">Date </w:t>
            </w:r>
            <w:r w:rsidR="00EC776F">
              <w:rPr>
                <w:lang w:val="fr-FR"/>
              </w:rPr>
              <w:t>de publication</w:t>
            </w:r>
          </w:p>
        </w:tc>
        <w:tc>
          <w:tcPr>
            <w:tcW w:w="4932" w:type="dxa"/>
          </w:tcPr>
          <w:p w:rsidR="004F6025" w:rsidRDefault="0017736B" w:rsidP="0017736B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 xml:space="preserve">29 août </w:t>
            </w:r>
            <w:r w:rsidR="00140482">
              <w:rPr>
                <w:lang w:val="fr-FR"/>
              </w:rPr>
              <w:t>2016</w:t>
            </w:r>
          </w:p>
        </w:tc>
      </w:tr>
    </w:tbl>
    <w:p w:rsidR="00B26098" w:rsidRDefault="00B26098" w:rsidP="00B26098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EC776F" w:rsidRDefault="00EC776F" w:rsidP="00B26098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81511D" w:rsidRPr="004F6025" w:rsidRDefault="0081511D" w:rsidP="0081511D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t>PRESENTATION DE LA PRATIQUE EXISTANTE &amp; description des Impacts</w:t>
      </w:r>
    </w:p>
    <w:p w:rsidR="0081511D" w:rsidRPr="004F6025" w:rsidRDefault="0081511D" w:rsidP="00B26098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7513"/>
      </w:tblGrid>
      <w:tr w:rsidR="00D103DA" w:rsidRPr="00113071" w:rsidTr="0091257E"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103DA" w:rsidRPr="00D103DA" w:rsidRDefault="00D103DA" w:rsidP="00893912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 w:rsidRPr="00D103DA">
              <w:rPr>
                <w:rFonts w:eastAsia="MS Mincho" w:cs="Times New Roman"/>
                <w:b/>
                <w:noProof/>
                <w:szCs w:val="32"/>
                <w:lang w:val="fr-FR"/>
              </w:rPr>
              <w:t xml:space="preserve">Description </w:t>
            </w:r>
            <w:r w:rsidR="00893912">
              <w:rPr>
                <w:rFonts w:eastAsia="MS Mincho" w:cs="Times New Roman"/>
                <w:b/>
                <w:noProof/>
                <w:szCs w:val="32"/>
                <w:lang w:val="fr-FR"/>
              </w:rPr>
              <w:t>de la pratique existante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140482" w:rsidRDefault="00113071" w:rsidP="00922B9C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i/>
                <w:noProof/>
                <w:szCs w:val="32"/>
                <w:lang w:val="fr-FR"/>
              </w:rPr>
              <w:t>Pas de pratique existante.</w:t>
            </w:r>
          </w:p>
        </w:tc>
      </w:tr>
      <w:tr w:rsidR="00D103DA" w:rsidRPr="00113071" w:rsidTr="0091257E">
        <w:tc>
          <w:tcPr>
            <w:tcW w:w="2093" w:type="dxa"/>
            <w:tcBorders>
              <w:left w:val="nil"/>
              <w:right w:val="nil"/>
            </w:tcBorders>
          </w:tcPr>
          <w:p w:rsidR="00EC776F" w:rsidRPr="00D103DA" w:rsidRDefault="00EC776F" w:rsidP="00B26098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</w:tcPr>
          <w:p w:rsidR="00D103DA" w:rsidRDefault="00D103DA" w:rsidP="00B26098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893912" w:rsidRPr="00B75113" w:rsidTr="0081511D"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93912" w:rsidRPr="00D103DA" w:rsidRDefault="00893912" w:rsidP="00EC776F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Description de l’impact de T2S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113071" w:rsidRPr="00911234" w:rsidRDefault="00113071" w:rsidP="00113071">
            <w:pPr>
              <w:spacing w:before="120"/>
              <w:jc w:val="both"/>
              <w:rPr>
                <w:rFonts w:eastAsia="MS Mincho" w:cs="Times New Roman"/>
                <w:noProof/>
                <w:lang w:val="fr-FR"/>
              </w:rPr>
            </w:pPr>
            <w:r w:rsidRPr="00911234">
              <w:rPr>
                <w:rFonts w:eastAsia="MS Mincho" w:cs="Times New Roman"/>
                <w:noProof/>
                <w:lang w:val="fr-FR"/>
              </w:rPr>
              <w:t>Dans les modalités de migration des instructions vers la plateforme T2S définies par Euroclear France au titre des instructions positionnées en auto-collatéralisation sur flux :</w:t>
            </w:r>
          </w:p>
          <w:p w:rsidR="00113071" w:rsidRPr="00911234" w:rsidRDefault="00113071" w:rsidP="00113071">
            <w:pPr>
              <w:numPr>
                <w:ilvl w:val="0"/>
                <w:numId w:val="3"/>
              </w:numPr>
              <w:spacing w:before="120"/>
              <w:jc w:val="both"/>
              <w:rPr>
                <w:rFonts w:eastAsia="MS Mincho" w:cs="Times New Roman"/>
                <w:noProof/>
                <w:lang w:val="fr-FR"/>
              </w:rPr>
            </w:pPr>
            <w:r w:rsidRPr="00911234">
              <w:rPr>
                <w:rFonts w:eastAsia="MS Mincho" w:cs="Times New Roman"/>
                <w:noProof/>
                <w:lang w:val="fr-FR"/>
              </w:rPr>
              <w:t xml:space="preserve">Les instructions non matchées à la date de la migration seront migrées par Euroclear </w:t>
            </w:r>
            <w:r w:rsidR="00130E33">
              <w:rPr>
                <w:rFonts w:eastAsia="MS Mincho" w:cs="Times New Roman"/>
                <w:noProof/>
                <w:lang w:val="fr-FR"/>
              </w:rPr>
              <w:t xml:space="preserve">France </w:t>
            </w:r>
            <w:r w:rsidRPr="00911234">
              <w:rPr>
                <w:rFonts w:eastAsia="MS Mincho" w:cs="Times New Roman"/>
                <w:noProof/>
                <w:lang w:val="fr-FR"/>
              </w:rPr>
              <w:t>vers la plateforme T2S ;</w:t>
            </w:r>
          </w:p>
          <w:p w:rsidR="00113071" w:rsidRPr="00911234" w:rsidRDefault="00113071" w:rsidP="00113071">
            <w:pPr>
              <w:numPr>
                <w:ilvl w:val="0"/>
                <w:numId w:val="3"/>
              </w:numPr>
              <w:spacing w:before="120"/>
              <w:jc w:val="both"/>
              <w:rPr>
                <w:rFonts w:eastAsia="MS Mincho" w:cs="Times New Roman"/>
                <w:noProof/>
                <w:lang w:val="fr-FR"/>
              </w:rPr>
            </w:pPr>
            <w:r w:rsidRPr="00911234">
              <w:rPr>
                <w:rFonts w:eastAsia="MS Mincho" w:cs="Times New Roman"/>
                <w:noProof/>
                <w:lang w:val="fr-FR"/>
              </w:rPr>
              <w:t>Concernant les instructions matchées mais non dénouées :</w:t>
            </w:r>
          </w:p>
          <w:p w:rsidR="00113071" w:rsidRPr="00911234" w:rsidRDefault="00113071" w:rsidP="00113071">
            <w:pPr>
              <w:numPr>
                <w:ilvl w:val="1"/>
                <w:numId w:val="3"/>
              </w:numPr>
              <w:spacing w:before="120"/>
              <w:jc w:val="both"/>
              <w:rPr>
                <w:rFonts w:eastAsia="MS Mincho" w:cs="Times New Roman"/>
                <w:noProof/>
                <w:lang w:val="fr-FR"/>
              </w:rPr>
            </w:pPr>
            <w:r w:rsidRPr="00911234">
              <w:rPr>
                <w:rFonts w:eastAsia="MS Mincho" w:cs="Times New Roman"/>
                <w:noProof/>
                <w:lang w:val="fr-FR"/>
              </w:rPr>
              <w:t xml:space="preserve">Les instructions non positionnées en auto-collatéralisation par les deux contreparties seront migrées par Euroclear </w:t>
            </w:r>
            <w:r w:rsidR="00130E33">
              <w:rPr>
                <w:rFonts w:eastAsia="MS Mincho" w:cs="Times New Roman"/>
                <w:noProof/>
                <w:lang w:val="fr-FR"/>
              </w:rPr>
              <w:t xml:space="preserve">France </w:t>
            </w:r>
            <w:r w:rsidRPr="00911234">
              <w:rPr>
                <w:rFonts w:eastAsia="MS Mincho" w:cs="Times New Roman"/>
                <w:noProof/>
                <w:lang w:val="fr-FR"/>
              </w:rPr>
              <w:t>vers plateforme T2S ;</w:t>
            </w:r>
          </w:p>
          <w:p w:rsidR="00113071" w:rsidRPr="00911234" w:rsidRDefault="00113071" w:rsidP="00113071">
            <w:pPr>
              <w:numPr>
                <w:ilvl w:val="1"/>
                <w:numId w:val="3"/>
              </w:numPr>
              <w:spacing w:before="120"/>
              <w:jc w:val="both"/>
              <w:rPr>
                <w:rFonts w:eastAsia="MS Mincho" w:cs="Times New Roman"/>
                <w:noProof/>
                <w:lang w:val="fr-FR"/>
              </w:rPr>
            </w:pPr>
            <w:r w:rsidRPr="00911234">
              <w:rPr>
                <w:rFonts w:eastAsia="MS Mincho" w:cs="Times New Roman"/>
                <w:noProof/>
                <w:lang w:val="fr-FR"/>
              </w:rPr>
              <w:t xml:space="preserve">Les instructions positionnées en auto-collatéralisation sur flux par l’une des deux contreparties de l’instruction seront migrées par Euroclear </w:t>
            </w:r>
            <w:r w:rsidR="00130E33">
              <w:rPr>
                <w:rFonts w:eastAsia="MS Mincho" w:cs="Times New Roman"/>
                <w:noProof/>
                <w:lang w:val="fr-FR"/>
              </w:rPr>
              <w:t xml:space="preserve">France </w:t>
            </w:r>
            <w:r w:rsidRPr="00911234">
              <w:rPr>
                <w:rFonts w:eastAsia="MS Mincho" w:cs="Times New Roman"/>
                <w:noProof/>
                <w:lang w:val="fr-FR"/>
              </w:rPr>
              <w:t>vers plateforme T2S ;</w:t>
            </w:r>
          </w:p>
          <w:p w:rsidR="00140482" w:rsidRPr="00911234" w:rsidRDefault="00113071" w:rsidP="00113071">
            <w:pPr>
              <w:numPr>
                <w:ilvl w:val="1"/>
                <w:numId w:val="3"/>
              </w:numPr>
              <w:spacing w:before="120"/>
              <w:jc w:val="both"/>
              <w:rPr>
                <w:rFonts w:eastAsia="MS Mincho" w:cs="Times New Roman"/>
                <w:noProof/>
                <w:lang w:val="fr-FR"/>
              </w:rPr>
            </w:pPr>
            <w:r w:rsidRPr="00911234">
              <w:rPr>
                <w:rFonts w:eastAsia="MS Mincho" w:cs="Times New Roman"/>
                <w:noProof/>
                <w:lang w:val="fr-FR"/>
              </w:rPr>
              <w:t>Les instructions positionnées en auto-collatéralisation sur flux (indicateur ICPG3) par les deux contreparties ne pourront pas être migrées vers la plateforme T2S par Euroclear</w:t>
            </w:r>
            <w:r w:rsidR="00130E33">
              <w:rPr>
                <w:rFonts w:eastAsia="MS Mincho" w:cs="Times New Roman"/>
                <w:noProof/>
                <w:lang w:val="fr-FR"/>
              </w:rPr>
              <w:t xml:space="preserve"> France</w:t>
            </w:r>
            <w:r w:rsidRPr="00911234">
              <w:rPr>
                <w:rFonts w:eastAsia="MS Mincho" w:cs="Times New Roman"/>
                <w:noProof/>
                <w:lang w:val="fr-FR"/>
              </w:rPr>
              <w:t xml:space="preserve">, car </w:t>
            </w:r>
            <w:r w:rsidRPr="00911234">
              <w:rPr>
                <w:rFonts w:cs="Tahoma"/>
                <w:lang w:val="fr-FR"/>
              </w:rPr>
              <w:t>les messages sese.023 en T2S ne permettent pas d’indiquer que la contrepartie est également en en auto-collatéralisation sur flux.</w:t>
            </w:r>
          </w:p>
        </w:tc>
      </w:tr>
      <w:tr w:rsidR="0081511D" w:rsidRPr="00B75113" w:rsidTr="0081511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81511D" w:rsidRDefault="0081511D" w:rsidP="00EC776F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81511D" w:rsidRPr="0081511D" w:rsidRDefault="0081511D" w:rsidP="0081511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81511D" w:rsidRPr="00B75113" w:rsidTr="0081511D">
        <w:tc>
          <w:tcPr>
            <w:tcW w:w="2093" w:type="dxa"/>
            <w:shd w:val="clear" w:color="auto" w:fill="BFBFBF" w:themeFill="background1" w:themeFillShade="BF"/>
          </w:tcPr>
          <w:p w:rsidR="0081511D" w:rsidRDefault="0081511D" w:rsidP="00EC776F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Description de la problématique majeure</w:t>
            </w:r>
          </w:p>
        </w:tc>
        <w:tc>
          <w:tcPr>
            <w:tcW w:w="7513" w:type="dxa"/>
          </w:tcPr>
          <w:p w:rsidR="00113071" w:rsidRPr="00911234" w:rsidRDefault="00113071" w:rsidP="00113071">
            <w:pPr>
              <w:spacing w:beforeLines="60" w:before="144"/>
              <w:jc w:val="both"/>
              <w:rPr>
                <w:rFonts w:cs="Tahoma"/>
                <w:lang w:val="fr-FR" w:eastAsia="fr-FR"/>
              </w:rPr>
            </w:pPr>
            <w:r w:rsidRPr="00911234">
              <w:rPr>
                <w:rFonts w:cs="Tahoma"/>
                <w:lang w:val="fr-FR" w:eastAsia="fr-FR"/>
              </w:rPr>
              <w:t xml:space="preserve">Les instructions matchées mais non dénouées dans lesquelles les deux participants ont indiqué avec l’indicateur ICPG3 que les titres étaient disponibles pour l’auto-collatéralisation sur flux ne peuvent être migrées en automatique par </w:t>
            </w:r>
            <w:r w:rsidRPr="00911234">
              <w:rPr>
                <w:rFonts w:cs="Tahoma"/>
                <w:lang w:val="fr-FR" w:eastAsia="fr-FR"/>
              </w:rPr>
              <w:lastRenderedPageBreak/>
              <w:t xml:space="preserve">Euroclear </w:t>
            </w:r>
            <w:r w:rsidR="00130E33">
              <w:rPr>
                <w:rFonts w:cs="Tahoma"/>
                <w:lang w:val="fr-FR" w:eastAsia="fr-FR"/>
              </w:rPr>
              <w:t xml:space="preserve">France </w:t>
            </w:r>
            <w:r w:rsidRPr="00911234">
              <w:rPr>
                <w:rFonts w:cs="Tahoma"/>
                <w:lang w:val="fr-FR" w:eastAsia="fr-FR"/>
              </w:rPr>
              <w:t xml:space="preserve">(2 cas de figure : instructions matchées mais en fail au moment de la migration, instructions à dénouer </w:t>
            </w:r>
            <w:proofErr w:type="spellStart"/>
            <w:r w:rsidRPr="00911234">
              <w:rPr>
                <w:rFonts w:cs="Tahoma"/>
                <w:lang w:val="fr-FR" w:eastAsia="fr-FR"/>
              </w:rPr>
              <w:t>post-bascule</w:t>
            </w:r>
            <w:proofErr w:type="spellEnd"/>
            <w:r w:rsidRPr="00911234">
              <w:rPr>
                <w:rFonts w:cs="Tahoma"/>
                <w:lang w:val="fr-FR" w:eastAsia="fr-FR"/>
              </w:rPr>
              <w:t>).</w:t>
            </w:r>
          </w:p>
          <w:p w:rsidR="00113071" w:rsidRPr="00911234" w:rsidRDefault="00113071" w:rsidP="00113071">
            <w:pPr>
              <w:spacing w:beforeLines="60" w:before="144" w:after="60"/>
              <w:jc w:val="both"/>
              <w:rPr>
                <w:rFonts w:cs="Tahoma"/>
                <w:lang w:val="fr-FR"/>
              </w:rPr>
            </w:pPr>
            <w:r w:rsidRPr="00911234">
              <w:rPr>
                <w:rFonts w:cs="Tahoma"/>
                <w:lang w:val="fr-FR"/>
              </w:rPr>
              <w:t xml:space="preserve">Euroclear </w:t>
            </w:r>
            <w:r w:rsidR="00130E33">
              <w:rPr>
                <w:rFonts w:cs="Tahoma"/>
                <w:lang w:val="fr-FR"/>
              </w:rPr>
              <w:t xml:space="preserve">France </w:t>
            </w:r>
            <w:r w:rsidRPr="00911234">
              <w:rPr>
                <w:rFonts w:cs="Tahoma"/>
                <w:lang w:val="fr-FR"/>
              </w:rPr>
              <w:t xml:space="preserve">ne peut envoyer ces instructions en </w:t>
            </w:r>
            <w:proofErr w:type="spellStart"/>
            <w:r w:rsidRPr="00911234">
              <w:rPr>
                <w:rFonts w:cs="Tahoma"/>
                <w:lang w:val="fr-FR"/>
              </w:rPr>
              <w:t>already</w:t>
            </w:r>
            <w:proofErr w:type="spellEnd"/>
            <w:r w:rsidRPr="00911234">
              <w:rPr>
                <w:rFonts w:cs="Tahoma"/>
                <w:lang w:val="fr-FR"/>
              </w:rPr>
              <w:t xml:space="preserve"> </w:t>
            </w:r>
            <w:proofErr w:type="spellStart"/>
            <w:r w:rsidRPr="00911234">
              <w:rPr>
                <w:rFonts w:cs="Tahoma"/>
                <w:lang w:val="fr-FR"/>
              </w:rPr>
              <w:t>matched</w:t>
            </w:r>
            <w:proofErr w:type="spellEnd"/>
            <w:r w:rsidRPr="00911234">
              <w:rPr>
                <w:rFonts w:cs="Tahoma"/>
                <w:lang w:val="fr-FR"/>
              </w:rPr>
              <w:t xml:space="preserve"> telles quelles, les messages sese.023 ne permettant pas d’indiquer que la contrepartie est également en ICPG3.</w:t>
            </w:r>
          </w:p>
          <w:p w:rsidR="0081511D" w:rsidRPr="00911234" w:rsidRDefault="00113071" w:rsidP="00113071">
            <w:pPr>
              <w:spacing w:before="120"/>
              <w:jc w:val="both"/>
              <w:rPr>
                <w:rFonts w:eastAsia="MS Mincho" w:cs="Times New Roman"/>
                <w:noProof/>
                <w:lang w:val="fr-FR"/>
              </w:rPr>
            </w:pPr>
            <w:r w:rsidRPr="00911234">
              <w:rPr>
                <w:rFonts w:cs="Tahoma"/>
                <w:lang w:val="fr-FR"/>
              </w:rPr>
              <w:t xml:space="preserve">La position retenue par Euroclear </w:t>
            </w:r>
            <w:r w:rsidR="00130E33">
              <w:rPr>
                <w:rFonts w:cs="Tahoma"/>
                <w:lang w:val="fr-FR"/>
              </w:rPr>
              <w:t xml:space="preserve">France </w:t>
            </w:r>
            <w:r w:rsidRPr="00911234">
              <w:rPr>
                <w:rFonts w:cs="Tahoma"/>
                <w:lang w:val="fr-FR"/>
              </w:rPr>
              <w:t>consiste à purger ces instructions.</w:t>
            </w:r>
          </w:p>
        </w:tc>
      </w:tr>
      <w:tr w:rsidR="0081511D" w:rsidRPr="00B75113" w:rsidTr="002435A0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81511D" w:rsidRDefault="0081511D" w:rsidP="002435A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81511D" w:rsidRPr="0081511D" w:rsidRDefault="0081511D" w:rsidP="002435A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81511D" w:rsidRPr="0081511D" w:rsidTr="0081511D">
        <w:tc>
          <w:tcPr>
            <w:tcW w:w="2093" w:type="dxa"/>
            <w:shd w:val="clear" w:color="auto" w:fill="BFBFBF" w:themeFill="background1" w:themeFillShade="BF"/>
          </w:tcPr>
          <w:p w:rsidR="0081511D" w:rsidRDefault="0081511D" w:rsidP="002435A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 xml:space="preserve">Description des rôles de toutes les parties prenantes </w:t>
            </w:r>
          </w:p>
          <w:p w:rsidR="0081511D" w:rsidRPr="00D103DA" w:rsidRDefault="0081511D" w:rsidP="002435A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(FACULTATIF)</w:t>
            </w:r>
          </w:p>
        </w:tc>
        <w:tc>
          <w:tcPr>
            <w:tcW w:w="7513" w:type="dxa"/>
          </w:tcPr>
          <w:p w:rsidR="0081511D" w:rsidRDefault="0081511D" w:rsidP="002435A0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81511D" w:rsidRDefault="0081511D" w:rsidP="002435A0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81511D" w:rsidRDefault="0081511D" w:rsidP="002435A0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81511D" w:rsidRPr="0081511D" w:rsidTr="002435A0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81511D" w:rsidRDefault="0081511D" w:rsidP="002435A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81511D" w:rsidRPr="0081511D" w:rsidRDefault="0081511D" w:rsidP="002435A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81511D" w:rsidRPr="0081511D" w:rsidTr="0081511D">
        <w:tc>
          <w:tcPr>
            <w:tcW w:w="2093" w:type="dxa"/>
            <w:shd w:val="clear" w:color="auto" w:fill="BFBFBF" w:themeFill="background1" w:themeFillShade="BF"/>
          </w:tcPr>
          <w:p w:rsidR="0081511D" w:rsidRDefault="0081511D" w:rsidP="002435A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Schéma des flux</w:t>
            </w:r>
          </w:p>
          <w:p w:rsidR="0081511D" w:rsidRDefault="0081511D" w:rsidP="002435A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(FACULTATIF)</w:t>
            </w:r>
          </w:p>
        </w:tc>
        <w:tc>
          <w:tcPr>
            <w:tcW w:w="7513" w:type="dxa"/>
          </w:tcPr>
          <w:p w:rsidR="0081511D" w:rsidRPr="00FD2FD6" w:rsidRDefault="0081511D" w:rsidP="0081511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81511D" w:rsidRPr="0081511D" w:rsidTr="002435A0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81511D" w:rsidRDefault="0081511D" w:rsidP="002435A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81511D" w:rsidRPr="0081511D" w:rsidRDefault="0081511D" w:rsidP="002435A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81511D" w:rsidRPr="00113071" w:rsidTr="0091257E"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1511D" w:rsidRDefault="0081511D" w:rsidP="00EC776F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Liens avec d’autres pratiques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81511D" w:rsidRPr="00922B9C" w:rsidRDefault="00113071" w:rsidP="00922B9C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-</w:t>
            </w:r>
          </w:p>
        </w:tc>
      </w:tr>
    </w:tbl>
    <w:p w:rsidR="001E0D83" w:rsidRDefault="001E0D83" w:rsidP="00D103DA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81511D" w:rsidRDefault="0081511D" w:rsidP="00D103DA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81511D" w:rsidRPr="004F6025" w:rsidRDefault="0081511D" w:rsidP="0081511D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t>proposition de pratique de marché</w:t>
      </w:r>
    </w:p>
    <w:p w:rsidR="0081511D" w:rsidRDefault="0081511D" w:rsidP="00D103DA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2093"/>
        <w:gridCol w:w="7483"/>
        <w:gridCol w:w="30"/>
      </w:tblGrid>
      <w:tr w:rsidR="001E0D83" w:rsidRPr="00B75113" w:rsidTr="0081511D">
        <w:trPr>
          <w:gridAfter w:val="1"/>
          <w:wAfter w:w="30" w:type="dxa"/>
        </w:trPr>
        <w:tc>
          <w:tcPr>
            <w:tcW w:w="2093" w:type="dxa"/>
            <w:shd w:val="clear" w:color="auto" w:fill="BFBFBF" w:themeFill="background1" w:themeFillShade="BF"/>
          </w:tcPr>
          <w:p w:rsidR="001E0D83" w:rsidRPr="00D103DA" w:rsidRDefault="0091257E" w:rsidP="00EC776F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Pratique</w:t>
            </w:r>
            <w:r w:rsidR="00BA66D3">
              <w:rPr>
                <w:rFonts w:eastAsia="MS Mincho" w:cs="Times New Roman"/>
                <w:b/>
                <w:noProof/>
                <w:szCs w:val="32"/>
                <w:lang w:val="fr-FR"/>
              </w:rPr>
              <w:t xml:space="preserve"> </w:t>
            </w:r>
            <w:r w:rsidR="001E0D83">
              <w:rPr>
                <w:rFonts w:eastAsia="MS Mincho" w:cs="Times New Roman"/>
                <w:b/>
                <w:noProof/>
                <w:szCs w:val="32"/>
                <w:lang w:val="fr-FR"/>
              </w:rPr>
              <w:t>recommandé</w:t>
            </w:r>
            <w:r w:rsidR="00BA66D3">
              <w:rPr>
                <w:rFonts w:eastAsia="MS Mincho" w:cs="Times New Roman"/>
                <w:b/>
                <w:noProof/>
                <w:szCs w:val="32"/>
                <w:lang w:val="fr-FR"/>
              </w:rPr>
              <w:t>e</w:t>
            </w:r>
          </w:p>
        </w:tc>
        <w:tc>
          <w:tcPr>
            <w:tcW w:w="7483" w:type="dxa"/>
          </w:tcPr>
          <w:p w:rsidR="00113071" w:rsidRPr="00352149" w:rsidRDefault="00113071" w:rsidP="00113071">
            <w:pPr>
              <w:spacing w:before="6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352149">
              <w:rPr>
                <w:rFonts w:eastAsia="MS Mincho" w:cs="Times New Roman"/>
                <w:noProof/>
                <w:szCs w:val="32"/>
                <w:lang w:val="fr-FR"/>
              </w:rPr>
              <w:t>Les instructions pour lesquelles l’indicateur d’auto-collatéralisation sur flux est positionné en IPCG3 par les 2 participants ne pouvant être migrées en T2S par Euroclear France, la pratique suivante est recommandée :</w:t>
            </w:r>
          </w:p>
          <w:p w:rsidR="00113071" w:rsidRDefault="00113071" w:rsidP="00113071">
            <w:pPr>
              <w:spacing w:before="6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352149">
              <w:rPr>
                <w:rFonts w:eastAsia="MS Mincho" w:cs="Times New Roman"/>
                <w:noProof/>
                <w:szCs w:val="32"/>
                <w:lang w:val="fr-FR"/>
              </w:rPr>
              <w:t xml:space="preserve">Pour les instructions de ce type, à dénouer à partir du 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premier jour de règlement-livraison en T2S</w:t>
            </w:r>
            <w:r w:rsidRPr="00352149">
              <w:rPr>
                <w:rFonts w:eastAsia="MS Mincho" w:cs="Times New Roman"/>
                <w:noProof/>
                <w:szCs w:val="32"/>
                <w:lang w:val="fr-FR"/>
              </w:rPr>
              <w:t xml:space="preserve">, 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les établissements sont invités à modifier </w:t>
            </w:r>
            <w:r w:rsidRPr="00352149">
              <w:rPr>
                <w:rFonts w:eastAsia="MS Mincho" w:cs="Times New Roman"/>
                <w:noProof/>
                <w:szCs w:val="32"/>
                <w:lang w:val="fr-FR"/>
              </w:rPr>
              <w:t>l’indicateur d’auto-collatéralisation sur flux d’ICPG3 à ICPG0 préalablement à la bascule vers T2S.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 A noter que ceci ne concerne que les transactions de gré à gré non compensées.</w:t>
            </w:r>
          </w:p>
          <w:p w:rsidR="00113071" w:rsidRDefault="00113071" w:rsidP="00113071">
            <w:pPr>
              <w:spacing w:before="6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2 types d’instructions sont concernées :</w:t>
            </w:r>
          </w:p>
          <w:p w:rsidR="00113071" w:rsidRDefault="00113071" w:rsidP="00113071">
            <w:pPr>
              <w:pStyle w:val="ListParagraph"/>
              <w:numPr>
                <w:ilvl w:val="0"/>
                <w:numId w:val="9"/>
              </w:numPr>
              <w:spacing w:before="60"/>
              <w:ind w:left="459" w:hanging="425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352149">
              <w:rPr>
                <w:rFonts w:eastAsia="MS Mincho" w:cs="Times New Roman"/>
                <w:noProof/>
                <w:szCs w:val="32"/>
                <w:lang w:val="fr-FR"/>
              </w:rPr>
              <w:t xml:space="preserve">les instructions matchées mais en 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fail au moment de la migration ;</w:t>
            </w:r>
          </w:p>
          <w:p w:rsidR="00113071" w:rsidRDefault="00113071" w:rsidP="00113071">
            <w:pPr>
              <w:pStyle w:val="ListParagraph"/>
              <w:numPr>
                <w:ilvl w:val="0"/>
                <w:numId w:val="9"/>
              </w:numPr>
              <w:spacing w:before="60"/>
              <w:ind w:left="459" w:hanging="425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les </w:t>
            </w:r>
            <w:r w:rsidRPr="00352149">
              <w:rPr>
                <w:rFonts w:eastAsia="MS Mincho" w:cs="Times New Roman"/>
                <w:noProof/>
                <w:szCs w:val="32"/>
                <w:lang w:val="fr-FR"/>
              </w:rPr>
              <w:t>instructions à dénouer post-bascule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.</w:t>
            </w:r>
          </w:p>
          <w:p w:rsidR="00113071" w:rsidRDefault="00113071" w:rsidP="00113071">
            <w:pPr>
              <w:spacing w:before="120"/>
              <w:ind w:left="34"/>
              <w:jc w:val="both"/>
              <w:rPr>
                <w:rFonts w:eastAsia="MS Mincho" w:cs="Times New Roman"/>
                <w:i/>
                <w:noProof/>
                <w:szCs w:val="32"/>
                <w:lang w:val="fr-FR"/>
              </w:rPr>
            </w:pPr>
            <w:r w:rsidRPr="002D3FAC">
              <w:rPr>
                <w:rFonts w:eastAsia="MS Mincho" w:cs="Times New Roman"/>
                <w:i/>
                <w:noProof/>
                <w:szCs w:val="32"/>
                <w:lang w:val="fr-FR"/>
              </w:rPr>
              <w:t>A noter que des contrôles seront nécessaires plusieurs jours avant la bascule et jusqu'à la migration pour modifier les instructions avant qu'elles ne se matchent. A défaut, l'annulation devra se faire par accord bilatéral avec les contreparties.</w:t>
            </w:r>
          </w:p>
          <w:p w:rsidR="00113071" w:rsidRDefault="00113071" w:rsidP="00B75113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113071" w:rsidRDefault="00113071" w:rsidP="00113071">
            <w:pPr>
              <w:spacing w:before="120"/>
              <w:ind w:left="34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Pour ce qui concerne les instructions de dénouement compensées par LCH.Clearnet relatives aux produits de taux « dette française OTC » excluant l’activité du marché réglementé Euronext Paris, l’approche est la suivante : </w:t>
            </w:r>
          </w:p>
          <w:p w:rsidR="00AA1FDB" w:rsidRDefault="00113071" w:rsidP="00113071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 Le clearing member avec un set up à ICPG3 pourra le conserver (pendant et 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lastRenderedPageBreak/>
              <w:t>après la bascule); il ne devra pas intervenir ni sur les fails ni sur les instructions post bascule. LCH</w:t>
            </w:r>
            <w:r w:rsidR="00130E33">
              <w:rPr>
                <w:rFonts w:eastAsia="MS Mincho" w:cs="Times New Roman"/>
                <w:noProof/>
                <w:szCs w:val="32"/>
                <w:lang w:val="fr-FR"/>
              </w:rPr>
              <w:t>.Clearnet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 se charge de ré-instruire les fails et s’assurera que les instructions post</w:t>
            </w:r>
            <w:r w:rsidR="00130E33">
              <w:rPr>
                <w:rFonts w:eastAsia="MS Mincho" w:cs="Times New Roman"/>
                <w:noProof/>
                <w:szCs w:val="32"/>
                <w:lang w:val="fr-FR"/>
              </w:rPr>
              <w:t>-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bascule arrivent en T2S pour le premier jour de la migration sans aucune intervention du client.</w:t>
            </w:r>
          </w:p>
          <w:p w:rsidR="0017736B" w:rsidRDefault="0017736B" w:rsidP="0017736B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60652F">
              <w:rPr>
                <w:rFonts w:eastAsia="MS Mincho" w:cs="Times New Roman"/>
                <w:noProof/>
                <w:szCs w:val="32"/>
                <w:lang w:val="fr-FR"/>
              </w:rPr>
              <w:t xml:space="preserve">Il est également recommandé aux participants de ne pas envoyer 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les instructions :</w:t>
            </w:r>
          </w:p>
          <w:p w:rsidR="0017736B" w:rsidRDefault="0017736B" w:rsidP="0017736B">
            <w:pPr>
              <w:pStyle w:val="ListParagraph"/>
              <w:numPr>
                <w:ilvl w:val="0"/>
                <w:numId w:val="10"/>
              </w:numPr>
              <w:ind w:left="317" w:hanging="284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positionnées avec un indicateur ICPG3, et</w:t>
            </w:r>
          </w:p>
          <w:p w:rsidR="0017736B" w:rsidRDefault="0017736B" w:rsidP="0017736B">
            <w:pPr>
              <w:pStyle w:val="ListParagraph"/>
              <w:numPr>
                <w:ilvl w:val="0"/>
                <w:numId w:val="10"/>
              </w:numPr>
              <w:ind w:left="317" w:hanging="284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une date de dénouement théorique  postérieure au 12 septembre 2016.</w:t>
            </w:r>
          </w:p>
          <w:p w:rsidR="001444CE" w:rsidRPr="00C33595" w:rsidRDefault="0017736B" w:rsidP="0017736B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Ces instructions devront être ré-émises (vers Euroclear France ou vers T2S) après </w:t>
            </w:r>
            <w:r w:rsidRPr="0060652F">
              <w:rPr>
                <w:rFonts w:eastAsia="MS Mincho" w:cs="Times New Roman"/>
                <w:noProof/>
                <w:szCs w:val="32"/>
                <w:lang w:val="fr-FR"/>
              </w:rPr>
              <w:t>le point de non retour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 prononcé par Euroclear France</w:t>
            </w:r>
            <w:r w:rsidRPr="0060652F">
              <w:rPr>
                <w:rFonts w:eastAsia="MS Mincho" w:cs="Times New Roman"/>
                <w:noProof/>
                <w:szCs w:val="32"/>
                <w:lang w:val="fr-FR"/>
              </w:rPr>
              <w:t>.</w:t>
            </w:r>
          </w:p>
        </w:tc>
      </w:tr>
      <w:tr w:rsidR="00911234" w:rsidRPr="00B75113" w:rsidTr="0081511D">
        <w:trPr>
          <w:gridAfter w:val="1"/>
          <w:wAfter w:w="30" w:type="dxa"/>
        </w:trPr>
        <w:tc>
          <w:tcPr>
            <w:tcW w:w="2093" w:type="dxa"/>
            <w:shd w:val="clear" w:color="auto" w:fill="BFBFBF" w:themeFill="background1" w:themeFillShade="BF"/>
          </w:tcPr>
          <w:p w:rsidR="00911234" w:rsidRDefault="00911234" w:rsidP="002435A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lastRenderedPageBreak/>
              <w:t>Raisons du choix</w:t>
            </w:r>
          </w:p>
        </w:tc>
        <w:tc>
          <w:tcPr>
            <w:tcW w:w="7483" w:type="dxa"/>
          </w:tcPr>
          <w:p w:rsidR="00911234" w:rsidRDefault="00911234" w:rsidP="00911234">
            <w:pPr>
              <w:spacing w:before="120"/>
              <w:ind w:left="34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Les instructions ne pouvant être migrées par Euroclear France, les participants disposent de plusieurs solutions et il a été proposé de mettre en œuvre une pratique de marché :</w:t>
            </w:r>
          </w:p>
          <w:p w:rsidR="00911234" w:rsidRPr="00911234" w:rsidRDefault="00911234" w:rsidP="00911234">
            <w:pPr>
              <w:numPr>
                <w:ilvl w:val="0"/>
                <w:numId w:val="3"/>
              </w:numPr>
              <w:spacing w:before="120"/>
              <w:jc w:val="both"/>
              <w:rPr>
                <w:rFonts w:eastAsia="MS Mincho" w:cs="Times New Roman"/>
                <w:noProof/>
                <w:lang w:val="fr-FR"/>
              </w:rPr>
            </w:pPr>
            <w:r w:rsidRPr="00911234">
              <w:rPr>
                <w:rFonts w:eastAsia="MS Mincho" w:cs="Times New Roman"/>
                <w:noProof/>
                <w:lang w:val="fr-FR"/>
              </w:rPr>
              <w:t>Annuler leurs instructions préalablement à la migration et les réinstruire post-migration, ce qui nécessite une intervention des deux contreparties lors du week-end de migration.</w:t>
            </w:r>
          </w:p>
          <w:p w:rsidR="00911234" w:rsidRPr="00911234" w:rsidRDefault="00911234" w:rsidP="00911234">
            <w:pPr>
              <w:numPr>
                <w:ilvl w:val="0"/>
                <w:numId w:val="3"/>
              </w:numPr>
              <w:spacing w:before="120"/>
              <w:jc w:val="both"/>
              <w:rPr>
                <w:rFonts w:eastAsia="MS Mincho" w:cs="Times New Roman"/>
                <w:noProof/>
                <w:lang w:val="fr-FR"/>
              </w:rPr>
            </w:pPr>
            <w:r w:rsidRPr="00911234">
              <w:rPr>
                <w:rFonts w:eastAsia="MS Mincho" w:cs="Times New Roman"/>
                <w:noProof/>
                <w:lang w:val="fr-FR"/>
              </w:rPr>
              <w:t>Positionner leurs instructions en ICPG0 préalablement à la migration. Cette solution simplifie les travaux à mener lors du week-end de bascule. Néanmoins elle nécessite une injection de liquidités plus forte en vue du dénouement des opérations concernées lors de la première journée en T2S.</w:t>
            </w:r>
          </w:p>
          <w:p w:rsidR="00911234" w:rsidRDefault="00911234" w:rsidP="002435A0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81511D" w:rsidRPr="00B75113" w:rsidTr="0081511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81511D" w:rsidRDefault="0081511D" w:rsidP="002435A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81511D" w:rsidRPr="0081511D" w:rsidRDefault="0081511D" w:rsidP="002435A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81511D" w:rsidTr="0081511D">
        <w:trPr>
          <w:gridAfter w:val="1"/>
          <w:wAfter w:w="30" w:type="dxa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1511D" w:rsidRDefault="0081511D" w:rsidP="002435A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 xml:space="preserve">Description des rôles de toutes les parties prenantes </w:t>
            </w:r>
          </w:p>
          <w:p w:rsidR="0081511D" w:rsidRPr="00D103DA" w:rsidRDefault="0081511D" w:rsidP="002435A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(FACULTATIF)</w:t>
            </w:r>
          </w:p>
        </w:tc>
        <w:tc>
          <w:tcPr>
            <w:tcW w:w="7483" w:type="dxa"/>
            <w:tcBorders>
              <w:bottom w:val="single" w:sz="4" w:space="0" w:color="auto"/>
            </w:tcBorders>
          </w:tcPr>
          <w:p w:rsidR="0081511D" w:rsidRDefault="0081511D" w:rsidP="002435A0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81511D" w:rsidRDefault="0081511D" w:rsidP="002435A0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81511D" w:rsidRDefault="0081511D" w:rsidP="002435A0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81511D" w:rsidRDefault="0081511D" w:rsidP="002435A0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81511D" w:rsidTr="0081511D">
        <w:trPr>
          <w:gridAfter w:val="1"/>
          <w:wAfter w:w="30" w:type="dxa"/>
        </w:trPr>
        <w:tc>
          <w:tcPr>
            <w:tcW w:w="2093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81511D" w:rsidRDefault="0081511D" w:rsidP="002435A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483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1511D" w:rsidRDefault="0081511D" w:rsidP="002435A0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81511D" w:rsidTr="0081511D">
        <w:trPr>
          <w:gridAfter w:val="1"/>
          <w:wAfter w:w="30" w:type="dxa"/>
        </w:trPr>
        <w:tc>
          <w:tcPr>
            <w:tcW w:w="2093" w:type="dxa"/>
            <w:shd w:val="clear" w:color="auto" w:fill="BFBFBF" w:themeFill="background1" w:themeFillShade="BF"/>
          </w:tcPr>
          <w:p w:rsidR="0081511D" w:rsidRDefault="0081511D" w:rsidP="002435A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Schéma des flux</w:t>
            </w:r>
          </w:p>
          <w:p w:rsidR="0081511D" w:rsidRDefault="0081511D" w:rsidP="002435A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(FACULTATIF)</w:t>
            </w:r>
          </w:p>
        </w:tc>
        <w:tc>
          <w:tcPr>
            <w:tcW w:w="7483" w:type="dxa"/>
            <w:tcBorders>
              <w:bottom w:val="single" w:sz="4" w:space="0" w:color="auto"/>
            </w:tcBorders>
          </w:tcPr>
          <w:p w:rsidR="0081511D" w:rsidRDefault="0081511D" w:rsidP="002435A0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81511D" w:rsidRDefault="0081511D" w:rsidP="002435A0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</w:tbl>
    <w:p w:rsidR="00363E89" w:rsidRDefault="00363E89" w:rsidP="001E0D83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140482" w:rsidRPr="00B75113" w:rsidRDefault="00140482">
      <w:pPr>
        <w:rPr>
          <w:rFonts w:eastAsia="MS Mincho" w:cs="Times New Roman"/>
          <w:b/>
          <w:caps/>
          <w:noProof/>
          <w:sz w:val="18"/>
          <w:szCs w:val="32"/>
          <w:lang w:val="fr-FR"/>
        </w:rPr>
      </w:pPr>
    </w:p>
    <w:p w:rsidR="0017736B" w:rsidRDefault="0017736B">
      <w:pPr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br w:type="page"/>
      </w:r>
    </w:p>
    <w:p w:rsidR="00140482" w:rsidRPr="004F6025" w:rsidRDefault="00140482" w:rsidP="00140482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lastRenderedPageBreak/>
        <w:t>mise en oeuvre</w:t>
      </w:r>
    </w:p>
    <w:p w:rsidR="00140482" w:rsidRDefault="00140482" w:rsidP="00140482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tbl>
      <w:tblPr>
        <w:tblStyle w:val="TableGrid"/>
        <w:tblW w:w="9616" w:type="dxa"/>
        <w:tblLook w:val="04A0" w:firstRow="1" w:lastRow="0" w:firstColumn="1" w:lastColumn="0" w:noHBand="0" w:noVBand="1"/>
      </w:tblPr>
      <w:tblGrid>
        <w:gridCol w:w="2302"/>
        <w:gridCol w:w="2166"/>
        <w:gridCol w:w="272"/>
        <w:gridCol w:w="1599"/>
        <w:gridCol w:w="839"/>
        <w:gridCol w:w="842"/>
        <w:gridCol w:w="1556"/>
        <w:gridCol w:w="40"/>
      </w:tblGrid>
      <w:tr w:rsidR="00140482" w:rsidRPr="00B75113" w:rsidTr="002435A0">
        <w:trPr>
          <w:trHeight w:val="338"/>
        </w:trPr>
        <w:tc>
          <w:tcPr>
            <w:tcW w:w="2302" w:type="dxa"/>
            <w:vMerge w:val="restart"/>
            <w:shd w:val="clear" w:color="auto" w:fill="BFBFBF" w:themeFill="background1" w:themeFillShade="BF"/>
          </w:tcPr>
          <w:p w:rsidR="00140482" w:rsidRPr="00D103DA" w:rsidRDefault="00140482" w:rsidP="002435A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Horizon de mise en oeuvre</w:t>
            </w:r>
          </w:p>
        </w:tc>
        <w:tc>
          <w:tcPr>
            <w:tcW w:w="2438" w:type="dxa"/>
            <w:gridSpan w:val="2"/>
          </w:tcPr>
          <w:p w:rsidR="00140482" w:rsidRPr="00785264" w:rsidRDefault="00140482" w:rsidP="002435A0">
            <w:pPr>
              <w:jc w:val="center"/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 w:rsidRPr="00785264">
              <w:rPr>
                <w:rFonts w:eastAsia="MS Mincho" w:cs="Times New Roman"/>
                <w:b/>
                <w:noProof/>
                <w:szCs w:val="32"/>
                <w:lang w:val="fr-FR"/>
              </w:rPr>
              <w:t>Avant la migration vers T2S</w:t>
            </w:r>
          </w:p>
        </w:tc>
        <w:tc>
          <w:tcPr>
            <w:tcW w:w="2438" w:type="dxa"/>
            <w:gridSpan w:val="2"/>
          </w:tcPr>
          <w:p w:rsidR="00140482" w:rsidRPr="009637E5" w:rsidRDefault="00140482" w:rsidP="002435A0">
            <w:pPr>
              <w:jc w:val="center"/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Lors du démarrage en production sur T2S</w:t>
            </w:r>
          </w:p>
        </w:tc>
        <w:tc>
          <w:tcPr>
            <w:tcW w:w="2438" w:type="dxa"/>
            <w:gridSpan w:val="3"/>
          </w:tcPr>
          <w:p w:rsidR="00140482" w:rsidRPr="009637E5" w:rsidRDefault="00140482" w:rsidP="002435A0">
            <w:pPr>
              <w:jc w:val="center"/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Après la migration vers T2S</w:t>
            </w:r>
          </w:p>
        </w:tc>
      </w:tr>
      <w:tr w:rsidR="00140482" w:rsidTr="002435A0">
        <w:trPr>
          <w:trHeight w:val="337"/>
        </w:trPr>
        <w:tc>
          <w:tcPr>
            <w:tcW w:w="2302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40482" w:rsidRDefault="00140482" w:rsidP="002435A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24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40482" w:rsidRDefault="00140482" w:rsidP="002435A0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Pr="00785264" w:rsidRDefault="00140482" w:rsidP="002435A0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________</w:t>
            </w:r>
          </w:p>
          <w:p w:rsidR="00140482" w:rsidRDefault="00140482" w:rsidP="002435A0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2438" w:type="dxa"/>
            <w:gridSpan w:val="2"/>
            <w:tcBorders>
              <w:bottom w:val="single" w:sz="4" w:space="0" w:color="auto"/>
            </w:tcBorders>
          </w:tcPr>
          <w:p w:rsidR="00140482" w:rsidRDefault="00922B9C" w:rsidP="002435A0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</w:t>
            </w:r>
          </w:p>
          <w:p w:rsidR="00140482" w:rsidRPr="00785264" w:rsidRDefault="00140482" w:rsidP="002435A0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12/09/2016</w:t>
            </w:r>
          </w:p>
        </w:tc>
        <w:tc>
          <w:tcPr>
            <w:tcW w:w="2438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140482" w:rsidRDefault="00140482" w:rsidP="002435A0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Pr="00785264" w:rsidRDefault="00140482" w:rsidP="002435A0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________</w:t>
            </w:r>
          </w:p>
        </w:tc>
      </w:tr>
      <w:tr w:rsidR="00140482" w:rsidTr="002435A0">
        <w:trPr>
          <w:gridAfter w:val="1"/>
          <w:wAfter w:w="40" w:type="dxa"/>
          <w:trHeight w:val="337"/>
        </w:trPr>
        <w:tc>
          <w:tcPr>
            <w:tcW w:w="230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2435A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2166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2435A0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1871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2435A0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1681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2435A0">
            <w:pPr>
              <w:jc w:val="center"/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1556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2435A0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140482" w:rsidTr="002435A0">
        <w:trPr>
          <w:gridAfter w:val="1"/>
          <w:wAfter w:w="40" w:type="dxa"/>
        </w:trPr>
        <w:tc>
          <w:tcPr>
            <w:tcW w:w="230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40482" w:rsidRDefault="00140482" w:rsidP="002435A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Faut-il un jeu de tests spécifique pour la pratique ?</w:t>
            </w:r>
          </w:p>
        </w:tc>
        <w:tc>
          <w:tcPr>
            <w:tcW w:w="4037" w:type="dxa"/>
            <w:gridSpan w:val="3"/>
            <w:tcBorders>
              <w:bottom w:val="single" w:sz="4" w:space="0" w:color="auto"/>
            </w:tcBorders>
          </w:tcPr>
          <w:p w:rsidR="00140482" w:rsidRPr="00922B9C" w:rsidRDefault="00140482" w:rsidP="00922B9C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6"/>
                <w:szCs w:val="16"/>
                <w:lang w:val="fr-FR"/>
              </w:rPr>
            </w:pPr>
            <w:r>
              <w:rPr>
                <w:lang w:val="fr-FR"/>
              </w:rPr>
              <w:t xml:space="preserve">Oui  </w:t>
            </w:r>
            <w:r w:rsidR="00922B9C">
              <w:rPr>
                <w:rFonts w:ascii="Wingdings" w:hAnsi="Wingdings" w:cs="Wingdings"/>
                <w:sz w:val="26"/>
                <w:szCs w:val="26"/>
              </w:rPr>
              <w:t></w:t>
            </w:r>
          </w:p>
          <w:p w:rsidR="00140482" w:rsidRPr="00E35B86" w:rsidRDefault="00140482" w:rsidP="002435A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6"/>
                <w:szCs w:val="16"/>
                <w:lang w:val="fr-FR"/>
              </w:rPr>
            </w:pPr>
          </w:p>
        </w:tc>
        <w:tc>
          <w:tcPr>
            <w:tcW w:w="3237" w:type="dxa"/>
            <w:gridSpan w:val="3"/>
            <w:tcBorders>
              <w:bottom w:val="single" w:sz="4" w:space="0" w:color="auto"/>
            </w:tcBorders>
          </w:tcPr>
          <w:p w:rsidR="00140482" w:rsidRDefault="00140482" w:rsidP="002435A0">
            <w:pPr>
              <w:tabs>
                <w:tab w:val="left" w:pos="9356"/>
              </w:tabs>
              <w:ind w:right="-279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Non  </w:t>
            </w: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</w:tc>
      </w:tr>
    </w:tbl>
    <w:p w:rsidR="00BA6B0A" w:rsidRDefault="00BA6B0A" w:rsidP="001E0D83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sectPr w:rsidR="00BA6B0A" w:rsidSect="006D68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853" w:rsidRDefault="00AB4853" w:rsidP="006D6846">
      <w:pPr>
        <w:spacing w:after="0" w:line="240" w:lineRule="auto"/>
      </w:pPr>
      <w:r>
        <w:separator/>
      </w:r>
    </w:p>
  </w:endnote>
  <w:endnote w:type="continuationSeparator" w:id="0">
    <w:p w:rsidR="00AB4853" w:rsidRDefault="00AB4853" w:rsidP="006D6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113" w:rsidRDefault="00B751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87984939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435A0" w:rsidRPr="00130E33" w:rsidRDefault="002435A0">
            <w:pPr>
              <w:pStyle w:val="Footer"/>
              <w:jc w:val="right"/>
              <w:rPr>
                <w:sz w:val="20"/>
                <w:szCs w:val="20"/>
              </w:rPr>
            </w:pPr>
            <w:r w:rsidRPr="00130E33">
              <w:rPr>
                <w:sz w:val="20"/>
                <w:szCs w:val="20"/>
                <w:lang w:val="fr-FR"/>
              </w:rPr>
              <w:t xml:space="preserve">Page </w:t>
            </w:r>
            <w:r w:rsidRPr="00130E33">
              <w:rPr>
                <w:b/>
                <w:bCs/>
                <w:sz w:val="20"/>
                <w:szCs w:val="20"/>
              </w:rPr>
              <w:fldChar w:fldCharType="begin"/>
            </w:r>
            <w:r w:rsidRPr="00130E33">
              <w:rPr>
                <w:b/>
                <w:bCs/>
                <w:sz w:val="20"/>
                <w:szCs w:val="20"/>
              </w:rPr>
              <w:instrText>PAGE</w:instrText>
            </w:r>
            <w:r w:rsidRPr="00130E33">
              <w:rPr>
                <w:b/>
                <w:bCs/>
                <w:sz w:val="20"/>
                <w:szCs w:val="20"/>
              </w:rPr>
              <w:fldChar w:fldCharType="separate"/>
            </w:r>
            <w:r w:rsidR="00B75113">
              <w:rPr>
                <w:b/>
                <w:bCs/>
                <w:noProof/>
                <w:sz w:val="20"/>
                <w:szCs w:val="20"/>
              </w:rPr>
              <w:t>1</w:t>
            </w:r>
            <w:r w:rsidRPr="00130E33">
              <w:rPr>
                <w:b/>
                <w:bCs/>
                <w:sz w:val="20"/>
                <w:szCs w:val="20"/>
              </w:rPr>
              <w:fldChar w:fldCharType="end"/>
            </w:r>
            <w:r w:rsidRPr="00130E33">
              <w:rPr>
                <w:sz w:val="20"/>
                <w:szCs w:val="20"/>
                <w:lang w:val="fr-FR"/>
              </w:rPr>
              <w:t xml:space="preserve"> sur </w:t>
            </w:r>
            <w:r w:rsidRPr="00130E33">
              <w:rPr>
                <w:b/>
                <w:bCs/>
                <w:sz w:val="20"/>
                <w:szCs w:val="20"/>
              </w:rPr>
              <w:fldChar w:fldCharType="begin"/>
            </w:r>
            <w:r w:rsidRPr="00130E33">
              <w:rPr>
                <w:b/>
                <w:bCs/>
                <w:sz w:val="20"/>
                <w:szCs w:val="20"/>
              </w:rPr>
              <w:instrText>NUMPAGES</w:instrText>
            </w:r>
            <w:r w:rsidRPr="00130E33">
              <w:rPr>
                <w:b/>
                <w:bCs/>
                <w:sz w:val="20"/>
                <w:szCs w:val="20"/>
              </w:rPr>
              <w:fldChar w:fldCharType="separate"/>
            </w:r>
            <w:r w:rsidR="00B75113">
              <w:rPr>
                <w:b/>
                <w:bCs/>
                <w:noProof/>
                <w:sz w:val="20"/>
                <w:szCs w:val="20"/>
              </w:rPr>
              <w:t>4</w:t>
            </w:r>
            <w:r w:rsidRPr="00130E33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2435A0" w:rsidRDefault="002435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113" w:rsidRDefault="00B751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853" w:rsidRDefault="00AB4853" w:rsidP="006D6846">
      <w:pPr>
        <w:spacing w:after="0" w:line="240" w:lineRule="auto"/>
      </w:pPr>
      <w:r>
        <w:separator/>
      </w:r>
    </w:p>
  </w:footnote>
  <w:footnote w:type="continuationSeparator" w:id="0">
    <w:p w:rsidR="00AB4853" w:rsidRDefault="00AB4853" w:rsidP="006D6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113" w:rsidRDefault="00B7511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2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29"/>
      <w:gridCol w:w="4577"/>
    </w:tblGrid>
    <w:tr w:rsidR="002435A0" w:rsidTr="00130E33">
      <w:tc>
        <w:tcPr>
          <w:tcW w:w="5629" w:type="dxa"/>
          <w:vAlign w:val="center"/>
        </w:tcPr>
        <w:p w:rsidR="002435A0" w:rsidRDefault="002435A0" w:rsidP="00EC776F">
          <w:pPr>
            <w:pStyle w:val="Header"/>
            <w:jc w:val="center"/>
            <w:rPr>
              <w:b/>
              <w:lang w:val="fr-FR"/>
            </w:rPr>
          </w:pPr>
          <w:r w:rsidRPr="007F6CFC">
            <w:rPr>
              <w:b/>
              <w:lang w:val="fr-FR"/>
            </w:rPr>
            <w:t>Groupe d’Adaptation des Pratiques de Marché T2S</w:t>
          </w:r>
        </w:p>
        <w:p w:rsidR="002435A0" w:rsidRDefault="002435A0" w:rsidP="00EC776F">
          <w:pPr>
            <w:pStyle w:val="Header"/>
            <w:jc w:val="center"/>
            <w:rPr>
              <w:b/>
              <w:lang w:val="fr-FR"/>
            </w:rPr>
          </w:pPr>
          <w:r>
            <w:rPr>
              <w:b/>
              <w:lang w:val="fr-FR"/>
            </w:rPr>
            <w:t>Fiche Pratique de marché</w:t>
          </w:r>
        </w:p>
      </w:tc>
      <w:tc>
        <w:tcPr>
          <w:tcW w:w="4577" w:type="dxa"/>
          <w:vAlign w:val="center"/>
        </w:tcPr>
        <w:p w:rsidR="002435A0" w:rsidRDefault="002435A0" w:rsidP="00130E33">
          <w:pPr>
            <w:pStyle w:val="Header"/>
            <w:rPr>
              <w:b/>
              <w:lang w:val="fr-FR"/>
            </w:rPr>
          </w:pPr>
          <w:r>
            <w:rPr>
              <w:noProof/>
            </w:rPr>
            <w:drawing>
              <wp:inline distT="0" distB="0" distL="0" distR="0" wp14:anchorId="5D212861" wp14:editId="5C16E874">
                <wp:extent cx="1032931" cy="516467"/>
                <wp:effectExtent l="0" t="0" r="0" b="0"/>
                <wp:docPr id="8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4228" cy="5171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object w:dxaOrig="7200" w:dyaOrig="460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5pt;height:42.6pt" o:ole="">
                <v:imagedata r:id="rId2" o:title=""/>
              </v:shape>
              <o:OLEObject Type="Embed" ProgID="PBrush" ShapeID="_x0000_i1025" DrawAspect="Content" ObjectID="_1533954505" r:id="rId3"/>
            </w:object>
          </w:r>
        </w:p>
      </w:tc>
    </w:tr>
    <w:tr w:rsidR="002435A0" w:rsidRPr="00B75113" w:rsidTr="00130E33">
      <w:trPr>
        <w:trHeight w:val="472"/>
      </w:trPr>
      <w:tc>
        <w:tcPr>
          <w:tcW w:w="5629" w:type="dxa"/>
          <w:vAlign w:val="center"/>
        </w:tcPr>
        <w:p w:rsidR="002435A0" w:rsidRPr="00EC776F" w:rsidRDefault="002435A0" w:rsidP="00130E33">
          <w:pPr>
            <w:pStyle w:val="Header"/>
            <w:jc w:val="center"/>
            <w:rPr>
              <w:i/>
              <w:lang w:val="fr-FR"/>
            </w:rPr>
          </w:pPr>
          <w:bookmarkStart w:id="0" w:name="_GoBack" w:colFirst="0" w:colLast="2"/>
          <w:r>
            <w:rPr>
              <w:i/>
              <w:lang w:val="fr-FR"/>
            </w:rPr>
            <w:t xml:space="preserve">Référence de la pratique : </w:t>
          </w:r>
          <w:r w:rsidRPr="00922B9C">
            <w:rPr>
              <w:i/>
              <w:lang w:val="fr-FR"/>
            </w:rPr>
            <w:t>MS-</w:t>
          </w:r>
          <w:r>
            <w:rPr>
              <w:i/>
              <w:lang w:val="fr-FR"/>
            </w:rPr>
            <w:t>SETTL-ICPG</w:t>
          </w:r>
          <w:r w:rsidRPr="00922B9C">
            <w:rPr>
              <w:i/>
              <w:lang w:val="fr-FR"/>
            </w:rPr>
            <w:t>-01</w:t>
          </w:r>
        </w:p>
      </w:tc>
      <w:tc>
        <w:tcPr>
          <w:tcW w:w="4577" w:type="dxa"/>
          <w:vAlign w:val="center"/>
        </w:tcPr>
        <w:p w:rsidR="002435A0" w:rsidRPr="00EC776F" w:rsidRDefault="002435A0" w:rsidP="00EC776F">
          <w:pPr>
            <w:pStyle w:val="Header"/>
            <w:jc w:val="center"/>
            <w:rPr>
              <w:noProof/>
              <w:lang w:val="fr-FR"/>
            </w:rPr>
          </w:pPr>
        </w:p>
      </w:tc>
    </w:tr>
    <w:bookmarkEnd w:id="0"/>
  </w:tbl>
  <w:p w:rsidR="002435A0" w:rsidRPr="00C221EA" w:rsidRDefault="002435A0">
    <w:pPr>
      <w:pStyle w:val="Header"/>
      <w:rPr>
        <w:b/>
        <w:sz w:val="20"/>
        <w:szCs w:val="20"/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113" w:rsidRDefault="00B7511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4BC6"/>
    <w:multiLevelType w:val="hybridMultilevel"/>
    <w:tmpl w:val="2C0049D2"/>
    <w:lvl w:ilvl="0" w:tplc="A162A862">
      <w:start w:val="1"/>
      <w:numFmt w:val="bullet"/>
      <w:lvlText w:val=""/>
      <w:lvlJc w:val="left"/>
      <w:pPr>
        <w:ind w:left="1140" w:hanging="360"/>
      </w:pPr>
      <w:rPr>
        <w:rFonts w:ascii="Wingdings" w:eastAsia="MS Mincho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049741B3"/>
    <w:multiLevelType w:val="hybridMultilevel"/>
    <w:tmpl w:val="1B20EB06"/>
    <w:lvl w:ilvl="0" w:tplc="437E9AEE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E79DC"/>
    <w:multiLevelType w:val="hybridMultilevel"/>
    <w:tmpl w:val="FF563AE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7101850">
      <w:start w:val="30"/>
      <w:numFmt w:val="bullet"/>
      <w:lvlText w:val=""/>
      <w:lvlJc w:val="left"/>
      <w:pPr>
        <w:ind w:left="2520" w:hanging="360"/>
      </w:pPr>
      <w:rPr>
        <w:rFonts w:ascii="Wingdings" w:eastAsia="MS Mincho" w:hAnsi="Wingdings" w:cs="Tahoma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5A7E25"/>
    <w:multiLevelType w:val="hybridMultilevel"/>
    <w:tmpl w:val="B692A802"/>
    <w:lvl w:ilvl="0" w:tplc="0C880406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3E0530"/>
    <w:multiLevelType w:val="hybridMultilevel"/>
    <w:tmpl w:val="5404B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7B0E1E"/>
    <w:multiLevelType w:val="hybridMultilevel"/>
    <w:tmpl w:val="43EAEF10"/>
    <w:lvl w:ilvl="0" w:tplc="934663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2461D9"/>
    <w:multiLevelType w:val="hybridMultilevel"/>
    <w:tmpl w:val="104A2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323E3"/>
    <w:multiLevelType w:val="hybridMultilevel"/>
    <w:tmpl w:val="92625E74"/>
    <w:lvl w:ilvl="0" w:tplc="1A349598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8479E7"/>
    <w:multiLevelType w:val="hybridMultilevel"/>
    <w:tmpl w:val="E1226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2F2BC6"/>
    <w:multiLevelType w:val="hybridMultilevel"/>
    <w:tmpl w:val="1C8C7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4"/>
  </w:num>
  <w:num w:numId="10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 Sousa, Maria">
    <w15:presenceInfo w15:providerId="AD" w15:userId="S-1-5-21-3942990428-588001494-4079709122-109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846"/>
    <w:rsid w:val="00020084"/>
    <w:rsid w:val="000706A3"/>
    <w:rsid w:val="000A6C94"/>
    <w:rsid w:val="000C1527"/>
    <w:rsid w:val="000C1C9B"/>
    <w:rsid w:val="000D6F4D"/>
    <w:rsid w:val="000F3C24"/>
    <w:rsid w:val="00113071"/>
    <w:rsid w:val="00130E33"/>
    <w:rsid w:val="00140482"/>
    <w:rsid w:val="001444CE"/>
    <w:rsid w:val="00145ADA"/>
    <w:rsid w:val="001522A5"/>
    <w:rsid w:val="00162BBA"/>
    <w:rsid w:val="0017736B"/>
    <w:rsid w:val="00183F7A"/>
    <w:rsid w:val="001A26CA"/>
    <w:rsid w:val="001B0416"/>
    <w:rsid w:val="001B1E38"/>
    <w:rsid w:val="001C4C4C"/>
    <w:rsid w:val="001C7BAF"/>
    <w:rsid w:val="001D7830"/>
    <w:rsid w:val="001E0D83"/>
    <w:rsid w:val="00211814"/>
    <w:rsid w:val="00217510"/>
    <w:rsid w:val="002435A0"/>
    <w:rsid w:val="00283DDE"/>
    <w:rsid w:val="0028538B"/>
    <w:rsid w:val="00343829"/>
    <w:rsid w:val="00343B9E"/>
    <w:rsid w:val="003631EA"/>
    <w:rsid w:val="00363E89"/>
    <w:rsid w:val="003929BA"/>
    <w:rsid w:val="003A4E76"/>
    <w:rsid w:val="003B3DA4"/>
    <w:rsid w:val="003D5E9F"/>
    <w:rsid w:val="003D7060"/>
    <w:rsid w:val="00464015"/>
    <w:rsid w:val="004818D8"/>
    <w:rsid w:val="00482296"/>
    <w:rsid w:val="004F6025"/>
    <w:rsid w:val="005061BA"/>
    <w:rsid w:val="0051485E"/>
    <w:rsid w:val="00567B1D"/>
    <w:rsid w:val="00575F36"/>
    <w:rsid w:val="005C2ACA"/>
    <w:rsid w:val="00622E8A"/>
    <w:rsid w:val="00625541"/>
    <w:rsid w:val="00652C13"/>
    <w:rsid w:val="00694503"/>
    <w:rsid w:val="0069580E"/>
    <w:rsid w:val="006D6846"/>
    <w:rsid w:val="00701AE2"/>
    <w:rsid w:val="00714CE6"/>
    <w:rsid w:val="00727BF7"/>
    <w:rsid w:val="0074709E"/>
    <w:rsid w:val="00765664"/>
    <w:rsid w:val="007B7B10"/>
    <w:rsid w:val="007C7303"/>
    <w:rsid w:val="007F6CFC"/>
    <w:rsid w:val="0080446B"/>
    <w:rsid w:val="0081511D"/>
    <w:rsid w:val="00830B7B"/>
    <w:rsid w:val="00837334"/>
    <w:rsid w:val="00841E84"/>
    <w:rsid w:val="008800A4"/>
    <w:rsid w:val="00893912"/>
    <w:rsid w:val="008A30A6"/>
    <w:rsid w:val="008C734C"/>
    <w:rsid w:val="00911234"/>
    <w:rsid w:val="0091257E"/>
    <w:rsid w:val="0092276F"/>
    <w:rsid w:val="00922A8E"/>
    <w:rsid w:val="00922B9C"/>
    <w:rsid w:val="00933237"/>
    <w:rsid w:val="009606C4"/>
    <w:rsid w:val="00974B60"/>
    <w:rsid w:val="00982218"/>
    <w:rsid w:val="00995F65"/>
    <w:rsid w:val="009978DE"/>
    <w:rsid w:val="009A24A6"/>
    <w:rsid w:val="009A2F1A"/>
    <w:rsid w:val="009A64D1"/>
    <w:rsid w:val="00A04B26"/>
    <w:rsid w:val="00A133A7"/>
    <w:rsid w:val="00A20577"/>
    <w:rsid w:val="00A21489"/>
    <w:rsid w:val="00A40ED4"/>
    <w:rsid w:val="00A45A45"/>
    <w:rsid w:val="00A678C0"/>
    <w:rsid w:val="00A746A0"/>
    <w:rsid w:val="00A90EEC"/>
    <w:rsid w:val="00AA1FDB"/>
    <w:rsid w:val="00AA62D7"/>
    <w:rsid w:val="00AB4853"/>
    <w:rsid w:val="00AC134F"/>
    <w:rsid w:val="00B26098"/>
    <w:rsid w:val="00B31057"/>
    <w:rsid w:val="00B44E11"/>
    <w:rsid w:val="00B540C8"/>
    <w:rsid w:val="00B62B1E"/>
    <w:rsid w:val="00B727D8"/>
    <w:rsid w:val="00B75113"/>
    <w:rsid w:val="00B9491F"/>
    <w:rsid w:val="00BA66D3"/>
    <w:rsid w:val="00BA6B0A"/>
    <w:rsid w:val="00BC7577"/>
    <w:rsid w:val="00BE4C60"/>
    <w:rsid w:val="00C070B0"/>
    <w:rsid w:val="00C1000A"/>
    <w:rsid w:val="00C221EA"/>
    <w:rsid w:val="00C33595"/>
    <w:rsid w:val="00C3423B"/>
    <w:rsid w:val="00C43D15"/>
    <w:rsid w:val="00C57689"/>
    <w:rsid w:val="00C60EC8"/>
    <w:rsid w:val="00C65EB2"/>
    <w:rsid w:val="00C77C0A"/>
    <w:rsid w:val="00C81E32"/>
    <w:rsid w:val="00CA5289"/>
    <w:rsid w:val="00CB0F41"/>
    <w:rsid w:val="00CC7462"/>
    <w:rsid w:val="00CE6DA3"/>
    <w:rsid w:val="00CF605A"/>
    <w:rsid w:val="00D103DA"/>
    <w:rsid w:val="00D12DE8"/>
    <w:rsid w:val="00D252A7"/>
    <w:rsid w:val="00D50DB6"/>
    <w:rsid w:val="00D529B3"/>
    <w:rsid w:val="00D53037"/>
    <w:rsid w:val="00D5515F"/>
    <w:rsid w:val="00DB106F"/>
    <w:rsid w:val="00DD071C"/>
    <w:rsid w:val="00E351C1"/>
    <w:rsid w:val="00E35B86"/>
    <w:rsid w:val="00E438E3"/>
    <w:rsid w:val="00E52109"/>
    <w:rsid w:val="00E62EAE"/>
    <w:rsid w:val="00EB44AB"/>
    <w:rsid w:val="00EC776F"/>
    <w:rsid w:val="00F00BF4"/>
    <w:rsid w:val="00F358FF"/>
    <w:rsid w:val="00F35CCA"/>
    <w:rsid w:val="00F84B2D"/>
    <w:rsid w:val="00F904C9"/>
    <w:rsid w:val="00FC06B7"/>
    <w:rsid w:val="00FC4F18"/>
    <w:rsid w:val="00FE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846"/>
  </w:style>
  <w:style w:type="paragraph" w:styleId="Footer">
    <w:name w:val="footer"/>
    <w:basedOn w:val="Normal"/>
    <w:link w:val="FooterCh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846"/>
  </w:style>
  <w:style w:type="paragraph" w:styleId="BalloonText">
    <w:name w:val="Balloon Text"/>
    <w:basedOn w:val="Normal"/>
    <w:link w:val="BalloonTextChar"/>
    <w:uiPriority w:val="99"/>
    <w:semiHidden/>
    <w:unhideWhenUsed/>
    <w:rsid w:val="006D6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846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99"/>
    <w:rsid w:val="00DB106F"/>
    <w:pPr>
      <w:tabs>
        <w:tab w:val="right" w:leader="dot" w:pos="9771"/>
      </w:tabs>
      <w:spacing w:before="120" w:after="120" w:line="240" w:lineRule="auto"/>
      <w:jc w:val="both"/>
    </w:pPr>
    <w:rPr>
      <w:rFonts w:ascii="Times New Roman" w:eastAsia="MS Mincho" w:hAnsi="Times New Roman" w:cs="Times New Roman"/>
      <w:b/>
      <w:caps/>
      <w:noProof/>
      <w:sz w:val="32"/>
      <w:szCs w:val="32"/>
      <w:u w:val="single"/>
      <w:lang w:val="en-GB"/>
    </w:rPr>
  </w:style>
  <w:style w:type="paragraph" w:styleId="ListParagraph">
    <w:name w:val="List Paragraph"/>
    <w:basedOn w:val="Normal"/>
    <w:uiPriority w:val="34"/>
    <w:qFormat/>
    <w:rsid w:val="00B26098"/>
    <w:pPr>
      <w:ind w:left="720"/>
      <w:contextualSpacing/>
    </w:pPr>
  </w:style>
  <w:style w:type="table" w:styleId="TableGrid">
    <w:name w:val="Table Grid"/>
    <w:basedOn w:val="TableNormal"/>
    <w:uiPriority w:val="59"/>
    <w:rsid w:val="001B1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">
    <w:name w:val="norm"/>
    <w:basedOn w:val="Normal"/>
    <w:link w:val="normChar"/>
    <w:uiPriority w:val="99"/>
    <w:rsid w:val="00CE6DA3"/>
    <w:pPr>
      <w:tabs>
        <w:tab w:val="left" w:pos="851"/>
        <w:tab w:val="right" w:pos="9356"/>
      </w:tabs>
      <w:spacing w:before="60" w:after="60" w:line="360" w:lineRule="atLeast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ormChar">
    <w:name w:val="norm Char"/>
    <w:link w:val="norm"/>
    <w:uiPriority w:val="99"/>
    <w:locked/>
    <w:rsid w:val="00CE6DA3"/>
    <w:rPr>
      <w:rFonts w:ascii="Times New Roman" w:eastAsia="Times New Roman" w:hAnsi="Times New Roman" w:cs="Times New Roman"/>
      <w:szCs w:val="20"/>
    </w:rPr>
  </w:style>
  <w:style w:type="paragraph" w:customStyle="1" w:styleId="CM1">
    <w:name w:val="CM1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3">
    <w:name w:val="CM3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4">
    <w:name w:val="CM4"/>
    <w:basedOn w:val="Normal"/>
    <w:next w:val="Normal"/>
    <w:uiPriority w:val="99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Default">
    <w:name w:val="Default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846"/>
  </w:style>
  <w:style w:type="paragraph" w:styleId="Footer">
    <w:name w:val="footer"/>
    <w:basedOn w:val="Normal"/>
    <w:link w:val="FooterCh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846"/>
  </w:style>
  <w:style w:type="paragraph" w:styleId="BalloonText">
    <w:name w:val="Balloon Text"/>
    <w:basedOn w:val="Normal"/>
    <w:link w:val="BalloonTextChar"/>
    <w:uiPriority w:val="99"/>
    <w:semiHidden/>
    <w:unhideWhenUsed/>
    <w:rsid w:val="006D6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846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99"/>
    <w:rsid w:val="00DB106F"/>
    <w:pPr>
      <w:tabs>
        <w:tab w:val="right" w:leader="dot" w:pos="9771"/>
      </w:tabs>
      <w:spacing w:before="120" w:after="120" w:line="240" w:lineRule="auto"/>
      <w:jc w:val="both"/>
    </w:pPr>
    <w:rPr>
      <w:rFonts w:ascii="Times New Roman" w:eastAsia="MS Mincho" w:hAnsi="Times New Roman" w:cs="Times New Roman"/>
      <w:b/>
      <w:caps/>
      <w:noProof/>
      <w:sz w:val="32"/>
      <w:szCs w:val="32"/>
      <w:u w:val="single"/>
      <w:lang w:val="en-GB"/>
    </w:rPr>
  </w:style>
  <w:style w:type="paragraph" w:styleId="ListParagraph">
    <w:name w:val="List Paragraph"/>
    <w:basedOn w:val="Normal"/>
    <w:uiPriority w:val="34"/>
    <w:qFormat/>
    <w:rsid w:val="00B26098"/>
    <w:pPr>
      <w:ind w:left="720"/>
      <w:contextualSpacing/>
    </w:pPr>
  </w:style>
  <w:style w:type="table" w:styleId="TableGrid">
    <w:name w:val="Table Grid"/>
    <w:basedOn w:val="TableNormal"/>
    <w:uiPriority w:val="59"/>
    <w:rsid w:val="001B1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">
    <w:name w:val="norm"/>
    <w:basedOn w:val="Normal"/>
    <w:link w:val="normChar"/>
    <w:uiPriority w:val="99"/>
    <w:rsid w:val="00CE6DA3"/>
    <w:pPr>
      <w:tabs>
        <w:tab w:val="left" w:pos="851"/>
        <w:tab w:val="right" w:pos="9356"/>
      </w:tabs>
      <w:spacing w:before="60" w:after="60" w:line="360" w:lineRule="atLeast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ormChar">
    <w:name w:val="norm Char"/>
    <w:link w:val="norm"/>
    <w:uiPriority w:val="99"/>
    <w:locked/>
    <w:rsid w:val="00CE6DA3"/>
    <w:rPr>
      <w:rFonts w:ascii="Times New Roman" w:eastAsia="Times New Roman" w:hAnsi="Times New Roman" w:cs="Times New Roman"/>
      <w:szCs w:val="20"/>
    </w:rPr>
  </w:style>
  <w:style w:type="paragraph" w:customStyle="1" w:styleId="CM1">
    <w:name w:val="CM1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3">
    <w:name w:val="CM3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4">
    <w:name w:val="CM4"/>
    <w:basedOn w:val="Normal"/>
    <w:next w:val="Normal"/>
    <w:uiPriority w:val="99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Default">
    <w:name w:val="Default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757</Words>
  <Characters>4316</Characters>
  <Application>Microsoft Office Word</Application>
  <DocSecurity>0</DocSecurity>
  <Lines>35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Cognizant Technology Solutions</Company>
  <LinksUpToDate>false</LinksUpToDate>
  <CharactersWithSpaces>5063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Cognizant Technology Solutions</dc:creator>
  <cp:lastModifiedBy>François DUBRAU</cp:lastModifiedBy>
  <cp:revision>8</cp:revision>
  <cp:lastPrinted>2015-10-09T10:36:00Z</cp:lastPrinted>
  <dcterms:created xsi:type="dcterms:W3CDTF">2016-05-16T14:12:00Z</dcterms:created>
  <dcterms:modified xsi:type="dcterms:W3CDTF">2016-08-29T03:42:00Z</dcterms:modified>
</cp:coreProperties>
</file>