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36" w:rsidRPr="00EC776F" w:rsidRDefault="00EB5895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  <w:lang w:val="fr-FR"/>
        </w:rPr>
      </w:pPr>
      <w:bookmarkStart w:id="0" w:name="_GoBack"/>
      <w:r w:rsidRPr="00EB5895">
        <w:rPr>
          <w:b/>
          <w:noProof/>
          <w:sz w:val="36"/>
          <w:lang w:val="fr-FR"/>
        </w:rPr>
        <w:t>Définition de la trade Date (Fonds)</w:t>
      </w:r>
    </w:p>
    <w:p w:rsidR="001B1E38" w:rsidRPr="008343CD" w:rsidRDefault="001B1E38" w:rsidP="006D6846">
      <w:pPr>
        <w:tabs>
          <w:tab w:val="left" w:pos="9356"/>
        </w:tabs>
        <w:ind w:right="-279"/>
        <w:rPr>
          <w:sz w:val="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3D75CA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776CD9">
              <w:rPr>
                <w:lang w:val="fr-FR"/>
              </w:rPr>
              <w:t>0</w:t>
            </w:r>
          </w:p>
        </w:tc>
      </w:tr>
      <w:tr w:rsidR="004F6025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EC776F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 xml:space="preserve">Date </w:t>
            </w:r>
            <w:r w:rsidR="00EC776F">
              <w:rPr>
                <w:lang w:val="fr-FR"/>
              </w:rPr>
              <w:t>de publication</w:t>
            </w:r>
          </w:p>
        </w:tc>
        <w:tc>
          <w:tcPr>
            <w:tcW w:w="4932" w:type="dxa"/>
          </w:tcPr>
          <w:p w:rsidR="004F6025" w:rsidRDefault="00140482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6 avril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PRESENTATION DE LA PRATIQUE EXISTANTE &amp; description des Impacts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2"/>
        <w:gridCol w:w="7514"/>
      </w:tblGrid>
      <w:tr w:rsidR="00D103DA" w:rsidRPr="00AA2907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D103DA" w:rsidRDefault="00D103DA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D103DA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</w:t>
            </w:r>
            <w:r w:rsidR="00893912">
              <w:rPr>
                <w:rFonts w:eastAsia="MS Mincho" w:cs="Times New Roman"/>
                <w:b/>
                <w:noProof/>
                <w:szCs w:val="32"/>
                <w:lang w:val="fr-FR"/>
              </w:rPr>
              <w:t>de la pratique existante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EB5895" w:rsidRPr="00EB5895" w:rsidRDefault="00EB5895" w:rsidP="00EB5895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Le marché français a défini </w:t>
            </w:r>
            <w:r w:rsidR="008343CD">
              <w:rPr>
                <w:rFonts w:eastAsia="MS Mincho" w:cs="Times New Roman"/>
                <w:noProof/>
                <w:szCs w:val="32"/>
                <w:lang w:val="fr-FR"/>
              </w:rPr>
              <w:t>p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our l’ensemble des traitements, la date de négociation comme la date </w:t>
            </w:r>
            <w:r w:rsidR="008343CD">
              <w:rPr>
                <w:rFonts w:eastAsia="MS Mincho" w:cs="Times New Roman"/>
                <w:noProof/>
                <w:szCs w:val="32"/>
                <w:lang w:val="fr-FR"/>
              </w:rPr>
              <w:t>à</w:t>
            </w:r>
            <w:r w:rsidR="008343CD"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 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laquelle le prix (la Valeur Liquidative) et la quantité sont connu</w:t>
            </w:r>
            <w:r w:rsidR="008343CD">
              <w:rPr>
                <w:rFonts w:eastAsia="MS Mincho" w:cs="Times New Roman"/>
                <w:noProof/>
                <w:szCs w:val="32"/>
                <w:lang w:val="fr-FR"/>
              </w:rPr>
              <w:t>e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s, soit : </w:t>
            </w:r>
          </w:p>
          <w:p w:rsidR="00EB5895" w:rsidRDefault="00EB5895" w:rsidP="008343CD">
            <w:pPr>
              <w:pStyle w:val="ListParagraph"/>
              <w:numPr>
                <w:ilvl w:val="0"/>
                <w:numId w:val="11"/>
              </w:numPr>
              <w:ind w:left="714" w:hanging="357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Pour les OPC à cours inconnu : Date de négociation = Date d’établissement de la Valeur Liquidative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(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1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)</w:t>
            </w:r>
          </w:p>
          <w:p w:rsidR="00EB5895" w:rsidRPr="00EB5895" w:rsidRDefault="00EB5895" w:rsidP="008343CD">
            <w:pPr>
              <w:pStyle w:val="ListParagraph"/>
              <w:numPr>
                <w:ilvl w:val="0"/>
                <w:numId w:val="11"/>
              </w:numPr>
              <w:ind w:left="714" w:hanging="357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Pour les OPC à cours connu : Date de négociation = Date de centralisation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(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2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)</w:t>
            </w:r>
          </w:p>
          <w:p w:rsidR="00EB5895" w:rsidRPr="00EB5895" w:rsidRDefault="00EB5895" w:rsidP="00EB5895">
            <w:pPr>
              <w:spacing w:before="120"/>
              <w:jc w:val="both"/>
              <w:rPr>
                <w:rFonts w:eastAsia="MS Mincho" w:cs="Times New Roman"/>
                <w:i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i/>
                <w:noProof/>
                <w:szCs w:val="32"/>
                <w:lang w:val="fr-FR"/>
              </w:rPr>
              <w:t>(1) Date de photographie de l’actif du fonds pour le calcul de la VL</w:t>
            </w:r>
            <w:r w:rsidR="008343CD">
              <w:rPr>
                <w:rFonts w:eastAsia="MS Mincho" w:cs="Times New Roman"/>
                <w:i/>
                <w:noProof/>
                <w:szCs w:val="32"/>
                <w:lang w:val="fr-FR"/>
              </w:rPr>
              <w:t> ;</w:t>
            </w:r>
            <w:r w:rsidRPr="00EB5895">
              <w:rPr>
                <w:rFonts w:eastAsia="MS Mincho" w:cs="Times New Roman"/>
                <w:i/>
                <w:noProof/>
                <w:szCs w:val="32"/>
                <w:lang w:val="fr-FR"/>
              </w:rPr>
              <w:t xml:space="preserve"> </w:t>
            </w:r>
            <w:r w:rsidR="008343CD">
              <w:rPr>
                <w:rFonts w:eastAsia="MS Mincho" w:cs="Times New Roman"/>
                <w:i/>
                <w:noProof/>
                <w:szCs w:val="32"/>
                <w:lang w:val="fr-FR"/>
              </w:rPr>
              <w:t>c</w:t>
            </w:r>
            <w:r w:rsidRPr="00EB5895">
              <w:rPr>
                <w:rFonts w:eastAsia="MS Mincho" w:cs="Times New Roman"/>
                <w:i/>
                <w:noProof/>
                <w:szCs w:val="32"/>
                <w:lang w:val="fr-FR"/>
              </w:rPr>
              <w:t>ette date pouvant être différente de la date de calcul et de la date de publication</w:t>
            </w:r>
          </w:p>
          <w:p w:rsidR="00140482" w:rsidRPr="00776CD9" w:rsidRDefault="00EB5895" w:rsidP="00EB5895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i/>
                <w:noProof/>
                <w:szCs w:val="32"/>
                <w:lang w:val="fr-FR"/>
              </w:rPr>
              <w:t>(2) Caler la date de négociation sur la date d’établissement de la VL comme pour les OPC à cours inconnu impliquerait une date d’effet rétroactive non applicable dans une comptabilité titres.</w:t>
            </w:r>
          </w:p>
        </w:tc>
      </w:tr>
      <w:tr w:rsidR="00D103DA" w:rsidRPr="00AA2907" w:rsidTr="008360C5">
        <w:tc>
          <w:tcPr>
            <w:tcW w:w="2092" w:type="dxa"/>
            <w:tcBorders>
              <w:left w:val="nil"/>
              <w:right w:val="nil"/>
            </w:tcBorders>
          </w:tcPr>
          <w:p w:rsidR="00EC776F" w:rsidRPr="00D103DA" w:rsidRDefault="00EC776F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</w:tcPr>
          <w:p w:rsidR="00D103DA" w:rsidRDefault="00D103DA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93912" w:rsidRPr="00AA2907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93912" w:rsidRPr="00D103DA" w:rsidRDefault="00893912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l’impact de T2S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EB5895" w:rsidRPr="00EB5895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Pratique à mettre en œuvre en amont du CSD : Pas d’impact CSD à ce niveau etant donné que dès la passation d’ordres, les critères de </w:t>
            </w:r>
            <w:r w:rsidR="002C543B">
              <w:rPr>
                <w:rFonts w:eastAsia="MS Mincho" w:cs="Times New Roman"/>
                <w:noProof/>
                <w:szCs w:val="32"/>
                <w:lang w:val="fr-FR"/>
              </w:rPr>
              <w:t>règlement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-livraison sont validés entre les contreparties, ce qui évite tout problème de mismatching lié à un écart sur la trade date. </w:t>
            </w:r>
          </w:p>
          <w:p w:rsidR="00EB5895" w:rsidRPr="00EB5895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Pratique à étendre aux opérations int</w:t>
            </w:r>
            <w:r w:rsidR="00A85757">
              <w:rPr>
                <w:rFonts w:eastAsia="MS Mincho" w:cs="Times New Roman"/>
                <w:noProof/>
                <w:szCs w:val="32"/>
                <w:lang w:val="fr-FR"/>
              </w:rPr>
              <w:t>er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-CSD, soit en tant que routeur d’ordres sur des fonds étrangers, ou en tant que CTA ou LTA d’ordres en provenance d’une clientèle étrangère.</w:t>
            </w:r>
          </w:p>
          <w:p w:rsidR="00140482" w:rsidRPr="00113071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La mise en place de cette pratique à l’échelle internationale permettrait d’éviter les désaccords d’application de Trade date, critère de matchi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ng pour le règlement-livraison.</w:t>
            </w:r>
          </w:p>
        </w:tc>
      </w:tr>
      <w:tr w:rsidR="0081511D" w:rsidRPr="00AA2907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81511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AA2907" w:rsidTr="008360C5">
        <w:tc>
          <w:tcPr>
            <w:tcW w:w="2092" w:type="dxa"/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la problématique majeure</w:t>
            </w:r>
          </w:p>
        </w:tc>
        <w:tc>
          <w:tcPr>
            <w:tcW w:w="7514" w:type="dxa"/>
          </w:tcPr>
          <w:p w:rsidR="00EB5895" w:rsidRPr="00EB5895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L’absence de mise en place de cette pratique obligerait la profession à gérer une augmentation de suspens d’appariement, ainsi que des problématiques liées à l’application des opérations sur titres éventuelles. </w:t>
            </w:r>
          </w:p>
          <w:p w:rsidR="0081511D" w:rsidRPr="00113071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Objectif : réduire les suspens de règlement-livraison, voire dégradation de la prestation liée à l’application des opérations sur titres.</w:t>
            </w:r>
          </w:p>
        </w:tc>
      </w:tr>
      <w:tr w:rsidR="0081511D" w:rsidRPr="00AA2907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360C5">
        <w:tc>
          <w:tcPr>
            <w:tcW w:w="2092" w:type="dxa"/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>(FACULTATIF)</w:t>
            </w:r>
          </w:p>
        </w:tc>
        <w:tc>
          <w:tcPr>
            <w:tcW w:w="7514" w:type="dxa"/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360C5">
        <w:tc>
          <w:tcPr>
            <w:tcW w:w="2092" w:type="dxa"/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4" w:type="dxa"/>
          </w:tcPr>
          <w:p w:rsidR="0081511D" w:rsidRPr="00FD2FD6" w:rsidRDefault="0081511D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EB5895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Liens avec d’autres pratiques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C06869" w:rsidRPr="003D75CA" w:rsidRDefault="00C06869" w:rsidP="003D75CA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1E0D83" w:rsidRPr="008343CD" w:rsidRDefault="001E0D83" w:rsidP="00D103DA">
      <w:pPr>
        <w:spacing w:after="0" w:line="240" w:lineRule="auto"/>
        <w:rPr>
          <w:rFonts w:eastAsia="MS Mincho" w:cs="Times New Roman"/>
          <w:noProof/>
          <w:sz w:val="2"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proposition de pratique de marché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5" w:type="dxa"/>
        <w:tblLook w:val="04A0" w:firstRow="1" w:lastRow="0" w:firstColumn="1" w:lastColumn="0" w:noHBand="0" w:noVBand="1"/>
      </w:tblPr>
      <w:tblGrid>
        <w:gridCol w:w="2092"/>
        <w:gridCol w:w="7513"/>
      </w:tblGrid>
      <w:tr w:rsidR="001E0D83" w:rsidRPr="008360C5" w:rsidTr="008360C5">
        <w:tc>
          <w:tcPr>
            <w:tcW w:w="2092" w:type="dxa"/>
            <w:shd w:val="clear" w:color="auto" w:fill="BFBFBF" w:themeFill="background1" w:themeFillShade="BF"/>
          </w:tcPr>
          <w:p w:rsidR="001E0D83" w:rsidRPr="00D103DA" w:rsidRDefault="0091257E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Pratique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="001E0D83">
              <w:rPr>
                <w:rFonts w:eastAsia="MS Mincho" w:cs="Times New Roman"/>
                <w:b/>
                <w:noProof/>
                <w:szCs w:val="32"/>
                <w:lang w:val="fr-FR"/>
              </w:rPr>
              <w:t>recommandé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>e</w:t>
            </w:r>
          </w:p>
        </w:tc>
        <w:tc>
          <w:tcPr>
            <w:tcW w:w="7513" w:type="dxa"/>
          </w:tcPr>
          <w:p w:rsidR="003D75CA" w:rsidRDefault="008360C5" w:rsidP="003D75CA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Maintien de la pratique existante</w:t>
            </w:r>
          </w:p>
          <w:p w:rsidR="00AA1FDB" w:rsidRPr="00C06869" w:rsidRDefault="00AA1FD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C06869" w:rsidRPr="00AA2907" w:rsidTr="008360C5">
        <w:tc>
          <w:tcPr>
            <w:tcW w:w="2092" w:type="dxa"/>
            <w:shd w:val="clear" w:color="auto" w:fill="BFBFBF" w:themeFill="background1" w:themeFillShade="BF"/>
          </w:tcPr>
          <w:p w:rsidR="00C06869" w:rsidRDefault="00C06869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Raisons du choix</w:t>
            </w:r>
          </w:p>
        </w:tc>
        <w:tc>
          <w:tcPr>
            <w:tcW w:w="7513" w:type="dxa"/>
          </w:tcPr>
          <w:p w:rsidR="00EB5895" w:rsidRPr="00EB5895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Pratique de Place déjà en vigueur sur le modèle CSD en France sur les fonds français (E</w:t>
            </w:r>
            <w:r w:rsidR="008343CD">
              <w:rPr>
                <w:rFonts w:eastAsia="MS Mincho" w:cs="Times New Roman"/>
                <w:noProof/>
                <w:szCs w:val="32"/>
                <w:lang w:val="fr-FR"/>
              </w:rPr>
              <w:t>SES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 et hors E</w:t>
            </w:r>
            <w:r w:rsidR="008343CD">
              <w:rPr>
                <w:rFonts w:eastAsia="MS Mincho" w:cs="Times New Roman"/>
                <w:noProof/>
                <w:szCs w:val="32"/>
                <w:lang w:val="fr-FR"/>
              </w:rPr>
              <w:t>SES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 xml:space="preserve">),  ainsi que sur les fonds étrangers circulant en </w:t>
            </w:r>
            <w:r w:rsidR="008343CD" w:rsidRPr="00EB5895">
              <w:rPr>
                <w:rFonts w:eastAsia="MS Mincho" w:cs="Times New Roman"/>
                <w:noProof/>
                <w:szCs w:val="32"/>
                <w:lang w:val="fr-FR"/>
              </w:rPr>
              <w:t>E</w:t>
            </w:r>
            <w:r w:rsidR="008343CD">
              <w:rPr>
                <w:rFonts w:eastAsia="MS Mincho" w:cs="Times New Roman"/>
                <w:noProof/>
                <w:szCs w:val="32"/>
                <w:lang w:val="fr-FR"/>
              </w:rPr>
              <w:t>SES</w:t>
            </w: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EB5895" w:rsidRPr="00EB5895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Pratique à étendre aux opérations intra-CSD, soit en tant que routeur d’ordres sur des fonds étrangers, ou en tant que CTA ou LTA d’ordres en provenance d’une clientèle étrangère.</w:t>
            </w:r>
          </w:p>
          <w:p w:rsidR="00C06869" w:rsidRDefault="00EB5895" w:rsidP="008343CD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5895">
              <w:rPr>
                <w:rFonts w:eastAsia="MS Mincho" w:cs="Times New Roman"/>
                <w:noProof/>
                <w:szCs w:val="32"/>
                <w:lang w:val="fr-FR"/>
              </w:rPr>
              <w:t>La mise en place de cette pratique à l’échelle internationale permettrait d’éviter les désaccords d’application de Trade date, critère de matching pour le règlement-livraison.</w:t>
            </w:r>
          </w:p>
        </w:tc>
      </w:tr>
      <w:tr w:rsidR="0081511D" w:rsidRPr="00AA2907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8360C5">
        <w:tc>
          <w:tcPr>
            <w:tcW w:w="2092" w:type="dxa"/>
            <w:shd w:val="clear" w:color="auto" w:fill="BFBFBF" w:themeFill="background1" w:themeFillShade="BF"/>
          </w:tcPr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85743B" w:rsidRDefault="0085743B" w:rsidP="008343CD">
      <w:pPr>
        <w:spacing w:after="0" w:line="240" w:lineRule="auto"/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140482" w:rsidRPr="004F6025" w:rsidRDefault="00140482" w:rsidP="0014048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mise en oeuvre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140482" w:rsidRPr="00AA2907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140482" w:rsidRPr="00D103DA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Horizon de mise en oeuvre</w:t>
            </w:r>
          </w:p>
        </w:tc>
        <w:tc>
          <w:tcPr>
            <w:tcW w:w="2438" w:type="dxa"/>
            <w:gridSpan w:val="2"/>
          </w:tcPr>
          <w:p w:rsidR="00140482" w:rsidRPr="00785264" w:rsidRDefault="0014048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785264">
              <w:rPr>
                <w:rFonts w:eastAsia="MS Mincho" w:cs="Times New Roman"/>
                <w:b/>
                <w:noProof/>
                <w:szCs w:val="32"/>
                <w:lang w:val="fr-FR"/>
              </w:rPr>
              <w:t>Avant la migration vers T2S</w:t>
            </w:r>
          </w:p>
        </w:tc>
        <w:tc>
          <w:tcPr>
            <w:tcW w:w="2438" w:type="dxa"/>
            <w:gridSpan w:val="2"/>
          </w:tcPr>
          <w:p w:rsidR="00140482" w:rsidRPr="009637E5" w:rsidRDefault="0014048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Lors du démarrage en production sur T2S</w:t>
            </w:r>
          </w:p>
        </w:tc>
        <w:tc>
          <w:tcPr>
            <w:tcW w:w="2438" w:type="dxa"/>
            <w:gridSpan w:val="3"/>
          </w:tcPr>
          <w:p w:rsidR="00140482" w:rsidRPr="009637E5" w:rsidRDefault="0014048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Après la migration vers 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Pr="008343CD" w:rsidRDefault="00140482" w:rsidP="000E651B">
            <w:pPr>
              <w:rPr>
                <w:rFonts w:eastAsia="MS Mincho" w:cs="Times New Roman"/>
                <w:noProof/>
                <w:sz w:val="18"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RPr="008343CD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Pr="008343CD" w:rsidRDefault="00140482" w:rsidP="000E651B">
            <w:pPr>
              <w:rPr>
                <w:rFonts w:eastAsia="MS Mincho" w:cs="Times New Roman"/>
                <w:b/>
                <w:noProof/>
                <w:sz w:val="2"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Pr="008343CD" w:rsidRDefault="00140482" w:rsidP="000E651B">
            <w:pPr>
              <w:rPr>
                <w:rFonts w:eastAsia="MS Mincho" w:cs="Times New Roman"/>
                <w:noProof/>
                <w:sz w:val="2"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Pr="008343CD" w:rsidRDefault="00140482" w:rsidP="000E651B">
            <w:pPr>
              <w:rPr>
                <w:rFonts w:eastAsia="MS Mincho" w:cs="Times New Roman"/>
                <w:noProof/>
                <w:sz w:val="2"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Pr="008343CD" w:rsidRDefault="00140482" w:rsidP="000E651B">
            <w:pPr>
              <w:jc w:val="center"/>
              <w:rPr>
                <w:rFonts w:eastAsia="MS Mincho" w:cs="Times New Roman"/>
                <w:noProof/>
                <w:sz w:val="2"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8343CD" w:rsidRPr="008343CD" w:rsidRDefault="008343CD" w:rsidP="000E651B">
            <w:pPr>
              <w:rPr>
                <w:rFonts w:eastAsia="MS Mincho" w:cs="Times New Roman"/>
                <w:noProof/>
                <w:sz w:val="2"/>
                <w:szCs w:val="32"/>
                <w:lang w:val="fr-FR"/>
              </w:rPr>
            </w:pPr>
          </w:p>
          <w:p w:rsidR="00140482" w:rsidRPr="008343CD" w:rsidRDefault="008343CD" w:rsidP="008343CD">
            <w:pPr>
              <w:tabs>
                <w:tab w:val="left" w:pos="1325"/>
              </w:tabs>
              <w:rPr>
                <w:rFonts w:eastAsia="MS Mincho" w:cs="Times New Roman"/>
                <w:sz w:val="2"/>
                <w:szCs w:val="32"/>
                <w:lang w:val="fr-FR"/>
              </w:rPr>
            </w:pPr>
            <w:r w:rsidRPr="008343CD">
              <w:rPr>
                <w:rFonts w:eastAsia="MS Mincho" w:cs="Times New Roman"/>
                <w:sz w:val="2"/>
                <w:szCs w:val="32"/>
                <w:lang w:val="fr-FR"/>
              </w:rPr>
              <w:tab/>
            </w:r>
          </w:p>
        </w:tc>
      </w:tr>
      <w:tr w:rsidR="00140482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Faut-il un jeu de tests spécifique pour la pratique ?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140482" w:rsidRPr="00922B9C" w:rsidRDefault="00140482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Oui  </w:t>
            </w:r>
            <w:r w:rsidR="0085743B"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E35B86" w:rsidRDefault="00140482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140482" w:rsidRDefault="00140482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Non  </w:t>
            </w:r>
            <w:r w:rsidR="00F86CD3"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  <w:bookmarkEnd w:id="0"/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8"/>
      <w:footerReference w:type="default" r:id="rId9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B4" w:rsidRDefault="007359B4" w:rsidP="006D6846">
      <w:pPr>
        <w:spacing w:after="0" w:line="240" w:lineRule="auto"/>
      </w:pPr>
      <w:r>
        <w:separator/>
      </w:r>
    </w:p>
  </w:endnote>
  <w:endnote w:type="continuationSeparator" w:id="0">
    <w:p w:rsidR="007359B4" w:rsidRDefault="007359B4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4120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43CD" w:rsidRDefault="008343CD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290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29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B4" w:rsidRDefault="007359B4" w:rsidP="006D6846">
      <w:pPr>
        <w:spacing w:after="0" w:line="240" w:lineRule="auto"/>
      </w:pPr>
      <w:r>
        <w:separator/>
      </w:r>
    </w:p>
  </w:footnote>
  <w:footnote w:type="continuationSeparator" w:id="0">
    <w:p w:rsidR="007359B4" w:rsidRDefault="007359B4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3798"/>
    </w:tblGrid>
    <w:tr w:rsidR="00EC776F" w:rsidTr="00EC776F">
      <w:tc>
        <w:tcPr>
          <w:tcW w:w="5778" w:type="dxa"/>
          <w:vAlign w:val="center"/>
        </w:tcPr>
        <w:p w:rsidR="00EC776F" w:rsidRDefault="00EC776F" w:rsidP="00EC776F">
          <w:pPr>
            <w:pStyle w:val="Header"/>
            <w:jc w:val="center"/>
            <w:rPr>
              <w:b/>
              <w:lang w:val="fr-FR"/>
            </w:rPr>
          </w:pPr>
          <w:r w:rsidRPr="007F6CFC">
            <w:rPr>
              <w:b/>
              <w:lang w:val="fr-FR"/>
            </w:rPr>
            <w:t>Groupe d’Adaptation des Pratiques de Marché T2S</w:t>
          </w:r>
        </w:p>
        <w:p w:rsidR="00EC776F" w:rsidRDefault="00EC776F" w:rsidP="00EC776F">
          <w:pPr>
            <w:pStyle w:val="Header"/>
            <w:jc w:val="center"/>
            <w:rPr>
              <w:b/>
              <w:lang w:val="fr-FR"/>
            </w:rPr>
          </w:pPr>
          <w:r>
            <w:rPr>
              <w:b/>
              <w:lang w:val="fr-FR"/>
            </w:rPr>
            <w:t>Fiche Pratique de marché</w:t>
          </w:r>
        </w:p>
      </w:tc>
      <w:tc>
        <w:tcPr>
          <w:tcW w:w="3798" w:type="dxa"/>
          <w:vAlign w:val="center"/>
        </w:tcPr>
        <w:p w:rsidR="00EC776F" w:rsidRDefault="00EC776F" w:rsidP="008343CD">
          <w:pPr>
            <w:pStyle w:val="Head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4017F3B8" wp14:editId="71EDB1CF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8343CD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7pt;height:42.45pt" o:ole="">
                <v:imagedata r:id="rId2" o:title=""/>
              </v:shape>
              <o:OLEObject Type="Embed" ProgID="PBrush" ShapeID="_x0000_i1025" DrawAspect="Content" ObjectID="_1534306394" r:id="rId3"/>
            </w:object>
          </w:r>
        </w:p>
      </w:tc>
    </w:tr>
    <w:tr w:rsidR="00EC776F" w:rsidRPr="00AA2907" w:rsidTr="008343CD">
      <w:trPr>
        <w:trHeight w:val="141"/>
      </w:trPr>
      <w:tc>
        <w:tcPr>
          <w:tcW w:w="5778" w:type="dxa"/>
          <w:vAlign w:val="center"/>
        </w:tcPr>
        <w:p w:rsidR="00EC776F" w:rsidRPr="00EC776F" w:rsidRDefault="00EC776F" w:rsidP="008343CD">
          <w:pPr>
            <w:pStyle w:val="Header"/>
            <w:jc w:val="center"/>
            <w:rPr>
              <w:i/>
              <w:lang w:val="fr-FR"/>
            </w:rPr>
          </w:pPr>
          <w:r>
            <w:rPr>
              <w:i/>
              <w:lang w:val="fr-FR"/>
            </w:rPr>
            <w:t xml:space="preserve">Référence de la pratique : </w:t>
          </w:r>
          <w:r w:rsidR="00EB5895" w:rsidRPr="00EB5895">
            <w:rPr>
              <w:i/>
              <w:lang w:val="fr-FR"/>
            </w:rPr>
            <w:t>OP-SETTL-TRADE-01</w:t>
          </w:r>
        </w:p>
      </w:tc>
      <w:tc>
        <w:tcPr>
          <w:tcW w:w="3798" w:type="dxa"/>
          <w:vAlign w:val="center"/>
        </w:tcPr>
        <w:p w:rsidR="00EC776F" w:rsidRPr="00EC776F" w:rsidRDefault="00EC776F" w:rsidP="00EC776F">
          <w:pPr>
            <w:pStyle w:val="Header"/>
            <w:jc w:val="center"/>
            <w:rPr>
              <w:noProof/>
              <w:lang w:val="fr-FR"/>
            </w:rPr>
          </w:pPr>
        </w:p>
      </w:tc>
    </w:tr>
  </w:tbl>
  <w:p w:rsidR="00EC776F" w:rsidRPr="00C221EA" w:rsidRDefault="00EC776F">
    <w:pPr>
      <w:pStyle w:val="Header"/>
      <w:rPr>
        <w:b/>
        <w:sz w:val="2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D33259"/>
    <w:multiLevelType w:val="hybridMultilevel"/>
    <w:tmpl w:val="655AB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706A3"/>
    <w:rsid w:val="000A6C94"/>
    <w:rsid w:val="000C1C9B"/>
    <w:rsid w:val="000D6F4D"/>
    <w:rsid w:val="000F3C24"/>
    <w:rsid w:val="00113071"/>
    <w:rsid w:val="00140482"/>
    <w:rsid w:val="00145ADA"/>
    <w:rsid w:val="001522A5"/>
    <w:rsid w:val="00162BB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2C543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3D75CA"/>
    <w:rsid w:val="00464015"/>
    <w:rsid w:val="004818D8"/>
    <w:rsid w:val="00482296"/>
    <w:rsid w:val="00487A07"/>
    <w:rsid w:val="004F6025"/>
    <w:rsid w:val="005061BA"/>
    <w:rsid w:val="005067E0"/>
    <w:rsid w:val="0051485E"/>
    <w:rsid w:val="00567B1D"/>
    <w:rsid w:val="00575F36"/>
    <w:rsid w:val="005C2ACA"/>
    <w:rsid w:val="00622E8A"/>
    <w:rsid w:val="00625541"/>
    <w:rsid w:val="00652C13"/>
    <w:rsid w:val="00683A1D"/>
    <w:rsid w:val="00694503"/>
    <w:rsid w:val="0069580E"/>
    <w:rsid w:val="006D6846"/>
    <w:rsid w:val="00701AE2"/>
    <w:rsid w:val="00714CE6"/>
    <w:rsid w:val="00727BF7"/>
    <w:rsid w:val="007359B4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43CD"/>
    <w:rsid w:val="008360C5"/>
    <w:rsid w:val="00837334"/>
    <w:rsid w:val="00841E84"/>
    <w:rsid w:val="0085743B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5A45"/>
    <w:rsid w:val="00A678C0"/>
    <w:rsid w:val="00A746A0"/>
    <w:rsid w:val="00A85757"/>
    <w:rsid w:val="00A90EEC"/>
    <w:rsid w:val="00AA1FDB"/>
    <w:rsid w:val="00AA2907"/>
    <w:rsid w:val="00AA62D7"/>
    <w:rsid w:val="00AC134F"/>
    <w:rsid w:val="00B26098"/>
    <w:rsid w:val="00B31057"/>
    <w:rsid w:val="00B44E11"/>
    <w:rsid w:val="00B540C8"/>
    <w:rsid w:val="00B62B1E"/>
    <w:rsid w:val="00B727D8"/>
    <w:rsid w:val="00B75648"/>
    <w:rsid w:val="00B9491F"/>
    <w:rsid w:val="00BA66D3"/>
    <w:rsid w:val="00BA6B0A"/>
    <w:rsid w:val="00BC7577"/>
    <w:rsid w:val="00BE4C60"/>
    <w:rsid w:val="00C06869"/>
    <w:rsid w:val="00C070B0"/>
    <w:rsid w:val="00C1000A"/>
    <w:rsid w:val="00C11F02"/>
    <w:rsid w:val="00C221EA"/>
    <w:rsid w:val="00C33595"/>
    <w:rsid w:val="00C3423B"/>
    <w:rsid w:val="00C41782"/>
    <w:rsid w:val="00C43D15"/>
    <w:rsid w:val="00C57689"/>
    <w:rsid w:val="00C60EC8"/>
    <w:rsid w:val="00C65EB2"/>
    <w:rsid w:val="00C77C0A"/>
    <w:rsid w:val="00CB0F41"/>
    <w:rsid w:val="00CC7462"/>
    <w:rsid w:val="00CD3755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972D0"/>
    <w:rsid w:val="00DB106F"/>
    <w:rsid w:val="00DD071C"/>
    <w:rsid w:val="00E351C1"/>
    <w:rsid w:val="00E35B86"/>
    <w:rsid w:val="00E438E3"/>
    <w:rsid w:val="00E52109"/>
    <w:rsid w:val="00E62EAE"/>
    <w:rsid w:val="00EA5560"/>
    <w:rsid w:val="00EB44AB"/>
    <w:rsid w:val="00EB5895"/>
    <w:rsid w:val="00EC776F"/>
    <w:rsid w:val="00F00BF4"/>
    <w:rsid w:val="00F358FF"/>
    <w:rsid w:val="00F35CCA"/>
    <w:rsid w:val="00F84B2D"/>
    <w:rsid w:val="00F86CD3"/>
    <w:rsid w:val="00F904C9"/>
    <w:rsid w:val="00FC06B7"/>
    <w:rsid w:val="00FC4F18"/>
    <w:rsid w:val="00FE1975"/>
    <w:rsid w:val="00FE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  <w:style w:type="paragraph" w:customStyle="1" w:styleId="FDNormal">
    <w:name w:val="FDNormal"/>
    <w:basedOn w:val="Normal"/>
    <w:link w:val="FDNormalCar"/>
    <w:rsid w:val="003D75CA"/>
    <w:pPr>
      <w:spacing w:after="120" w:line="240" w:lineRule="auto"/>
      <w:jc w:val="both"/>
    </w:pPr>
    <w:rPr>
      <w:rFonts w:ascii="Verdana" w:eastAsia="Times New Roman" w:hAnsi="Verdana" w:cs="Verdana"/>
      <w:sz w:val="20"/>
      <w:szCs w:val="20"/>
      <w:lang w:val="fr-FR" w:eastAsia="fr-FR"/>
    </w:rPr>
  </w:style>
  <w:style w:type="character" w:customStyle="1" w:styleId="FDNormalCar">
    <w:name w:val="FDNormal Car"/>
    <w:link w:val="FDNormal"/>
    <w:rsid w:val="003D75CA"/>
    <w:rPr>
      <w:rFonts w:ascii="Verdana" w:eastAsia="Times New Roman" w:hAnsi="Verdana" w:cs="Verdana"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  <w:style w:type="paragraph" w:customStyle="1" w:styleId="FDNormal">
    <w:name w:val="FDNormal"/>
    <w:basedOn w:val="Normal"/>
    <w:link w:val="FDNormalCar"/>
    <w:rsid w:val="003D75CA"/>
    <w:pPr>
      <w:spacing w:after="120" w:line="240" w:lineRule="auto"/>
      <w:jc w:val="both"/>
    </w:pPr>
    <w:rPr>
      <w:rFonts w:ascii="Verdana" w:eastAsia="Times New Roman" w:hAnsi="Verdana" w:cs="Verdana"/>
      <w:sz w:val="20"/>
      <w:szCs w:val="20"/>
      <w:lang w:val="fr-FR" w:eastAsia="fr-FR"/>
    </w:rPr>
  </w:style>
  <w:style w:type="character" w:customStyle="1" w:styleId="FDNormalCar">
    <w:name w:val="FDNormal Car"/>
    <w:link w:val="FDNormal"/>
    <w:rsid w:val="003D75CA"/>
    <w:rPr>
      <w:rFonts w:ascii="Verdana" w:eastAsia="Times New Roman" w:hAnsi="Verdana" w:cs="Verdana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Cognizant Technology Solutions</dc:creator>
  <cp:lastModifiedBy>François DUBRAU</cp:lastModifiedBy>
  <cp:revision>3</cp:revision>
  <cp:lastPrinted>2015-10-09T10:36:00Z</cp:lastPrinted>
  <dcterms:created xsi:type="dcterms:W3CDTF">2016-05-16T17:40:00Z</dcterms:created>
  <dcterms:modified xsi:type="dcterms:W3CDTF">2016-09-02T05:27:00Z</dcterms:modified>
</cp:coreProperties>
</file>