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664" w:rsidRDefault="00765664" w:rsidP="006D6846">
      <w:pPr>
        <w:tabs>
          <w:tab w:val="left" w:pos="9356"/>
        </w:tabs>
        <w:ind w:right="-279"/>
        <w:jc w:val="center"/>
        <w:rPr>
          <w:sz w:val="36"/>
          <w:lang w:val="fr-FR"/>
        </w:rPr>
      </w:pPr>
      <w:bookmarkStart w:id="0" w:name="_GoBack"/>
    </w:p>
    <w:p w:rsidR="00575F36" w:rsidRPr="00EC776F" w:rsidRDefault="006D7CEB" w:rsidP="00AA1FD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center"/>
        <w:rPr>
          <w:b/>
          <w:noProof/>
          <w:sz w:val="36"/>
          <w:lang w:val="fr-FR"/>
        </w:rPr>
      </w:pPr>
      <w:r w:rsidRPr="006D7CEB">
        <w:rPr>
          <w:b/>
          <w:noProof/>
          <w:sz w:val="36"/>
          <w:lang w:val="fr-FR"/>
        </w:rPr>
        <w:t>Identification de l'agent dans les confirmations</w:t>
      </w:r>
    </w:p>
    <w:p w:rsidR="001B1E38" w:rsidRDefault="001B1E38" w:rsidP="006D6846">
      <w:pPr>
        <w:tabs>
          <w:tab w:val="left" w:pos="9356"/>
        </w:tabs>
        <w:ind w:right="-279"/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4932"/>
      </w:tblGrid>
      <w:tr w:rsidR="004F6025" w:rsidTr="0091257E">
        <w:tc>
          <w:tcPr>
            <w:tcW w:w="2093" w:type="dxa"/>
            <w:vMerge w:val="restart"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  <w:proofErr w:type="spellStart"/>
            <w:r w:rsidRPr="004F6025">
              <w:rPr>
                <w:b/>
                <w:lang w:val="fr-FR"/>
              </w:rPr>
              <w:t>Versioning</w:t>
            </w:r>
            <w:proofErr w:type="spellEnd"/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4932" w:type="dxa"/>
          </w:tcPr>
          <w:p w:rsidR="004F6025" w:rsidRDefault="00776CD9" w:rsidP="00776CD9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2</w:t>
            </w:r>
            <w:r w:rsidR="00140482">
              <w:rPr>
                <w:lang w:val="fr-FR"/>
              </w:rPr>
              <w:t>.</w:t>
            </w:r>
            <w:r>
              <w:rPr>
                <w:lang w:val="fr-FR"/>
              </w:rPr>
              <w:t>0</w:t>
            </w:r>
          </w:p>
        </w:tc>
      </w:tr>
      <w:tr w:rsidR="004F6025" w:rsidRPr="00AA1FDB" w:rsidTr="0091257E">
        <w:tc>
          <w:tcPr>
            <w:tcW w:w="2093" w:type="dxa"/>
            <w:vMerge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EC776F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 xml:space="preserve">Date </w:t>
            </w:r>
            <w:r w:rsidR="00EC776F">
              <w:rPr>
                <w:lang w:val="fr-FR"/>
              </w:rPr>
              <w:t>de publication</w:t>
            </w:r>
          </w:p>
        </w:tc>
        <w:tc>
          <w:tcPr>
            <w:tcW w:w="4932" w:type="dxa"/>
          </w:tcPr>
          <w:p w:rsidR="004F6025" w:rsidRDefault="00140482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6 avril 2016</w:t>
            </w:r>
          </w:p>
        </w:tc>
      </w:tr>
    </w:tbl>
    <w:p w:rsidR="00B26098" w:rsidRDefault="00B26098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EC776F" w:rsidRDefault="00EC776F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1511D" w:rsidRPr="004F6025" w:rsidRDefault="0081511D" w:rsidP="0081511D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PRESENTATION DE LA PRATIQUE EXISTANTE &amp; description des Impacts</w:t>
      </w:r>
    </w:p>
    <w:p w:rsidR="0081511D" w:rsidRPr="004F6025" w:rsidRDefault="0081511D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7513"/>
      </w:tblGrid>
      <w:tr w:rsidR="00D103DA" w:rsidRPr="00D17AAA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103DA" w:rsidRPr="00D103DA" w:rsidRDefault="00D103DA" w:rsidP="00893912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 w:rsidRPr="00D103DA"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Description </w:t>
            </w:r>
            <w:r w:rsidR="00893912">
              <w:rPr>
                <w:rFonts w:eastAsia="MS Mincho" w:cs="Times New Roman"/>
                <w:b/>
                <w:noProof/>
                <w:szCs w:val="32"/>
                <w:lang w:val="fr-FR"/>
              </w:rPr>
              <w:t>de la pratique existante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140482" w:rsidRPr="00776CD9" w:rsidRDefault="006D7CEB" w:rsidP="00922B9C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Les confirmations au</w:t>
            </w:r>
            <w:r w:rsidR="00465016">
              <w:rPr>
                <w:rFonts w:eastAsia="MS Mincho" w:cs="Times New Roman"/>
                <w:noProof/>
                <w:szCs w:val="32"/>
                <w:lang w:val="fr-FR"/>
              </w:rPr>
              <w:t>x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 format</w:t>
            </w:r>
            <w:r w:rsidR="00465016">
              <w:rPr>
                <w:rFonts w:eastAsia="MS Mincho" w:cs="Times New Roman"/>
                <w:noProof/>
                <w:szCs w:val="32"/>
                <w:lang w:val="fr-FR"/>
              </w:rPr>
              <w:t>s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 MT515 et </w:t>
            </w:r>
            <w:r w:rsidR="00C645C4">
              <w:rPr>
                <w:rFonts w:eastAsia="MS Mincho" w:cs="Times New Roman"/>
                <w:noProof/>
                <w:szCs w:val="32"/>
                <w:lang w:val="fr-FR"/>
              </w:rPr>
              <w:t>MT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518 sont envoyées aujourd’hui aux contreparties avec le code affilié pour identifier l’agent (DEAG/REAG) .</w:t>
            </w:r>
          </w:p>
        </w:tc>
      </w:tr>
      <w:tr w:rsidR="00D103DA" w:rsidRPr="00D17AAA" w:rsidTr="0091257E">
        <w:tc>
          <w:tcPr>
            <w:tcW w:w="2093" w:type="dxa"/>
            <w:tcBorders>
              <w:left w:val="nil"/>
              <w:right w:val="nil"/>
            </w:tcBorders>
          </w:tcPr>
          <w:p w:rsidR="00EC776F" w:rsidRPr="00D103DA" w:rsidRDefault="00EC776F" w:rsidP="00B2609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</w:tcPr>
          <w:p w:rsidR="00D103DA" w:rsidRDefault="00D103DA" w:rsidP="00B2609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93912" w:rsidRPr="00D17AAA" w:rsidTr="0081511D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93912" w:rsidRPr="00D103DA" w:rsidRDefault="00893912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Description de l’impact de T2S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140482" w:rsidRPr="00113071" w:rsidRDefault="006D7CEB" w:rsidP="006D7CE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  <w:r w:rsidRPr="006D7CEB">
              <w:rPr>
                <w:rFonts w:eastAsia="MS Mincho" w:cs="Times New Roman"/>
                <w:noProof/>
                <w:szCs w:val="32"/>
                <w:lang w:val="fr-FR"/>
              </w:rPr>
              <w:t>En T2S, l’identification de l’</w:t>
            </w:r>
            <w:r w:rsidR="00C645C4">
              <w:rPr>
                <w:rFonts w:eastAsia="MS Mincho" w:cs="Times New Roman"/>
                <w:noProof/>
                <w:szCs w:val="32"/>
                <w:lang w:val="fr-FR"/>
              </w:rPr>
              <w:t>a</w:t>
            </w:r>
            <w:r w:rsidRPr="006D7CEB">
              <w:rPr>
                <w:rFonts w:eastAsia="MS Mincho" w:cs="Times New Roman"/>
                <w:noProof/>
                <w:szCs w:val="32"/>
                <w:lang w:val="fr-FR"/>
              </w:rPr>
              <w:t>gent se fait au travers de son BIC 11, et non du code af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filié.</w:t>
            </w:r>
          </w:p>
        </w:tc>
      </w:tr>
      <w:tr w:rsidR="0081511D" w:rsidRPr="00D17AAA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81511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RPr="00D17AAA" w:rsidTr="0081511D">
        <w:tc>
          <w:tcPr>
            <w:tcW w:w="2093" w:type="dxa"/>
            <w:shd w:val="clear" w:color="auto" w:fill="BFBFBF" w:themeFill="background1" w:themeFillShade="BF"/>
          </w:tcPr>
          <w:p w:rsidR="0081511D" w:rsidRDefault="0081511D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Description de la problématique majeure</w:t>
            </w:r>
          </w:p>
        </w:tc>
        <w:tc>
          <w:tcPr>
            <w:tcW w:w="7513" w:type="dxa"/>
          </w:tcPr>
          <w:p w:rsidR="006D7CEB" w:rsidRPr="006D7CEB" w:rsidRDefault="006D7CEB" w:rsidP="006D7CEB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6D7CEB">
              <w:rPr>
                <w:rFonts w:eastAsia="MS Mincho" w:cs="Times New Roman"/>
                <w:noProof/>
                <w:szCs w:val="32"/>
                <w:lang w:val="fr-FR"/>
              </w:rPr>
              <w:t>Une grande partie des contreparties (notamment Buy-Side) vont continuer d’instruire en utilisant le code affilié de l’agent plutôt que son BIC11.</w:t>
            </w:r>
          </w:p>
          <w:p w:rsidR="006D7CEB" w:rsidRPr="006D7CEB" w:rsidRDefault="006D7CEB" w:rsidP="006D7CEB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6D7CEB">
              <w:rPr>
                <w:rFonts w:eastAsia="MS Mincho" w:cs="Times New Roman"/>
                <w:noProof/>
                <w:szCs w:val="32"/>
                <w:lang w:val="fr-FR"/>
              </w:rPr>
              <w:t>Deux options apparaissent possibles pour l’alimentation des confirmations au</w:t>
            </w:r>
            <w:r w:rsidR="00465016">
              <w:rPr>
                <w:rFonts w:eastAsia="MS Mincho" w:cs="Times New Roman"/>
                <w:noProof/>
                <w:szCs w:val="32"/>
                <w:lang w:val="fr-FR"/>
              </w:rPr>
              <w:t>x</w:t>
            </w:r>
            <w:r w:rsidRPr="006D7CEB">
              <w:rPr>
                <w:rFonts w:eastAsia="MS Mincho" w:cs="Times New Roman"/>
                <w:noProof/>
                <w:szCs w:val="32"/>
                <w:lang w:val="fr-FR"/>
              </w:rPr>
              <w:t xml:space="preserve"> format</w:t>
            </w:r>
            <w:r w:rsidR="00465016">
              <w:rPr>
                <w:rFonts w:eastAsia="MS Mincho" w:cs="Times New Roman"/>
                <w:noProof/>
                <w:szCs w:val="32"/>
                <w:lang w:val="fr-FR"/>
              </w:rPr>
              <w:t>s</w:t>
            </w:r>
            <w:r w:rsidRPr="006D7CEB">
              <w:rPr>
                <w:rFonts w:eastAsia="MS Mincho" w:cs="Times New Roman"/>
                <w:noProof/>
                <w:szCs w:val="32"/>
                <w:lang w:val="fr-FR"/>
              </w:rPr>
              <w:t xml:space="preserve"> MT515 et MT518 :</w:t>
            </w:r>
          </w:p>
          <w:p w:rsidR="006D7CEB" w:rsidRPr="006D7CEB" w:rsidRDefault="006D7CEB" w:rsidP="006D7CEB">
            <w:pPr>
              <w:pStyle w:val="ListParagraph"/>
              <w:numPr>
                <w:ilvl w:val="0"/>
                <w:numId w:val="11"/>
              </w:numPr>
              <w:spacing w:before="120"/>
              <w:ind w:left="720"/>
              <w:contextualSpacing w:val="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6D7CEB">
              <w:rPr>
                <w:rFonts w:eastAsia="MS Mincho" w:cs="Times New Roman"/>
                <w:noProof/>
                <w:szCs w:val="32"/>
                <w:lang w:val="fr-FR"/>
              </w:rPr>
              <w:t>Conservation du format actuel</w:t>
            </w:r>
          </w:p>
          <w:p w:rsidR="006D7CEB" w:rsidRPr="006D7CEB" w:rsidRDefault="006D7CEB" w:rsidP="006D7CEB">
            <w:pPr>
              <w:pStyle w:val="ListParagraph"/>
              <w:numPr>
                <w:ilvl w:val="0"/>
                <w:numId w:val="11"/>
              </w:numPr>
              <w:spacing w:before="120"/>
              <w:ind w:left="720"/>
              <w:contextualSpacing w:val="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6D7CEB">
              <w:rPr>
                <w:rFonts w:eastAsia="MS Mincho" w:cs="Times New Roman"/>
                <w:noProof/>
                <w:szCs w:val="32"/>
                <w:lang w:val="fr-FR"/>
              </w:rPr>
              <w:t>Remplacement du code affilié par le BIC11</w:t>
            </w:r>
          </w:p>
        </w:tc>
      </w:tr>
      <w:tr w:rsidR="0081511D" w:rsidRPr="00D17AAA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Description des rôles de toutes les parties prenantes </w:t>
            </w:r>
          </w:p>
          <w:p w:rsidR="0081511D" w:rsidRPr="00D103DA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513" w:type="dxa"/>
          </w:tcPr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RPr="0081511D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Schéma des flux</w:t>
            </w:r>
          </w:p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513" w:type="dxa"/>
          </w:tcPr>
          <w:p w:rsidR="0081511D" w:rsidRPr="00FD2FD6" w:rsidRDefault="0081511D" w:rsidP="0081511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RPr="0081511D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RPr="00D17AAA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1511D" w:rsidRDefault="0081511D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Liens avec d’autres pratiques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C06869" w:rsidRPr="006D7CEB" w:rsidRDefault="00A41D69" w:rsidP="00A41D69">
            <w:pPr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MS-MATCH-CRITE-01 : </w:t>
            </w:r>
            <w:r w:rsidRPr="00C73E4C">
              <w:rPr>
                <w:rFonts w:eastAsia="MS Mincho" w:cs="Times New Roman"/>
                <w:noProof/>
                <w:szCs w:val="32"/>
                <w:lang w:val="fr-FR"/>
              </w:rPr>
              <w:t>Coordonnées d’Instruction de Règlement-Livraison (IRL) – Critères de matching obligatoires</w:t>
            </w:r>
          </w:p>
        </w:tc>
      </w:tr>
    </w:tbl>
    <w:p w:rsidR="001E0D83" w:rsidRDefault="001E0D83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6D7CEB" w:rsidRDefault="006D7CEB">
      <w:pPr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br w:type="page"/>
      </w:r>
    </w:p>
    <w:p w:rsidR="00BB7FE4" w:rsidRDefault="00BB7FE4">
      <w:pPr>
        <w:rPr>
          <w:rFonts w:eastAsia="MS Mincho" w:cs="Times New Roman"/>
          <w:b/>
          <w:caps/>
          <w:noProof/>
          <w:sz w:val="32"/>
          <w:szCs w:val="32"/>
          <w:lang w:val="fr-FR"/>
        </w:rPr>
      </w:pPr>
    </w:p>
    <w:p w:rsidR="0081511D" w:rsidRPr="004F6025" w:rsidRDefault="0081511D" w:rsidP="0081511D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proposition de pratique de marché</w:t>
      </w: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093"/>
        <w:gridCol w:w="7483"/>
        <w:gridCol w:w="30"/>
      </w:tblGrid>
      <w:tr w:rsidR="001E0D83" w:rsidRPr="00D17AAA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1E0D83" w:rsidRPr="00D103DA" w:rsidRDefault="0091257E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Pratique</w:t>
            </w:r>
            <w:r w:rsidR="00BA66D3"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 </w:t>
            </w:r>
            <w:r w:rsidR="001E0D83">
              <w:rPr>
                <w:rFonts w:eastAsia="MS Mincho" w:cs="Times New Roman"/>
                <w:b/>
                <w:noProof/>
                <w:szCs w:val="32"/>
                <w:lang w:val="fr-FR"/>
              </w:rPr>
              <w:t>recommandé</w:t>
            </w:r>
            <w:r w:rsidR="00BA66D3">
              <w:rPr>
                <w:rFonts w:eastAsia="MS Mincho" w:cs="Times New Roman"/>
                <w:b/>
                <w:noProof/>
                <w:szCs w:val="32"/>
                <w:lang w:val="fr-FR"/>
              </w:rPr>
              <w:t>e</w:t>
            </w:r>
          </w:p>
        </w:tc>
        <w:tc>
          <w:tcPr>
            <w:tcW w:w="7483" w:type="dxa"/>
          </w:tcPr>
          <w:p w:rsidR="006D7CEB" w:rsidRPr="00B8033E" w:rsidRDefault="006D7CEB" w:rsidP="006D7CEB">
            <w:pPr>
              <w:numPr>
                <w:ilvl w:val="0"/>
                <w:numId w:val="12"/>
              </w:numPr>
              <w:spacing w:after="60"/>
              <w:ind w:left="209" w:hanging="215"/>
              <w:rPr>
                <w:rFonts w:eastAsia="Calibri" w:cs="Tahoma"/>
                <w:bCs/>
                <w:szCs w:val="18"/>
                <w:lang w:val="fr-FR" w:eastAsia="fr-FR"/>
              </w:rPr>
            </w:pPr>
            <w:r w:rsidRPr="00B8033E">
              <w:rPr>
                <w:rFonts w:eastAsia="Calibri" w:cs="Tahoma"/>
                <w:bCs/>
                <w:szCs w:val="18"/>
                <w:lang w:val="fr-FR" w:eastAsia="fr-FR"/>
              </w:rPr>
              <w:t>Le BIC 11 pour identifier le participant au CSD doit être privilégié dans l’échange entre les parties.</w:t>
            </w:r>
          </w:p>
          <w:p w:rsidR="006D7CEB" w:rsidRPr="00B8033E" w:rsidRDefault="006D7CEB" w:rsidP="006D7CEB">
            <w:pPr>
              <w:numPr>
                <w:ilvl w:val="0"/>
                <w:numId w:val="12"/>
              </w:numPr>
              <w:spacing w:after="60"/>
              <w:ind w:left="209" w:hanging="215"/>
              <w:rPr>
                <w:rFonts w:eastAsia="Calibri" w:cs="Tahoma"/>
                <w:bCs/>
                <w:szCs w:val="18"/>
                <w:lang w:val="fr-FR" w:eastAsia="fr-FR"/>
              </w:rPr>
            </w:pPr>
            <w:r w:rsidRPr="00B8033E">
              <w:rPr>
                <w:rFonts w:eastAsia="Calibri" w:cs="Tahoma"/>
                <w:bCs/>
                <w:szCs w:val="18"/>
                <w:lang w:val="fr-FR" w:eastAsia="fr-FR"/>
              </w:rPr>
              <w:t>A défaut, le recours au code affilié peut être toléré.</w:t>
            </w:r>
          </w:p>
          <w:p w:rsidR="00AA1FDB" w:rsidRPr="006D7CEB" w:rsidRDefault="006D7CEB" w:rsidP="00C07DB1">
            <w:pPr>
              <w:rPr>
                <w:rFonts w:eastAsia="MS Mincho" w:cs="Times New Roman"/>
                <w:noProof/>
                <w:sz w:val="32"/>
                <w:szCs w:val="32"/>
                <w:lang w:val="fr-FR"/>
              </w:rPr>
            </w:pPr>
            <w:r w:rsidRPr="00B8033E">
              <w:rPr>
                <w:rFonts w:eastAsia="MS Mincho" w:cs="Tahoma"/>
                <w:bCs/>
                <w:szCs w:val="18"/>
                <w:lang w:val="fr-FR"/>
              </w:rPr>
              <w:t xml:space="preserve">Cette pratique devra être testée </w:t>
            </w:r>
            <w:r w:rsidR="00C07DB1">
              <w:rPr>
                <w:rFonts w:eastAsia="MS Mincho" w:cs="Tahoma"/>
                <w:bCs/>
                <w:szCs w:val="18"/>
                <w:lang w:val="fr-FR"/>
              </w:rPr>
              <w:t>dès les premières phases de tests</w:t>
            </w:r>
            <w:r w:rsidRPr="00B8033E">
              <w:rPr>
                <w:rFonts w:eastAsia="MS Mincho" w:cs="Tahoma"/>
                <w:bCs/>
                <w:szCs w:val="18"/>
                <w:lang w:val="fr-FR"/>
              </w:rPr>
              <w:t xml:space="preserve">. La possibilité d’imposer l’utilisation du BIC11 devra être </w:t>
            </w:r>
            <w:r w:rsidR="00BB7FE4" w:rsidRPr="00B8033E">
              <w:rPr>
                <w:rFonts w:eastAsia="MS Mincho" w:cs="Tahoma"/>
                <w:bCs/>
                <w:szCs w:val="18"/>
                <w:lang w:val="fr-FR"/>
              </w:rPr>
              <w:t>réévaluée</w:t>
            </w:r>
            <w:r w:rsidRPr="00B8033E">
              <w:rPr>
                <w:rFonts w:eastAsia="MS Mincho" w:cs="Tahoma"/>
                <w:bCs/>
                <w:szCs w:val="18"/>
                <w:lang w:val="fr-FR"/>
              </w:rPr>
              <w:t xml:space="preserve"> </w:t>
            </w:r>
            <w:proofErr w:type="spellStart"/>
            <w:r w:rsidRPr="00B8033E">
              <w:rPr>
                <w:rFonts w:eastAsia="MS Mincho" w:cs="Tahoma"/>
                <w:bCs/>
                <w:szCs w:val="18"/>
                <w:lang w:val="fr-FR"/>
              </w:rPr>
              <w:t>post-bascule</w:t>
            </w:r>
            <w:proofErr w:type="spellEnd"/>
            <w:r w:rsidRPr="00B8033E">
              <w:rPr>
                <w:rFonts w:eastAsia="MS Mincho" w:cs="Tahoma"/>
                <w:bCs/>
                <w:szCs w:val="18"/>
                <w:lang w:val="fr-FR"/>
              </w:rPr>
              <w:t xml:space="preserve"> vers T2S.</w:t>
            </w:r>
          </w:p>
        </w:tc>
      </w:tr>
      <w:tr w:rsidR="00C06869" w:rsidRPr="00D17AAA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C06869" w:rsidRDefault="00C06869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Raisons du choix</w:t>
            </w:r>
          </w:p>
        </w:tc>
        <w:tc>
          <w:tcPr>
            <w:tcW w:w="7483" w:type="dxa"/>
          </w:tcPr>
          <w:p w:rsidR="00C06869" w:rsidRDefault="006D7CEB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6D7CEB">
              <w:rPr>
                <w:rFonts w:eastAsia="MS Mincho" w:cs="Times New Roman"/>
                <w:noProof/>
                <w:szCs w:val="32"/>
                <w:lang w:val="fr-FR"/>
              </w:rPr>
              <w:t>Les établissements constatent qu’imposer à ce stade l’utilisation du BIC11 ne semble pas  nécessaire. En revanche, à l’issue de la bascule vers T2S, les pratiques réellement constatées pourront nécessiter un ajustement.</w:t>
            </w:r>
          </w:p>
        </w:tc>
      </w:tr>
      <w:tr w:rsidR="0081511D" w:rsidRPr="00D17AAA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Tr="0081511D">
        <w:trPr>
          <w:gridAfter w:val="1"/>
          <w:wAfter w:w="30" w:type="dxa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Description des rôles de toutes les parties prenantes </w:t>
            </w:r>
          </w:p>
          <w:p w:rsidR="0081511D" w:rsidRPr="00D103DA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483" w:type="dxa"/>
            <w:tcBorders>
              <w:bottom w:val="single" w:sz="4" w:space="0" w:color="auto"/>
            </w:tcBorders>
          </w:tcPr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Tr="0081511D">
        <w:trPr>
          <w:gridAfter w:val="1"/>
          <w:wAfter w:w="30" w:type="dxa"/>
        </w:trPr>
        <w:tc>
          <w:tcPr>
            <w:tcW w:w="2093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48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Schéma des flux</w:t>
            </w:r>
          </w:p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483" w:type="dxa"/>
            <w:tcBorders>
              <w:bottom w:val="single" w:sz="4" w:space="0" w:color="auto"/>
            </w:tcBorders>
          </w:tcPr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</w:tbl>
    <w:p w:rsidR="00363E89" w:rsidRDefault="00363E89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5743B" w:rsidRDefault="0085743B">
      <w:pPr>
        <w:rPr>
          <w:rFonts w:eastAsia="MS Mincho" w:cs="Times New Roman"/>
          <w:b/>
          <w:caps/>
          <w:noProof/>
          <w:sz w:val="32"/>
          <w:szCs w:val="32"/>
          <w:lang w:val="fr-FR"/>
        </w:rPr>
      </w:pPr>
    </w:p>
    <w:p w:rsidR="00140482" w:rsidRPr="004F6025" w:rsidRDefault="00140482" w:rsidP="00140482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mise en oeuvre</w:t>
      </w:r>
    </w:p>
    <w:p w:rsidR="00140482" w:rsidRDefault="00140482" w:rsidP="00140482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9616" w:type="dxa"/>
        <w:tblLook w:val="04A0" w:firstRow="1" w:lastRow="0" w:firstColumn="1" w:lastColumn="0" w:noHBand="0" w:noVBand="1"/>
      </w:tblPr>
      <w:tblGrid>
        <w:gridCol w:w="2302"/>
        <w:gridCol w:w="2166"/>
        <w:gridCol w:w="272"/>
        <w:gridCol w:w="1599"/>
        <w:gridCol w:w="839"/>
        <w:gridCol w:w="842"/>
        <w:gridCol w:w="1556"/>
        <w:gridCol w:w="40"/>
      </w:tblGrid>
      <w:tr w:rsidR="00140482" w:rsidRPr="00D17AAA" w:rsidTr="000E651B">
        <w:trPr>
          <w:trHeight w:val="338"/>
        </w:trPr>
        <w:tc>
          <w:tcPr>
            <w:tcW w:w="2302" w:type="dxa"/>
            <w:vMerge w:val="restart"/>
            <w:shd w:val="clear" w:color="auto" w:fill="BFBFBF" w:themeFill="background1" w:themeFillShade="BF"/>
          </w:tcPr>
          <w:p w:rsidR="00140482" w:rsidRPr="00D103DA" w:rsidRDefault="00140482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Horizon de mise en oeuvre</w:t>
            </w:r>
          </w:p>
        </w:tc>
        <w:tc>
          <w:tcPr>
            <w:tcW w:w="2438" w:type="dxa"/>
            <w:gridSpan w:val="2"/>
          </w:tcPr>
          <w:p w:rsidR="00140482" w:rsidRPr="00785264" w:rsidRDefault="00140482" w:rsidP="000E651B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 w:rsidRPr="00785264">
              <w:rPr>
                <w:rFonts w:eastAsia="MS Mincho" w:cs="Times New Roman"/>
                <w:b/>
                <w:noProof/>
                <w:szCs w:val="32"/>
                <w:lang w:val="fr-FR"/>
              </w:rPr>
              <w:t>Avant la migration vers T2S</w:t>
            </w:r>
          </w:p>
        </w:tc>
        <w:tc>
          <w:tcPr>
            <w:tcW w:w="2438" w:type="dxa"/>
            <w:gridSpan w:val="2"/>
          </w:tcPr>
          <w:p w:rsidR="00140482" w:rsidRPr="009637E5" w:rsidRDefault="00140482" w:rsidP="000E651B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Lors du démarrage en production sur T2S</w:t>
            </w:r>
          </w:p>
        </w:tc>
        <w:tc>
          <w:tcPr>
            <w:tcW w:w="2438" w:type="dxa"/>
            <w:gridSpan w:val="3"/>
          </w:tcPr>
          <w:p w:rsidR="00140482" w:rsidRPr="009637E5" w:rsidRDefault="00140482" w:rsidP="000E651B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Après la migration vers T2S</w:t>
            </w:r>
          </w:p>
        </w:tc>
      </w:tr>
      <w:tr w:rsidR="00140482" w:rsidTr="000E651B">
        <w:trPr>
          <w:trHeight w:val="337"/>
        </w:trPr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0482" w:rsidRDefault="00140482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140482" w:rsidRDefault="0085743B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12/09/2016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</w:tc>
      </w:tr>
      <w:tr w:rsidR="00140482" w:rsidTr="000E651B">
        <w:trPr>
          <w:gridAfter w:val="1"/>
          <w:wAfter w:w="40" w:type="dxa"/>
          <w:trHeight w:val="337"/>
        </w:trPr>
        <w:tc>
          <w:tcPr>
            <w:tcW w:w="230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216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87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68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jc w:val="center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55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140482" w:rsidTr="000E651B">
        <w:trPr>
          <w:gridAfter w:val="1"/>
          <w:wAfter w:w="40" w:type="dxa"/>
        </w:trPr>
        <w:tc>
          <w:tcPr>
            <w:tcW w:w="23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0482" w:rsidRDefault="00140482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Faut-il un jeu de tests spécifique pour la pratique ?</w:t>
            </w:r>
          </w:p>
        </w:tc>
        <w:tc>
          <w:tcPr>
            <w:tcW w:w="4037" w:type="dxa"/>
            <w:gridSpan w:val="3"/>
            <w:tcBorders>
              <w:bottom w:val="single" w:sz="4" w:space="0" w:color="auto"/>
            </w:tcBorders>
          </w:tcPr>
          <w:p w:rsidR="00140482" w:rsidRPr="00922B9C" w:rsidRDefault="00140482" w:rsidP="00922B9C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  <w:r>
              <w:rPr>
                <w:lang w:val="fr-FR"/>
              </w:rPr>
              <w:t xml:space="preserve">Oui  </w:t>
            </w:r>
            <w:r w:rsidR="0085743B"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E35B86" w:rsidRDefault="00140482" w:rsidP="000E651B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</w:p>
        </w:tc>
        <w:tc>
          <w:tcPr>
            <w:tcW w:w="3237" w:type="dxa"/>
            <w:gridSpan w:val="3"/>
            <w:tcBorders>
              <w:bottom w:val="single" w:sz="4" w:space="0" w:color="auto"/>
            </w:tcBorders>
          </w:tcPr>
          <w:p w:rsidR="00140482" w:rsidRDefault="00140482" w:rsidP="0085743B">
            <w:pPr>
              <w:tabs>
                <w:tab w:val="left" w:pos="9356"/>
              </w:tabs>
              <w:ind w:right="-279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Non  </w:t>
            </w:r>
            <w:r w:rsidR="006D7CEB">
              <w:rPr>
                <w:rFonts w:ascii="Wingdings" w:hAnsi="Wingdings" w:cs="Wingdings"/>
                <w:sz w:val="26"/>
                <w:szCs w:val="26"/>
              </w:rPr>
              <w:t></w:t>
            </w:r>
          </w:p>
        </w:tc>
      </w:tr>
      <w:bookmarkEnd w:id="0"/>
    </w:tbl>
    <w:p w:rsidR="00BA6B0A" w:rsidRDefault="00BA6B0A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sectPr w:rsidR="00BA6B0A" w:rsidSect="006D6846">
      <w:headerReference w:type="default" r:id="rId8"/>
      <w:footerReference w:type="default" r:id="rId9"/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A3E" w:rsidRDefault="00174A3E" w:rsidP="006D6846">
      <w:pPr>
        <w:spacing w:after="0" w:line="240" w:lineRule="auto"/>
      </w:pPr>
      <w:r>
        <w:separator/>
      </w:r>
    </w:p>
  </w:endnote>
  <w:endnote w:type="continuationSeparator" w:id="0">
    <w:p w:rsidR="00174A3E" w:rsidRDefault="00174A3E" w:rsidP="006D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03184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7FE4" w:rsidRDefault="00BB7FE4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7AA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7AA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C776F" w:rsidRDefault="00EC77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A3E" w:rsidRDefault="00174A3E" w:rsidP="006D6846">
      <w:pPr>
        <w:spacing w:after="0" w:line="240" w:lineRule="auto"/>
      </w:pPr>
      <w:r>
        <w:separator/>
      </w:r>
    </w:p>
  </w:footnote>
  <w:footnote w:type="continuationSeparator" w:id="0">
    <w:p w:rsidR="00174A3E" w:rsidRDefault="00174A3E" w:rsidP="006D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04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3"/>
      <w:gridCol w:w="3985"/>
    </w:tblGrid>
    <w:tr w:rsidR="00EC776F" w:rsidTr="00C645C4">
      <w:trPr>
        <w:trHeight w:val="831"/>
      </w:trPr>
      <w:tc>
        <w:tcPr>
          <w:tcW w:w="6063" w:type="dxa"/>
          <w:vAlign w:val="center"/>
        </w:tcPr>
        <w:p w:rsidR="00EC776F" w:rsidRDefault="00EC776F" w:rsidP="00EC776F">
          <w:pPr>
            <w:pStyle w:val="Header"/>
            <w:jc w:val="center"/>
            <w:rPr>
              <w:b/>
              <w:lang w:val="fr-FR"/>
            </w:rPr>
          </w:pPr>
          <w:r w:rsidRPr="007F6CFC">
            <w:rPr>
              <w:b/>
              <w:lang w:val="fr-FR"/>
            </w:rPr>
            <w:t>Groupe d’Adaptation des Pratiques de Marché T2S</w:t>
          </w:r>
        </w:p>
        <w:p w:rsidR="00EC776F" w:rsidRDefault="00EC776F" w:rsidP="00EC776F">
          <w:pPr>
            <w:pStyle w:val="Header"/>
            <w:jc w:val="center"/>
            <w:rPr>
              <w:b/>
              <w:lang w:val="fr-FR"/>
            </w:rPr>
          </w:pPr>
          <w:r>
            <w:rPr>
              <w:b/>
              <w:lang w:val="fr-FR"/>
            </w:rPr>
            <w:t>Fiche Pratique de marché</w:t>
          </w:r>
        </w:p>
      </w:tc>
      <w:tc>
        <w:tcPr>
          <w:tcW w:w="3985" w:type="dxa"/>
          <w:vAlign w:val="center"/>
        </w:tcPr>
        <w:p w:rsidR="00EC776F" w:rsidRDefault="00EC776F" w:rsidP="00C645C4">
          <w:pPr>
            <w:pStyle w:val="Header"/>
            <w:rPr>
              <w:b/>
              <w:lang w:val="fr-FR"/>
            </w:rPr>
          </w:pPr>
          <w:r>
            <w:rPr>
              <w:noProof/>
            </w:rPr>
            <w:drawing>
              <wp:inline distT="0" distB="0" distL="0" distR="0" wp14:anchorId="60A31DAF" wp14:editId="6CB6A88D">
                <wp:extent cx="1032931" cy="516467"/>
                <wp:effectExtent l="0" t="0" r="0" b="0"/>
                <wp:docPr id="8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228" cy="51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C645C4">
            <w:object w:dxaOrig="7200" w:dyaOrig="46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5.7pt;height:42.45pt" o:ole="">
                <v:imagedata r:id="rId2" o:title=""/>
              </v:shape>
              <o:OLEObject Type="Embed" ProgID="PBrush" ShapeID="_x0000_i1025" DrawAspect="Content" ObjectID="_1534306415" r:id="rId3"/>
            </w:object>
          </w:r>
        </w:p>
      </w:tc>
    </w:tr>
    <w:tr w:rsidR="00EC776F" w:rsidRPr="00D17AAA" w:rsidTr="00C645C4">
      <w:trPr>
        <w:trHeight w:val="273"/>
      </w:trPr>
      <w:tc>
        <w:tcPr>
          <w:tcW w:w="6063" w:type="dxa"/>
          <w:vAlign w:val="center"/>
        </w:tcPr>
        <w:p w:rsidR="00EC776F" w:rsidRPr="00EC776F" w:rsidRDefault="00EC776F" w:rsidP="00C645C4">
          <w:pPr>
            <w:pStyle w:val="Header"/>
            <w:jc w:val="center"/>
            <w:rPr>
              <w:i/>
              <w:lang w:val="fr-FR"/>
            </w:rPr>
          </w:pPr>
          <w:r>
            <w:rPr>
              <w:i/>
              <w:lang w:val="fr-FR"/>
            </w:rPr>
            <w:t xml:space="preserve">Référence de la pratique : </w:t>
          </w:r>
          <w:r w:rsidR="006D7CEB" w:rsidRPr="006D7CEB">
            <w:rPr>
              <w:i/>
              <w:lang w:val="fr-FR"/>
            </w:rPr>
            <w:t>RE-CPTY-AGENT-01</w:t>
          </w:r>
        </w:p>
      </w:tc>
      <w:tc>
        <w:tcPr>
          <w:tcW w:w="3985" w:type="dxa"/>
          <w:vAlign w:val="center"/>
        </w:tcPr>
        <w:p w:rsidR="00EC776F" w:rsidRPr="00EC776F" w:rsidRDefault="00EC776F" w:rsidP="00EC776F">
          <w:pPr>
            <w:pStyle w:val="Header"/>
            <w:jc w:val="center"/>
            <w:rPr>
              <w:noProof/>
              <w:lang w:val="fr-FR"/>
            </w:rPr>
          </w:pPr>
        </w:p>
      </w:tc>
    </w:tr>
  </w:tbl>
  <w:p w:rsidR="00EC776F" w:rsidRPr="00C221EA" w:rsidRDefault="00EC776F">
    <w:pPr>
      <w:pStyle w:val="Header"/>
      <w:rPr>
        <w:b/>
        <w:sz w:val="20"/>
        <w:szCs w:val="20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BC6"/>
    <w:multiLevelType w:val="hybridMultilevel"/>
    <w:tmpl w:val="2C0049D2"/>
    <w:lvl w:ilvl="0" w:tplc="A162A862">
      <w:start w:val="1"/>
      <w:numFmt w:val="bullet"/>
      <w:lvlText w:val=""/>
      <w:lvlJc w:val="left"/>
      <w:pPr>
        <w:ind w:left="114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049741B3"/>
    <w:multiLevelType w:val="hybridMultilevel"/>
    <w:tmpl w:val="1B20EB06"/>
    <w:lvl w:ilvl="0" w:tplc="437E9AEE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E79DC"/>
    <w:multiLevelType w:val="hybridMultilevel"/>
    <w:tmpl w:val="FF563A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101850">
      <w:start w:val="30"/>
      <w:numFmt w:val="bullet"/>
      <w:lvlText w:val=""/>
      <w:lvlJc w:val="left"/>
      <w:pPr>
        <w:ind w:left="2520" w:hanging="360"/>
      </w:pPr>
      <w:rPr>
        <w:rFonts w:ascii="Wingdings" w:eastAsia="MS Mincho" w:hAnsi="Wingdings" w:cs="Tahoma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5A7E25"/>
    <w:multiLevelType w:val="hybridMultilevel"/>
    <w:tmpl w:val="B692A802"/>
    <w:lvl w:ilvl="0" w:tplc="0C88040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E0530"/>
    <w:multiLevelType w:val="hybridMultilevel"/>
    <w:tmpl w:val="5404B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80767"/>
    <w:multiLevelType w:val="hybridMultilevel"/>
    <w:tmpl w:val="717C2D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B7B0E1E"/>
    <w:multiLevelType w:val="hybridMultilevel"/>
    <w:tmpl w:val="43EAEF10"/>
    <w:lvl w:ilvl="0" w:tplc="9346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685906"/>
    <w:multiLevelType w:val="hybridMultilevel"/>
    <w:tmpl w:val="B170918E"/>
    <w:lvl w:ilvl="0" w:tplc="1546A4E6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33664E"/>
    <w:multiLevelType w:val="hybridMultilevel"/>
    <w:tmpl w:val="30F6C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323E3"/>
    <w:multiLevelType w:val="hybridMultilevel"/>
    <w:tmpl w:val="92625E74"/>
    <w:lvl w:ilvl="0" w:tplc="1A349598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8479E7"/>
    <w:multiLevelType w:val="hybridMultilevel"/>
    <w:tmpl w:val="E122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2F2BC6"/>
    <w:multiLevelType w:val="hybridMultilevel"/>
    <w:tmpl w:val="1C8C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9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 Sousa, Maria">
    <w15:presenceInfo w15:providerId="AD" w15:userId="S-1-5-21-3942990428-588001494-4079709122-109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46"/>
    <w:rsid w:val="00020084"/>
    <w:rsid w:val="000706A3"/>
    <w:rsid w:val="000A6C94"/>
    <w:rsid w:val="000C1C9B"/>
    <w:rsid w:val="000D6F4D"/>
    <w:rsid w:val="000F3C24"/>
    <w:rsid w:val="00113071"/>
    <w:rsid w:val="00140482"/>
    <w:rsid w:val="00145ADA"/>
    <w:rsid w:val="001522A5"/>
    <w:rsid w:val="00162BBA"/>
    <w:rsid w:val="00174A3E"/>
    <w:rsid w:val="00183F7A"/>
    <w:rsid w:val="001A26CA"/>
    <w:rsid w:val="001B0416"/>
    <w:rsid w:val="001B1E38"/>
    <w:rsid w:val="001C4C4C"/>
    <w:rsid w:val="001C7BAF"/>
    <w:rsid w:val="001D7830"/>
    <w:rsid w:val="001E0D83"/>
    <w:rsid w:val="00211814"/>
    <w:rsid w:val="00217510"/>
    <w:rsid w:val="00283DDE"/>
    <w:rsid w:val="0028538B"/>
    <w:rsid w:val="00343829"/>
    <w:rsid w:val="00343B9E"/>
    <w:rsid w:val="003631EA"/>
    <w:rsid w:val="00363E89"/>
    <w:rsid w:val="003929BA"/>
    <w:rsid w:val="003A4E76"/>
    <w:rsid w:val="003B3DA4"/>
    <w:rsid w:val="003D5E9F"/>
    <w:rsid w:val="003D7060"/>
    <w:rsid w:val="00434747"/>
    <w:rsid w:val="00464015"/>
    <w:rsid w:val="00465016"/>
    <w:rsid w:val="004818D8"/>
    <w:rsid w:val="00482296"/>
    <w:rsid w:val="00487A07"/>
    <w:rsid w:val="004F6025"/>
    <w:rsid w:val="005061BA"/>
    <w:rsid w:val="005067E0"/>
    <w:rsid w:val="0051485E"/>
    <w:rsid w:val="00567B1D"/>
    <w:rsid w:val="00575F36"/>
    <w:rsid w:val="005C2ACA"/>
    <w:rsid w:val="00622E8A"/>
    <w:rsid w:val="00625541"/>
    <w:rsid w:val="00652C13"/>
    <w:rsid w:val="00694503"/>
    <w:rsid w:val="0069580E"/>
    <w:rsid w:val="006D6846"/>
    <w:rsid w:val="006D7CEB"/>
    <w:rsid w:val="006F298E"/>
    <w:rsid w:val="00701AE2"/>
    <w:rsid w:val="00714CE6"/>
    <w:rsid w:val="00727BF7"/>
    <w:rsid w:val="0074709E"/>
    <w:rsid w:val="00765664"/>
    <w:rsid w:val="00776CD9"/>
    <w:rsid w:val="007B7B10"/>
    <w:rsid w:val="007C7303"/>
    <w:rsid w:val="007F6CFC"/>
    <w:rsid w:val="0080446B"/>
    <w:rsid w:val="0081511D"/>
    <w:rsid w:val="00830B7B"/>
    <w:rsid w:val="00837334"/>
    <w:rsid w:val="00841E84"/>
    <w:rsid w:val="0085743B"/>
    <w:rsid w:val="008800A4"/>
    <w:rsid w:val="00893912"/>
    <w:rsid w:val="008A30A6"/>
    <w:rsid w:val="008C734C"/>
    <w:rsid w:val="0091257E"/>
    <w:rsid w:val="0092276F"/>
    <w:rsid w:val="00922A8E"/>
    <w:rsid w:val="00922B9C"/>
    <w:rsid w:val="00933237"/>
    <w:rsid w:val="009606C4"/>
    <w:rsid w:val="00982218"/>
    <w:rsid w:val="00995F65"/>
    <w:rsid w:val="009978DE"/>
    <w:rsid w:val="009A24A6"/>
    <w:rsid w:val="009A2F1A"/>
    <w:rsid w:val="009A64D1"/>
    <w:rsid w:val="00A133A7"/>
    <w:rsid w:val="00A20577"/>
    <w:rsid w:val="00A21489"/>
    <w:rsid w:val="00A40ED4"/>
    <w:rsid w:val="00A41D69"/>
    <w:rsid w:val="00A45A45"/>
    <w:rsid w:val="00A678C0"/>
    <w:rsid w:val="00A746A0"/>
    <w:rsid w:val="00A749F7"/>
    <w:rsid w:val="00A90EEC"/>
    <w:rsid w:val="00AA1FDB"/>
    <w:rsid w:val="00AA62D7"/>
    <w:rsid w:val="00AC134F"/>
    <w:rsid w:val="00B26098"/>
    <w:rsid w:val="00B31057"/>
    <w:rsid w:val="00B44E11"/>
    <w:rsid w:val="00B540C8"/>
    <w:rsid w:val="00B62B1E"/>
    <w:rsid w:val="00B727D8"/>
    <w:rsid w:val="00B9491F"/>
    <w:rsid w:val="00BA66D3"/>
    <w:rsid w:val="00BA6B0A"/>
    <w:rsid w:val="00BB7FE4"/>
    <w:rsid w:val="00BC7577"/>
    <w:rsid w:val="00BE4C60"/>
    <w:rsid w:val="00C06869"/>
    <w:rsid w:val="00C070B0"/>
    <w:rsid w:val="00C07DB1"/>
    <w:rsid w:val="00C1000A"/>
    <w:rsid w:val="00C221EA"/>
    <w:rsid w:val="00C33595"/>
    <w:rsid w:val="00C3423B"/>
    <w:rsid w:val="00C41782"/>
    <w:rsid w:val="00C43D15"/>
    <w:rsid w:val="00C57689"/>
    <w:rsid w:val="00C60EC8"/>
    <w:rsid w:val="00C645C4"/>
    <w:rsid w:val="00C65EB2"/>
    <w:rsid w:val="00C77C0A"/>
    <w:rsid w:val="00CB0F41"/>
    <w:rsid w:val="00CC7462"/>
    <w:rsid w:val="00CD3755"/>
    <w:rsid w:val="00CE6DA3"/>
    <w:rsid w:val="00CF605A"/>
    <w:rsid w:val="00D103DA"/>
    <w:rsid w:val="00D12DE8"/>
    <w:rsid w:val="00D17AAA"/>
    <w:rsid w:val="00D252A7"/>
    <w:rsid w:val="00D50DB6"/>
    <w:rsid w:val="00D529B3"/>
    <w:rsid w:val="00D53037"/>
    <w:rsid w:val="00D5515F"/>
    <w:rsid w:val="00DB106F"/>
    <w:rsid w:val="00DD071C"/>
    <w:rsid w:val="00E351C1"/>
    <w:rsid w:val="00E35B86"/>
    <w:rsid w:val="00E438E3"/>
    <w:rsid w:val="00E52109"/>
    <w:rsid w:val="00E62EAE"/>
    <w:rsid w:val="00EA5560"/>
    <w:rsid w:val="00EB44AB"/>
    <w:rsid w:val="00EC776F"/>
    <w:rsid w:val="00F00BF4"/>
    <w:rsid w:val="00F358FF"/>
    <w:rsid w:val="00F35CCA"/>
    <w:rsid w:val="00F84B2D"/>
    <w:rsid w:val="00F904C9"/>
    <w:rsid w:val="00FC06B7"/>
    <w:rsid w:val="00FC4F18"/>
    <w:rsid w:val="00FE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846"/>
  </w:style>
  <w:style w:type="paragraph" w:styleId="Footer">
    <w:name w:val="footer"/>
    <w:basedOn w:val="Normal"/>
    <w:link w:val="Foot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846"/>
  </w:style>
  <w:style w:type="paragraph" w:styleId="BalloonText">
    <w:name w:val="Balloon Text"/>
    <w:basedOn w:val="Normal"/>
    <w:link w:val="BalloonTextCh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TableGrid">
    <w:name w:val="Table Grid"/>
    <w:basedOn w:val="Table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846"/>
  </w:style>
  <w:style w:type="paragraph" w:styleId="Footer">
    <w:name w:val="footer"/>
    <w:basedOn w:val="Normal"/>
    <w:link w:val="Foot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846"/>
  </w:style>
  <w:style w:type="paragraph" w:styleId="BalloonText">
    <w:name w:val="Balloon Text"/>
    <w:basedOn w:val="Normal"/>
    <w:link w:val="BalloonTextCh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TableGrid">
    <w:name w:val="Table Grid"/>
    <w:basedOn w:val="Table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Cognizant Technology Solutions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Cognizant Technology Solutions</dc:creator>
  <cp:lastModifiedBy>François DUBRAU</cp:lastModifiedBy>
  <cp:revision>6</cp:revision>
  <cp:lastPrinted>2015-10-09T10:36:00Z</cp:lastPrinted>
  <dcterms:created xsi:type="dcterms:W3CDTF">2016-05-16T17:54:00Z</dcterms:created>
  <dcterms:modified xsi:type="dcterms:W3CDTF">2016-09-02T05:27:00Z</dcterms:modified>
</cp:coreProperties>
</file>