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bookmarkEnd w:id="0"/>
    </w:p>
    <w:p w:rsidR="00575F36" w:rsidRPr="00EC776F" w:rsidRDefault="00A533D0"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A533D0">
        <w:rPr>
          <w:b/>
          <w:noProof/>
          <w:sz w:val="36"/>
          <w:lang w:val="fr-FR"/>
        </w:rPr>
        <w:t>Traitement des instructions sur le marché primaire</w:t>
      </w:r>
    </w:p>
    <w:p w:rsidR="001B1E38" w:rsidRPr="00502D01" w:rsidRDefault="001B1E38" w:rsidP="006D6846">
      <w:pPr>
        <w:tabs>
          <w:tab w:val="left" w:pos="9356"/>
        </w:tabs>
        <w:ind w:right="-279"/>
        <w:rPr>
          <w:sz w:val="8"/>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A533D0" w:rsidP="006D6846">
            <w:pPr>
              <w:tabs>
                <w:tab w:val="left" w:pos="9356"/>
              </w:tabs>
              <w:ind w:right="-279"/>
              <w:rPr>
                <w:lang w:val="fr-FR"/>
              </w:rPr>
            </w:pPr>
            <w:r>
              <w:rPr>
                <w:lang w:val="fr-FR"/>
              </w:rPr>
              <w:t>10 Octobre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A533D0"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A533D0" w:rsidRPr="002E01FA" w:rsidRDefault="00A533D0" w:rsidP="00A533D0">
            <w:pPr>
              <w:spacing w:before="120"/>
              <w:jc w:val="both"/>
              <w:rPr>
                <w:rFonts w:eastAsia="MS Mincho" w:cs="Times New Roman"/>
                <w:noProof/>
                <w:szCs w:val="32"/>
                <w:lang w:val="fr-FR"/>
              </w:rPr>
            </w:pPr>
            <w:r>
              <w:rPr>
                <w:rFonts w:eastAsia="MS Mincho" w:cs="Times New Roman"/>
                <w:noProof/>
                <w:szCs w:val="32"/>
                <w:lang w:val="fr-FR"/>
              </w:rPr>
              <w:t>Cette pratique s’applique à toutes les valeurs lors de leur émission sur le marché primaire.</w:t>
            </w:r>
          </w:p>
          <w:p w:rsid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2E01FA">
              <w:rPr>
                <w:rFonts w:eastAsia="MS Mincho" w:cs="Times New Roman"/>
                <w:i/>
                <w:noProof/>
                <w:szCs w:val="32"/>
                <w:lang w:val="fr-FR"/>
              </w:rPr>
              <w:t>Concernant les valeurs du Trésor</w:t>
            </w:r>
            <w:r>
              <w:rPr>
                <w:rFonts w:eastAsia="MS Mincho" w:cs="Times New Roman"/>
                <w:noProof/>
                <w:szCs w:val="32"/>
                <w:lang w:val="fr-FR"/>
              </w:rPr>
              <w:t> : s</w:t>
            </w:r>
            <w:r w:rsidRPr="002E01FA">
              <w:rPr>
                <w:rFonts w:eastAsia="MS Mincho" w:cs="Times New Roman"/>
                <w:noProof/>
                <w:szCs w:val="32"/>
                <w:lang w:val="fr-FR"/>
              </w:rPr>
              <w:t>uite aux adjudications de valeurs du Trésor (OAT et bons du Trésor), la Banque de France instruit les 2 jambes de l’instruction, celle traitée pour son propre compte  et celle pour le compte du SVT. Elle se substitue ainsi aux SVT pour l’envoi de l’instruction de règlement/livraison.</w:t>
            </w:r>
          </w:p>
          <w:p w:rsid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2E01FA">
              <w:rPr>
                <w:rFonts w:eastAsia="MS Mincho" w:cs="Times New Roman"/>
                <w:i/>
                <w:noProof/>
                <w:szCs w:val="32"/>
                <w:lang w:val="fr-FR"/>
              </w:rPr>
              <w:t>Concernant les valeurs d’autres émetteurs</w:t>
            </w:r>
            <w:r>
              <w:rPr>
                <w:rFonts w:eastAsia="MS Mincho" w:cs="Times New Roman"/>
                <w:i/>
                <w:noProof/>
                <w:szCs w:val="32"/>
                <w:lang w:val="fr-FR"/>
              </w:rPr>
              <w:t xml:space="preserve"> (hors TCN)</w:t>
            </w:r>
            <w:r w:rsidRPr="002E01FA">
              <w:rPr>
                <w:rFonts w:eastAsia="MS Mincho" w:cs="Times New Roman"/>
                <w:noProof/>
                <w:szCs w:val="32"/>
                <w:lang w:val="fr-FR"/>
              </w:rPr>
              <w:t xml:space="preserve"> : </w:t>
            </w:r>
            <w:r>
              <w:rPr>
                <w:rFonts w:eastAsia="MS Mincho" w:cs="Times New Roman"/>
                <w:noProof/>
                <w:szCs w:val="32"/>
                <w:lang w:val="fr-FR"/>
              </w:rPr>
              <w:t>l</w:t>
            </w:r>
            <w:r w:rsidRPr="002E01FA">
              <w:rPr>
                <w:rFonts w:eastAsia="MS Mincho" w:cs="Times New Roman"/>
                <w:noProof/>
                <w:szCs w:val="32"/>
                <w:lang w:val="fr-FR"/>
              </w:rPr>
              <w:t>e centralisateur d’une émission sur le marché primaire d’un  produit de taux (autre que la dette de l’Etat français), par exemple un emprunt obligataire émis par un Corporate, saisit dans le SLAB les instructions de règlement / livraison correspondant au placement de l’émission tandis que les TCC font de même pour les titres souscrits par leurs clients. Le centralisateur s’assure ensuite en relation avec les TCC que les instructions sont appariées dans la perspective du dénouement.</w:t>
            </w:r>
          </w:p>
          <w:p w:rsid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2E01FA">
              <w:rPr>
                <w:rFonts w:eastAsia="MS Mincho" w:cs="Times New Roman"/>
                <w:i/>
                <w:noProof/>
                <w:szCs w:val="32"/>
                <w:lang w:val="fr-FR"/>
              </w:rPr>
              <w:t>Concernant les Titres de Créances Négociables (’TCN’)</w:t>
            </w:r>
            <w:r w:rsidRPr="002E01FA">
              <w:rPr>
                <w:rFonts w:eastAsia="MS Mincho" w:cs="Times New Roman"/>
                <w:noProof/>
                <w:szCs w:val="32"/>
                <w:lang w:val="fr-FR"/>
              </w:rPr>
              <w:t xml:space="preserve"> : </w:t>
            </w:r>
            <w:r>
              <w:rPr>
                <w:rFonts w:eastAsia="MS Mincho" w:cs="Times New Roman"/>
                <w:noProof/>
                <w:szCs w:val="32"/>
                <w:lang w:val="fr-FR"/>
              </w:rPr>
              <w:t>l</w:t>
            </w:r>
            <w:r w:rsidRPr="002E01FA">
              <w:rPr>
                <w:rFonts w:eastAsia="MS Mincho" w:cs="Times New Roman"/>
                <w:noProof/>
                <w:szCs w:val="32"/>
                <w:lang w:val="fr-FR"/>
              </w:rPr>
              <w:t>es émissions de TCN sont traitées à l’aide des outils EoF qui génèrent les instructions de règlement/livraison liées à l’émission de ces produits.</w:t>
            </w:r>
          </w:p>
          <w:p w:rsidR="00A533D0" w:rsidRDefault="00A533D0" w:rsidP="00A533D0">
            <w:pPr>
              <w:pStyle w:val="ListParagraph"/>
              <w:numPr>
                <w:ilvl w:val="1"/>
                <w:numId w:val="11"/>
              </w:numPr>
              <w:spacing w:before="120"/>
              <w:ind w:left="600" w:hanging="283"/>
              <w:contextualSpacing w:val="0"/>
              <w:jc w:val="both"/>
              <w:rPr>
                <w:rFonts w:eastAsia="MS Mincho" w:cs="Times New Roman"/>
                <w:noProof/>
                <w:szCs w:val="32"/>
                <w:lang w:val="fr-FR"/>
              </w:rPr>
            </w:pPr>
            <w:r w:rsidRPr="002E01FA">
              <w:rPr>
                <w:rFonts w:eastAsia="MS Mincho" w:cs="Times New Roman"/>
                <w:noProof/>
                <w:szCs w:val="32"/>
                <w:lang w:val="fr-FR"/>
              </w:rPr>
              <w:t>Il existe néanmoins des situations dans lesquels l’émetteur souhaitant abon</w:t>
            </w:r>
            <w:r w:rsidR="00F65002">
              <w:rPr>
                <w:rFonts w:eastAsia="MS Mincho" w:cs="Times New Roman"/>
                <w:noProof/>
                <w:szCs w:val="32"/>
                <w:lang w:val="fr-FR"/>
              </w:rPr>
              <w:t>d</w:t>
            </w:r>
            <w:r w:rsidRPr="002E01FA">
              <w:rPr>
                <w:rFonts w:eastAsia="MS Mincho" w:cs="Times New Roman"/>
                <w:noProof/>
                <w:szCs w:val="32"/>
                <w:lang w:val="fr-FR"/>
              </w:rPr>
              <w:t>er une ligne existante, et donc un code ISIN en vigueur, émet des titres supplémentaires sur ce même code ISIN. Dans ce cas, le règlement/livraison de cette émission complémentaire est traité à l’aide du SLAB par le centralisateur.</w:t>
            </w:r>
          </w:p>
          <w:p w:rsidR="00140482" w:rsidRPr="00A533D0" w:rsidRDefault="00A533D0" w:rsidP="00A533D0">
            <w:pPr>
              <w:pStyle w:val="ListParagraph"/>
              <w:numPr>
                <w:ilvl w:val="1"/>
                <w:numId w:val="11"/>
              </w:numPr>
              <w:spacing w:before="120"/>
              <w:ind w:left="600" w:hanging="283"/>
              <w:contextualSpacing w:val="0"/>
              <w:jc w:val="both"/>
              <w:rPr>
                <w:rFonts w:eastAsia="MS Mincho" w:cs="Times New Roman"/>
                <w:noProof/>
                <w:szCs w:val="32"/>
                <w:lang w:val="fr-FR"/>
              </w:rPr>
            </w:pPr>
            <w:r w:rsidRPr="00A533D0">
              <w:rPr>
                <w:rFonts w:eastAsia="MS Mincho" w:cs="Times New Roman"/>
                <w:noProof/>
                <w:szCs w:val="32"/>
                <w:lang w:val="fr-FR"/>
              </w:rPr>
              <w:t>Le centralisateur saisit dans le SLAB les instructions de règlement / livraison correspondant au placement complémentaire de l’émission tandis que le, ou les TCC concernés font de même pour les titres souscrits par leurs clients. Le centralisateur s’assure ensuite en relation avec les TCC que les instructions sont appariées dans la perspective du dénouement.</w:t>
            </w:r>
          </w:p>
        </w:tc>
      </w:tr>
      <w:tr w:rsidR="00D103DA" w:rsidRPr="00A533D0"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A533D0"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A533D0" w:rsidRDefault="00A533D0" w:rsidP="00A533D0">
            <w:pPr>
              <w:jc w:val="both"/>
              <w:rPr>
                <w:rFonts w:eastAsia="MS Mincho" w:cs="Times New Roman"/>
                <w:noProof/>
                <w:szCs w:val="32"/>
                <w:lang w:val="fr-FR"/>
              </w:rPr>
            </w:pPr>
            <w:r>
              <w:rPr>
                <w:rFonts w:eastAsia="MS Mincho" w:cs="Times New Roman"/>
                <w:noProof/>
                <w:szCs w:val="32"/>
                <w:lang w:val="fr-FR"/>
              </w:rPr>
              <w:t>A horizon T2S :</w:t>
            </w:r>
          </w:p>
          <w:p w:rsid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2E01FA">
              <w:rPr>
                <w:rFonts w:eastAsia="MS Mincho" w:cs="Times New Roman"/>
                <w:i/>
                <w:noProof/>
                <w:szCs w:val="32"/>
                <w:lang w:val="fr-FR"/>
              </w:rPr>
              <w:t>Concernant les valeurs du Trésor</w:t>
            </w:r>
            <w:r>
              <w:rPr>
                <w:rFonts w:eastAsia="MS Mincho" w:cs="Times New Roman"/>
                <w:noProof/>
                <w:szCs w:val="32"/>
                <w:lang w:val="fr-FR"/>
              </w:rPr>
              <w:t> : il n’y aura aucun changement dans la manière dont la Banque de France traitera les instructions au primaire sur la dette de l’Etat français suite aux adjudications. Les Power of Attorney (PAO) existants seront reconduits sans nécessité de re-signature.</w:t>
            </w:r>
          </w:p>
          <w:p w:rsid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2E01FA">
              <w:rPr>
                <w:rFonts w:eastAsia="MS Mincho" w:cs="Times New Roman"/>
                <w:i/>
                <w:noProof/>
                <w:szCs w:val="32"/>
                <w:lang w:val="fr-FR"/>
              </w:rPr>
              <w:t>Concernant les valeurs d’autres émetteurs (hors TCN) </w:t>
            </w:r>
            <w:r w:rsidRPr="002E01FA">
              <w:rPr>
                <w:rFonts w:eastAsia="MS Mincho" w:cs="Times New Roman"/>
                <w:noProof/>
                <w:szCs w:val="32"/>
                <w:lang w:val="fr-FR"/>
              </w:rPr>
              <w:t>: le SLAB sera remplacé par des instructions T2S mais le processus sera maintenu</w:t>
            </w:r>
          </w:p>
          <w:p w:rsidR="00140482" w:rsidRP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A533D0">
              <w:rPr>
                <w:rFonts w:eastAsia="MS Mincho" w:cs="Times New Roman"/>
                <w:i/>
                <w:noProof/>
                <w:szCs w:val="32"/>
                <w:lang w:val="fr-FR"/>
              </w:rPr>
              <w:t>Concernant les TCN </w:t>
            </w:r>
            <w:r w:rsidRPr="00A533D0">
              <w:rPr>
                <w:rFonts w:eastAsia="MS Mincho" w:cs="Times New Roman"/>
                <w:noProof/>
                <w:szCs w:val="32"/>
                <w:lang w:val="fr-FR"/>
              </w:rPr>
              <w:t>: l’outil propriétaire sera maintenu et continuera à fonctionner avec les messages propriétaires, rien ne sera donc modifié pour ce type d’émission. En revanche, les règlements / livraisons assurés actuellement à l’aide du SLAB seront remplacés par des instructions T2S mais le processus entre les acteurs concernés sera maintenu pour ces émissions complémentaires.</w:t>
            </w:r>
          </w:p>
        </w:tc>
      </w:tr>
      <w:tr w:rsidR="0081511D" w:rsidRPr="00A533D0"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A533D0"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A533D0" w:rsidRDefault="00A533D0" w:rsidP="00A533D0">
            <w:pPr>
              <w:spacing w:before="120"/>
              <w:jc w:val="both"/>
              <w:rPr>
                <w:rFonts w:eastAsia="MS Mincho" w:cs="Times New Roman"/>
                <w:noProof/>
                <w:szCs w:val="32"/>
                <w:lang w:val="fr-FR"/>
              </w:rPr>
            </w:pPr>
            <w:r w:rsidRPr="0046095D">
              <w:rPr>
                <w:rFonts w:eastAsia="MS Mincho" w:cs="Times New Roman"/>
                <w:noProof/>
                <w:szCs w:val="32"/>
                <w:lang w:val="fr-FR"/>
              </w:rPr>
              <w:t>Si les fonctionnalités de Hold and Release et de settlement partiel étaient utilisées, cela pourrait retarder le dénouement de ce type d’opérations ou bien conduire à un éventuel dénouement partiel.</w:t>
            </w:r>
          </w:p>
          <w:p w:rsidR="00A533D0" w:rsidRPr="0046095D" w:rsidRDefault="00A533D0" w:rsidP="00A533D0">
            <w:pPr>
              <w:spacing w:before="120"/>
              <w:jc w:val="both"/>
              <w:rPr>
                <w:rFonts w:eastAsia="MS Mincho" w:cs="Times New Roman"/>
                <w:noProof/>
                <w:szCs w:val="32"/>
                <w:lang w:val="fr-FR"/>
              </w:rPr>
            </w:pPr>
            <w:r>
              <w:rPr>
                <w:rFonts w:eastAsia="MS Mincho" w:cs="Times New Roman"/>
                <w:noProof/>
                <w:szCs w:val="32"/>
                <w:lang w:val="fr-FR"/>
              </w:rPr>
              <w:t>A noter :</w:t>
            </w:r>
          </w:p>
          <w:p w:rsid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2E01FA">
              <w:rPr>
                <w:rFonts w:eastAsia="MS Mincho" w:cs="Times New Roman"/>
                <w:i/>
                <w:noProof/>
                <w:szCs w:val="32"/>
                <w:lang w:val="fr-FR"/>
              </w:rPr>
              <w:t>Concernant les valeurs du Trésor</w:t>
            </w:r>
            <w:r>
              <w:rPr>
                <w:rFonts w:eastAsia="MS Mincho" w:cs="Times New Roman"/>
                <w:noProof/>
                <w:szCs w:val="32"/>
                <w:lang w:val="fr-FR"/>
              </w:rPr>
              <w:t xml:space="preserve"> : un tel fonctionnement est </w:t>
            </w:r>
            <w:r w:rsidRPr="0046095D">
              <w:rPr>
                <w:rFonts w:eastAsia="MS Mincho" w:cs="Times New Roman"/>
                <w:noProof/>
                <w:szCs w:val="32"/>
                <w:lang w:val="fr-FR"/>
              </w:rPr>
              <w:t>tout à fait contraire à l’objectif de saisie par la Banque de France pour le compte du SVT visant à optimiser le processus opérationnel et assurer un dénouement optimal.</w:t>
            </w:r>
          </w:p>
          <w:p w:rsidR="0081511D" w:rsidRPr="00A533D0" w:rsidRDefault="00A533D0" w:rsidP="00A533D0">
            <w:pPr>
              <w:pStyle w:val="ListParagraph"/>
              <w:numPr>
                <w:ilvl w:val="0"/>
                <w:numId w:val="11"/>
              </w:numPr>
              <w:spacing w:before="120"/>
              <w:ind w:left="311" w:hanging="215"/>
              <w:contextualSpacing w:val="0"/>
              <w:jc w:val="both"/>
              <w:rPr>
                <w:rFonts w:eastAsia="MS Mincho" w:cs="Times New Roman"/>
                <w:noProof/>
                <w:szCs w:val="32"/>
                <w:lang w:val="fr-FR"/>
              </w:rPr>
            </w:pPr>
            <w:r w:rsidRPr="0046095D">
              <w:rPr>
                <w:rFonts w:eastAsia="MS Mincho" w:cs="Times New Roman"/>
                <w:i/>
                <w:noProof/>
                <w:szCs w:val="32"/>
                <w:lang w:val="fr-FR"/>
              </w:rPr>
              <w:t>Concernant les valeurs d’autres émetteurs</w:t>
            </w:r>
            <w:r>
              <w:rPr>
                <w:rFonts w:eastAsia="MS Mincho" w:cs="Times New Roman"/>
                <w:i/>
                <w:noProof/>
                <w:szCs w:val="32"/>
                <w:lang w:val="fr-FR"/>
              </w:rPr>
              <w:t xml:space="preserve"> et les TCN</w:t>
            </w:r>
            <w:r w:rsidRPr="0046095D">
              <w:rPr>
                <w:rFonts w:eastAsia="MS Mincho" w:cs="Times New Roman"/>
                <w:i/>
                <w:noProof/>
                <w:szCs w:val="32"/>
                <w:lang w:val="fr-FR"/>
              </w:rPr>
              <w:t> </w:t>
            </w:r>
            <w:r w:rsidRPr="0046095D">
              <w:rPr>
                <w:rFonts w:eastAsia="MS Mincho" w:cs="Times New Roman"/>
                <w:noProof/>
                <w:szCs w:val="32"/>
                <w:lang w:val="fr-FR"/>
              </w:rPr>
              <w:t>: le centralisateur doit pouvoir s’assurer que le dénouement de l’ensemble de l’émission sera bien effectif à la date de dénouement et doit pour cela s’assurer préalablement que l’intégralité des instructions sont bien appariées en vue du dénouement et ce dans un délai court.</w:t>
            </w:r>
          </w:p>
        </w:tc>
      </w:tr>
      <w:tr w:rsidR="0081511D" w:rsidRPr="00A533D0"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81511D" w:rsidRPr="00922B9C" w:rsidRDefault="0081511D" w:rsidP="00922B9C">
            <w:pPr>
              <w:spacing w:before="120"/>
              <w:jc w:val="both"/>
              <w:rPr>
                <w:rFonts w:eastAsia="MS Mincho" w:cs="Times New Roman"/>
                <w:noProof/>
                <w:szCs w:val="32"/>
                <w:lang w:val="fr-FR"/>
              </w:rPr>
            </w:pPr>
          </w:p>
        </w:tc>
      </w:tr>
    </w:tbl>
    <w:p w:rsidR="001E0D83" w:rsidRPr="00502D01" w:rsidRDefault="001E0D83" w:rsidP="00D103DA">
      <w:pPr>
        <w:spacing w:after="0" w:line="240" w:lineRule="auto"/>
        <w:rPr>
          <w:rFonts w:eastAsia="MS Mincho" w:cs="Times New Roman"/>
          <w:noProof/>
          <w:sz w:val="18"/>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proposition de pratique de marché</w:t>
      </w:r>
    </w:p>
    <w:p w:rsidR="0081511D" w:rsidRPr="00502D01" w:rsidRDefault="0081511D" w:rsidP="00D103DA">
      <w:pPr>
        <w:spacing w:after="0" w:line="240" w:lineRule="auto"/>
        <w:rPr>
          <w:rFonts w:eastAsia="MS Mincho" w:cs="Times New Roman"/>
          <w:noProof/>
          <w:sz w:val="14"/>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A533D0"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A533D0" w:rsidRDefault="00A533D0" w:rsidP="00A533D0">
            <w:pPr>
              <w:spacing w:before="120"/>
              <w:jc w:val="both"/>
              <w:rPr>
                <w:rFonts w:eastAsia="MS Mincho" w:cs="Times New Roman"/>
                <w:noProof/>
                <w:szCs w:val="32"/>
                <w:lang w:val="fr-FR"/>
              </w:rPr>
            </w:pPr>
            <w:r w:rsidRPr="002D36CF">
              <w:rPr>
                <w:rFonts w:eastAsia="MS Mincho" w:cs="Times New Roman"/>
                <w:noProof/>
                <w:szCs w:val="32"/>
                <w:lang w:val="fr-FR"/>
              </w:rPr>
              <w:t xml:space="preserve">La pratique </w:t>
            </w:r>
            <w:r>
              <w:rPr>
                <w:rFonts w:eastAsia="MS Mincho" w:cs="Times New Roman"/>
                <w:noProof/>
                <w:szCs w:val="32"/>
                <w:lang w:val="fr-FR"/>
              </w:rPr>
              <w:t>recommandée consiste</w:t>
            </w:r>
            <w:r w:rsidRPr="002D36CF">
              <w:rPr>
                <w:rFonts w:eastAsia="MS Mincho" w:cs="Times New Roman"/>
                <w:noProof/>
                <w:szCs w:val="32"/>
                <w:lang w:val="fr-FR"/>
              </w:rPr>
              <w:t xml:space="preserve"> à </w:t>
            </w:r>
            <w:r>
              <w:rPr>
                <w:rFonts w:eastAsia="MS Mincho" w:cs="Times New Roman"/>
                <w:noProof/>
                <w:szCs w:val="32"/>
                <w:lang w:val="fr-FR"/>
              </w:rPr>
              <w:t>ne jamais utiliser les fonctionnalités hold and release et dénouement partiel dans les instructions relatives au dénouement du marché primaire, qu’il s’agisse :</w:t>
            </w:r>
          </w:p>
          <w:p w:rsidR="00A533D0" w:rsidRDefault="00A533D0" w:rsidP="00A533D0">
            <w:pPr>
              <w:pStyle w:val="ListParagraph"/>
              <w:numPr>
                <w:ilvl w:val="0"/>
                <w:numId w:val="3"/>
              </w:numPr>
              <w:spacing w:before="120"/>
              <w:contextualSpacing w:val="0"/>
              <w:jc w:val="both"/>
              <w:rPr>
                <w:rFonts w:eastAsia="MS Mincho" w:cs="Times New Roman"/>
                <w:noProof/>
                <w:szCs w:val="32"/>
                <w:lang w:val="fr-FR"/>
              </w:rPr>
            </w:pPr>
            <w:r w:rsidRPr="0046095D">
              <w:rPr>
                <w:rFonts w:eastAsia="MS Mincho" w:cs="Times New Roman"/>
                <w:noProof/>
                <w:szCs w:val="32"/>
                <w:lang w:val="fr-FR"/>
              </w:rPr>
              <w:t>des instructions saisies par le centralisateur</w:t>
            </w:r>
          </w:p>
          <w:p w:rsidR="00A533D0" w:rsidRDefault="00A533D0" w:rsidP="00A533D0">
            <w:pPr>
              <w:pStyle w:val="ListParagraph"/>
              <w:numPr>
                <w:ilvl w:val="0"/>
                <w:numId w:val="3"/>
              </w:numPr>
              <w:spacing w:before="120"/>
              <w:contextualSpacing w:val="0"/>
              <w:jc w:val="both"/>
              <w:rPr>
                <w:rFonts w:eastAsia="MS Mincho" w:cs="Times New Roman"/>
                <w:noProof/>
                <w:szCs w:val="32"/>
                <w:lang w:val="fr-FR"/>
              </w:rPr>
            </w:pPr>
            <w:r w:rsidRPr="0046095D">
              <w:rPr>
                <w:rFonts w:eastAsia="MS Mincho" w:cs="Times New Roman"/>
                <w:noProof/>
                <w:szCs w:val="32"/>
                <w:lang w:val="fr-FR"/>
              </w:rPr>
              <w:t>de celles saisies par les TCC</w:t>
            </w:r>
          </w:p>
          <w:p w:rsidR="00A533D0" w:rsidRDefault="00A533D0" w:rsidP="00A533D0">
            <w:pPr>
              <w:pStyle w:val="ListParagraph"/>
              <w:numPr>
                <w:ilvl w:val="0"/>
                <w:numId w:val="3"/>
              </w:numPr>
              <w:spacing w:before="120"/>
              <w:contextualSpacing w:val="0"/>
              <w:jc w:val="both"/>
              <w:rPr>
                <w:rFonts w:eastAsia="MS Mincho" w:cs="Times New Roman"/>
                <w:noProof/>
                <w:szCs w:val="32"/>
                <w:lang w:val="fr-FR"/>
              </w:rPr>
            </w:pPr>
            <w:r w:rsidRPr="0046095D">
              <w:rPr>
                <w:rFonts w:eastAsia="MS Mincho" w:cs="Times New Roman"/>
                <w:noProof/>
                <w:szCs w:val="32"/>
                <w:lang w:val="fr-FR"/>
              </w:rPr>
              <w:t>pour la dette de l’Etat français, de celles saisies par la Banque de France pour son propre compte ou pour le compte d’un SVT.</w:t>
            </w:r>
          </w:p>
          <w:p w:rsidR="00AA1FDB" w:rsidRPr="00A533D0" w:rsidRDefault="00A533D0" w:rsidP="00F65002">
            <w:pPr>
              <w:pStyle w:val="ListParagraph"/>
              <w:numPr>
                <w:ilvl w:val="0"/>
                <w:numId w:val="3"/>
              </w:numPr>
              <w:spacing w:before="120"/>
              <w:contextualSpacing w:val="0"/>
              <w:jc w:val="both"/>
              <w:rPr>
                <w:rFonts w:eastAsia="MS Mincho" w:cs="Times New Roman"/>
                <w:noProof/>
                <w:szCs w:val="32"/>
                <w:lang w:val="fr-FR"/>
              </w:rPr>
            </w:pPr>
            <w:r w:rsidRPr="00A533D0">
              <w:rPr>
                <w:rFonts w:eastAsia="MS Mincho" w:cs="Times New Roman"/>
                <w:noProof/>
                <w:szCs w:val="32"/>
                <w:lang w:val="fr-FR"/>
              </w:rPr>
              <w:t>pour les TCN, de celles initiées par le centralisateur pour les abon</w:t>
            </w:r>
            <w:r w:rsidR="00F65002">
              <w:rPr>
                <w:rFonts w:eastAsia="MS Mincho" w:cs="Times New Roman"/>
                <w:noProof/>
                <w:szCs w:val="32"/>
                <w:lang w:val="fr-FR"/>
              </w:rPr>
              <w:t>d</w:t>
            </w:r>
            <w:r w:rsidRPr="00A533D0">
              <w:rPr>
                <w:rFonts w:eastAsia="MS Mincho" w:cs="Times New Roman"/>
                <w:noProof/>
                <w:szCs w:val="32"/>
                <w:lang w:val="fr-FR"/>
              </w:rPr>
              <w:t>ements sur lignes existantes de TCN (anciennemet traités par le SLAB), qu’il s’agisse des instructions saisies par le centralisateur ou de celles saisies par les TCC.</w:t>
            </w:r>
          </w:p>
        </w:tc>
      </w:tr>
      <w:tr w:rsidR="0081511D" w:rsidRPr="00A533D0"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85743B" w:rsidRDefault="0085743B">
      <w:pPr>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Pr="00502D01" w:rsidRDefault="00140482" w:rsidP="00140482">
      <w:pPr>
        <w:spacing w:after="0" w:line="240" w:lineRule="auto"/>
        <w:rPr>
          <w:rFonts w:eastAsia="MS Mincho" w:cs="Times New Roman"/>
          <w:noProof/>
          <w:sz w:val="8"/>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140482" w:rsidRPr="00A533D0"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tcBorders>
              <w:bottom w:val="single" w:sz="4" w:space="0" w:color="auto"/>
            </w:tcBorders>
          </w:tcPr>
          <w:p w:rsidR="003F42E3" w:rsidRDefault="003F42E3"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502D01">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096" w:rsidRDefault="00870096" w:rsidP="006D6846">
      <w:pPr>
        <w:spacing w:after="0" w:line="240" w:lineRule="auto"/>
      </w:pPr>
      <w:r>
        <w:separator/>
      </w:r>
    </w:p>
  </w:endnote>
  <w:endnote w:type="continuationSeparator" w:id="0">
    <w:p w:rsidR="00870096" w:rsidRDefault="00870096"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741446"/>
      <w:docPartObj>
        <w:docPartGallery w:val="Page Numbers (Bottom of Page)"/>
        <w:docPartUnique/>
      </w:docPartObj>
    </w:sdtPr>
    <w:sdtEndPr/>
    <w:sdtContent>
      <w:sdt>
        <w:sdtPr>
          <w:id w:val="-1769616900"/>
          <w:docPartObj>
            <w:docPartGallery w:val="Page Numbers (Top of Page)"/>
            <w:docPartUnique/>
          </w:docPartObj>
        </w:sdtPr>
        <w:sdtEndPr/>
        <w:sdtContent>
          <w:p w:rsidR="00502D01" w:rsidRDefault="00502D01">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F31FA9">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F31FA9">
              <w:rPr>
                <w:b/>
                <w:bCs/>
                <w:noProof/>
              </w:rPr>
              <w:t>3</w:t>
            </w:r>
            <w:r>
              <w:rPr>
                <w:b/>
                <w:bCs/>
                <w:sz w:val="24"/>
                <w:szCs w:val="24"/>
              </w:rPr>
              <w:fldChar w:fldCharType="end"/>
            </w:r>
          </w:p>
        </w:sdtContent>
      </w:sdt>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096" w:rsidRDefault="00870096" w:rsidP="006D6846">
      <w:pPr>
        <w:spacing w:after="0" w:line="240" w:lineRule="auto"/>
      </w:pPr>
      <w:r>
        <w:separator/>
      </w:r>
    </w:p>
  </w:footnote>
  <w:footnote w:type="continuationSeparator" w:id="0">
    <w:p w:rsidR="00870096" w:rsidRDefault="00870096"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5"/>
      <w:gridCol w:w="4066"/>
    </w:tblGrid>
    <w:tr w:rsidR="00EC776F" w:rsidTr="00502D01">
      <w:trPr>
        <w:trHeight w:val="844"/>
      </w:trPr>
      <w:tc>
        <w:tcPr>
          <w:tcW w:w="6135"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4066" w:type="dxa"/>
          <w:vAlign w:val="center"/>
        </w:tcPr>
        <w:p w:rsidR="00EC776F" w:rsidRDefault="00EC776F" w:rsidP="00502D01">
          <w:pPr>
            <w:pStyle w:val="Header"/>
            <w:rPr>
              <w:b/>
              <w:lang w:val="fr-FR"/>
            </w:rPr>
          </w:pPr>
          <w:r>
            <w:rPr>
              <w:noProof/>
            </w:rPr>
            <w:drawing>
              <wp:inline distT="0" distB="0" distL="0" distR="0" wp14:anchorId="132CD2D5" wp14:editId="39A0F7FE">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502D01">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2.75pt" o:ole="">
                <v:imagedata r:id="rId2" o:title=""/>
              </v:shape>
              <o:OLEObject Type="Embed" ProgID="PBrush" ShapeID="_x0000_i1025" DrawAspect="Content" ObjectID="_1537611701" r:id="rId3"/>
            </w:object>
          </w:r>
        </w:p>
      </w:tc>
    </w:tr>
    <w:tr w:rsidR="00EC776F" w:rsidRPr="00A533D0" w:rsidTr="00502D01">
      <w:trPr>
        <w:trHeight w:val="273"/>
      </w:trPr>
      <w:tc>
        <w:tcPr>
          <w:tcW w:w="6135" w:type="dxa"/>
          <w:vAlign w:val="center"/>
        </w:tcPr>
        <w:p w:rsidR="00EC776F" w:rsidRPr="00EC776F" w:rsidRDefault="00EC776F" w:rsidP="00A533D0">
          <w:pPr>
            <w:pStyle w:val="Header"/>
            <w:jc w:val="center"/>
            <w:rPr>
              <w:i/>
              <w:lang w:val="fr-FR"/>
            </w:rPr>
          </w:pPr>
          <w:r>
            <w:rPr>
              <w:i/>
              <w:lang w:val="fr-FR"/>
            </w:rPr>
            <w:t xml:space="preserve">Référence de la pratique : </w:t>
          </w:r>
          <w:r w:rsidR="00776CD9" w:rsidRPr="00776CD9">
            <w:rPr>
              <w:i/>
              <w:lang w:val="fr-FR"/>
            </w:rPr>
            <w:t>MS-SETTL-</w:t>
          </w:r>
          <w:r w:rsidR="00A533D0">
            <w:rPr>
              <w:i/>
              <w:lang w:val="fr-FR"/>
            </w:rPr>
            <w:t>PRIMAIRE</w:t>
          </w:r>
          <w:r w:rsidR="00776CD9" w:rsidRPr="00776CD9">
            <w:rPr>
              <w:i/>
              <w:lang w:val="fr-FR"/>
            </w:rPr>
            <w:t>-01</w:t>
          </w:r>
        </w:p>
      </w:tc>
      <w:tc>
        <w:tcPr>
          <w:tcW w:w="4066"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CF7DD1"/>
    <w:multiLevelType w:val="hybridMultilevel"/>
    <w:tmpl w:val="40903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20645"/>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2A146F"/>
    <w:rsid w:val="00343829"/>
    <w:rsid w:val="00343B9E"/>
    <w:rsid w:val="003631EA"/>
    <w:rsid w:val="00363E89"/>
    <w:rsid w:val="003929BA"/>
    <w:rsid w:val="003A4E76"/>
    <w:rsid w:val="003B3DA4"/>
    <w:rsid w:val="003D5E9F"/>
    <w:rsid w:val="003D7060"/>
    <w:rsid w:val="003F42E3"/>
    <w:rsid w:val="00464015"/>
    <w:rsid w:val="004818D8"/>
    <w:rsid w:val="00482296"/>
    <w:rsid w:val="004F6025"/>
    <w:rsid w:val="00502D01"/>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70096"/>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533D0"/>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679A2"/>
    <w:rsid w:val="00C77C0A"/>
    <w:rsid w:val="00CB0F41"/>
    <w:rsid w:val="00CC7462"/>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5560"/>
    <w:rsid w:val="00EB44AB"/>
    <w:rsid w:val="00EC776F"/>
    <w:rsid w:val="00EF2D14"/>
    <w:rsid w:val="00F00BF4"/>
    <w:rsid w:val="00F31FA9"/>
    <w:rsid w:val="00F358FF"/>
    <w:rsid w:val="00F35CCA"/>
    <w:rsid w:val="00F65002"/>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726</Words>
  <Characters>4143</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8</cp:revision>
  <cp:lastPrinted>2015-10-09T10:36:00Z</cp:lastPrinted>
  <dcterms:created xsi:type="dcterms:W3CDTF">2016-05-16T15:42:00Z</dcterms:created>
  <dcterms:modified xsi:type="dcterms:W3CDTF">2016-10-10T11:35:00Z</dcterms:modified>
</cp:coreProperties>
</file>