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EC776F" w:rsidRDefault="00C06869"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C06869">
        <w:rPr>
          <w:b/>
          <w:noProof/>
          <w:sz w:val="36"/>
          <w:lang w:val="fr-FR"/>
        </w:rPr>
        <w:t>Mode de paiement des flux cash OST hors ESES</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140482" w:rsidP="006D6846">
            <w:pPr>
              <w:tabs>
                <w:tab w:val="left" w:pos="9356"/>
              </w:tabs>
              <w:ind w:right="-279"/>
              <w:rPr>
                <w:lang w:val="fr-FR"/>
              </w:rPr>
            </w:pPr>
            <w:r>
              <w:rPr>
                <w:lang w:val="fr-FR"/>
              </w:rPr>
              <w:t>6 avril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013862"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140482" w:rsidRPr="00776CD9" w:rsidRDefault="00C06869" w:rsidP="00922B9C">
            <w:pPr>
              <w:spacing w:before="120"/>
              <w:jc w:val="both"/>
              <w:rPr>
                <w:rFonts w:eastAsia="MS Mincho" w:cs="Times New Roman"/>
                <w:noProof/>
                <w:szCs w:val="32"/>
                <w:lang w:val="fr-FR"/>
              </w:rPr>
            </w:pPr>
            <w:r w:rsidRPr="00C06869">
              <w:rPr>
                <w:rFonts w:eastAsia="MS Mincho" w:cs="Times New Roman"/>
                <w:noProof/>
                <w:szCs w:val="32"/>
                <w:lang w:val="fr-FR"/>
              </w:rPr>
              <w:t xml:space="preserve">Aujourd’hui les flux cash issus du traitement des OST se règlent par le compte T2 </w:t>
            </w:r>
            <w:r w:rsidR="00BC33D5">
              <w:rPr>
                <w:rFonts w:eastAsia="MS Mincho" w:cs="Times New Roman"/>
                <w:noProof/>
                <w:szCs w:val="32"/>
                <w:lang w:val="fr-FR"/>
              </w:rPr>
              <w:t xml:space="preserve">(Target 2) </w:t>
            </w:r>
            <w:r w:rsidRPr="00C06869">
              <w:rPr>
                <w:rFonts w:eastAsia="MS Mincho" w:cs="Times New Roman"/>
                <w:noProof/>
                <w:szCs w:val="32"/>
                <w:lang w:val="fr-FR"/>
              </w:rPr>
              <w:t>des établissements concernés.</w:t>
            </w:r>
          </w:p>
        </w:tc>
      </w:tr>
      <w:tr w:rsidR="00D103DA" w:rsidRPr="00013862"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013862"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C06869" w:rsidRDefault="00C06869" w:rsidP="00C06869">
            <w:pPr>
              <w:spacing w:before="120"/>
              <w:jc w:val="both"/>
              <w:rPr>
                <w:rFonts w:eastAsia="MS Mincho" w:cs="Times New Roman"/>
                <w:noProof/>
                <w:szCs w:val="32"/>
                <w:lang w:val="fr-FR"/>
              </w:rPr>
            </w:pPr>
            <w:r w:rsidRPr="000464E9">
              <w:rPr>
                <w:rFonts w:eastAsia="MS Mincho" w:cs="Times New Roman"/>
                <w:noProof/>
                <w:szCs w:val="32"/>
                <w:lang w:val="fr-FR"/>
              </w:rPr>
              <w:t xml:space="preserve">Les modalités de règlement des flux cash dans T2S lorsqu’ils sont liés au traitement d’une </w:t>
            </w:r>
            <w:r>
              <w:rPr>
                <w:rFonts w:eastAsia="MS Mincho" w:cs="Times New Roman"/>
                <w:noProof/>
                <w:szCs w:val="32"/>
                <w:lang w:val="fr-FR"/>
              </w:rPr>
              <w:t>Opérations Sur Titres (</w:t>
            </w:r>
            <w:r w:rsidRPr="000464E9">
              <w:rPr>
                <w:rFonts w:eastAsia="MS Mincho" w:cs="Times New Roman"/>
                <w:noProof/>
                <w:szCs w:val="32"/>
                <w:lang w:val="fr-FR"/>
              </w:rPr>
              <w:t>OST</w:t>
            </w:r>
            <w:r>
              <w:rPr>
                <w:rFonts w:eastAsia="MS Mincho" w:cs="Times New Roman"/>
                <w:noProof/>
                <w:szCs w:val="32"/>
                <w:lang w:val="fr-FR"/>
              </w:rPr>
              <w:t>)</w:t>
            </w:r>
            <w:r w:rsidRPr="000464E9">
              <w:rPr>
                <w:rFonts w:eastAsia="MS Mincho" w:cs="Times New Roman"/>
                <w:noProof/>
                <w:szCs w:val="32"/>
                <w:lang w:val="fr-FR"/>
              </w:rPr>
              <w:t xml:space="preserve"> </w:t>
            </w:r>
            <w:r>
              <w:rPr>
                <w:rFonts w:eastAsia="MS Mincho" w:cs="Times New Roman"/>
                <w:noProof/>
                <w:szCs w:val="32"/>
                <w:lang w:val="fr-FR"/>
              </w:rPr>
              <w:t xml:space="preserve">assurée par le CSD (ESES) </w:t>
            </w:r>
            <w:r w:rsidRPr="00D130DC">
              <w:rPr>
                <w:rFonts w:eastAsia="MS Mincho" w:cs="Times New Roman"/>
                <w:noProof/>
                <w:szCs w:val="32"/>
                <w:lang w:val="fr-FR"/>
              </w:rPr>
              <w:t xml:space="preserve">s’appuient sur le </w:t>
            </w:r>
            <w:r>
              <w:rPr>
                <w:rFonts w:eastAsia="MS Mincho" w:cs="Times New Roman"/>
                <w:noProof/>
                <w:szCs w:val="32"/>
                <w:lang w:val="fr-FR"/>
              </w:rPr>
              <w:t>Dedicated Cash Account</w:t>
            </w:r>
            <w:r w:rsidRPr="00D130DC">
              <w:rPr>
                <w:rFonts w:eastAsia="MS Mincho" w:cs="Times New Roman"/>
                <w:noProof/>
                <w:szCs w:val="32"/>
                <w:lang w:val="fr-FR"/>
              </w:rPr>
              <w:t xml:space="preserve"> </w:t>
            </w:r>
            <w:r>
              <w:rPr>
                <w:rFonts w:eastAsia="MS Mincho" w:cs="Times New Roman"/>
                <w:noProof/>
                <w:szCs w:val="32"/>
                <w:lang w:val="fr-FR"/>
              </w:rPr>
              <w:t xml:space="preserve">(DCA) </w:t>
            </w:r>
            <w:r w:rsidRPr="00D130DC">
              <w:rPr>
                <w:rFonts w:eastAsia="MS Mincho" w:cs="Times New Roman"/>
                <w:noProof/>
                <w:szCs w:val="32"/>
                <w:lang w:val="fr-FR"/>
              </w:rPr>
              <w:t>des établissements dans T2S.</w:t>
            </w:r>
          </w:p>
          <w:p w:rsidR="00C06869" w:rsidRDefault="00C06869" w:rsidP="00C06869">
            <w:pPr>
              <w:spacing w:before="120"/>
              <w:jc w:val="both"/>
              <w:rPr>
                <w:rFonts w:eastAsia="MS Mincho" w:cs="Times New Roman"/>
                <w:noProof/>
                <w:szCs w:val="32"/>
                <w:lang w:val="fr-FR"/>
              </w:rPr>
            </w:pPr>
            <w:r>
              <w:rPr>
                <w:rFonts w:eastAsia="MS Mincho" w:cs="Times New Roman"/>
                <w:noProof/>
                <w:szCs w:val="32"/>
                <w:lang w:val="fr-FR"/>
              </w:rPr>
              <w:t xml:space="preserve">Néanmoins, certains flux cash qui ne seront pas initiés par le CSD </w:t>
            </w:r>
            <w:r w:rsidR="00F61CE8">
              <w:rPr>
                <w:rFonts w:eastAsia="MS Mincho" w:cs="Times New Roman"/>
                <w:noProof/>
                <w:szCs w:val="32"/>
                <w:lang w:val="fr-FR"/>
              </w:rPr>
              <w:t xml:space="preserve">(Central system depository) </w:t>
            </w:r>
            <w:r>
              <w:rPr>
                <w:rFonts w:eastAsia="MS Mincho" w:cs="Times New Roman"/>
                <w:noProof/>
                <w:szCs w:val="32"/>
                <w:lang w:val="fr-FR"/>
              </w:rPr>
              <w:t xml:space="preserve">mais </w:t>
            </w:r>
            <w:r w:rsidRPr="00D130DC">
              <w:rPr>
                <w:rFonts w:eastAsia="MS Mincho" w:cs="Times New Roman"/>
                <w:noProof/>
                <w:szCs w:val="32"/>
                <w:lang w:val="fr-FR"/>
              </w:rPr>
              <w:t>par l</w:t>
            </w:r>
            <w:r>
              <w:rPr>
                <w:rFonts w:eastAsia="MS Mincho" w:cs="Times New Roman"/>
                <w:noProof/>
                <w:szCs w:val="32"/>
                <w:lang w:val="fr-FR"/>
              </w:rPr>
              <w:t>es TCC</w:t>
            </w:r>
            <w:r w:rsidR="00F61CE8">
              <w:rPr>
                <w:rFonts w:eastAsia="MS Mincho" w:cs="Times New Roman"/>
                <w:noProof/>
                <w:szCs w:val="32"/>
                <w:lang w:val="fr-FR"/>
              </w:rPr>
              <w:t xml:space="preserve"> (teneur de compte conservateur)</w:t>
            </w:r>
            <w:r>
              <w:rPr>
                <w:rFonts w:eastAsia="MS Mincho" w:cs="Times New Roman"/>
                <w:noProof/>
                <w:szCs w:val="32"/>
                <w:lang w:val="fr-FR"/>
              </w:rPr>
              <w:t xml:space="preserve"> ou par l</w:t>
            </w:r>
            <w:r w:rsidRPr="00D130DC">
              <w:rPr>
                <w:rFonts w:eastAsia="MS Mincho" w:cs="Times New Roman"/>
                <w:noProof/>
                <w:szCs w:val="32"/>
                <w:lang w:val="fr-FR"/>
              </w:rPr>
              <w:t xml:space="preserve">e centralisateur hors du système </w:t>
            </w:r>
            <w:r>
              <w:rPr>
                <w:rFonts w:eastAsia="MS Mincho" w:cs="Times New Roman"/>
                <w:noProof/>
                <w:szCs w:val="32"/>
                <w:lang w:val="fr-FR"/>
              </w:rPr>
              <w:t>T2S seront traités dans T2.</w:t>
            </w:r>
          </w:p>
          <w:p w:rsidR="00C06869" w:rsidRDefault="00013862" w:rsidP="00C06869">
            <w:pPr>
              <w:spacing w:before="120"/>
              <w:jc w:val="both"/>
              <w:rPr>
                <w:rFonts w:eastAsia="MS Mincho" w:cs="Times New Roman"/>
                <w:noProof/>
                <w:szCs w:val="32"/>
                <w:lang w:val="fr-FR"/>
              </w:rPr>
            </w:pPr>
            <w:r>
              <w:rPr>
                <w:rFonts w:eastAsia="MS Mincho" w:cs="Times New Roman"/>
                <w:noProof/>
                <w:szCs w:val="32"/>
                <w:lang w:val="fr-FR"/>
              </w:rPr>
              <w:t>Il s’agit pour l’essentiel des flux cash accessoires tels que les commissions, ainsi que de quelques OST spécifiques telles que les dividendes valeurs US QI, ou bien encore de réémission d’instructions suite à annulation d’une instruction sous-jacente pour application d’une OST sur flux de transformation obligatoire lorsque le code ISIN n’existe plus.</w:t>
            </w:r>
          </w:p>
          <w:p w:rsidR="00140482" w:rsidRPr="00113071" w:rsidRDefault="00C06869" w:rsidP="00C06869">
            <w:pPr>
              <w:spacing w:before="120"/>
              <w:jc w:val="both"/>
              <w:rPr>
                <w:rFonts w:eastAsia="MS Mincho" w:cs="Times New Roman"/>
                <w:noProof/>
                <w:szCs w:val="32"/>
                <w:lang w:val="fr-FR"/>
              </w:rPr>
            </w:pPr>
            <w:r>
              <w:rPr>
                <w:rFonts w:eastAsia="MS Mincho" w:cs="Times New Roman"/>
                <w:noProof/>
                <w:szCs w:val="32"/>
                <w:lang w:val="fr-FR"/>
              </w:rPr>
              <w:t>Cela ne remet évidemment pas en cause les flux cash réalisés dans le cadre d’un règlement contre livraison d’OST initiées sous forme d’instructions DVP dans T2S entre les TCC et le centralisateur.</w:t>
            </w:r>
          </w:p>
        </w:tc>
      </w:tr>
      <w:tr w:rsidR="0081511D" w:rsidRPr="00013862"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013862"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C06869" w:rsidRDefault="00C06869" w:rsidP="00C06869">
            <w:pPr>
              <w:spacing w:before="120"/>
              <w:jc w:val="both"/>
              <w:rPr>
                <w:rFonts w:eastAsia="MS Mincho" w:cs="Times New Roman"/>
                <w:noProof/>
                <w:szCs w:val="32"/>
                <w:lang w:val="fr-FR"/>
              </w:rPr>
            </w:pPr>
            <w:r>
              <w:rPr>
                <w:rFonts w:eastAsia="MS Mincho" w:cs="Times New Roman"/>
                <w:noProof/>
                <w:szCs w:val="32"/>
                <w:lang w:val="fr-FR"/>
              </w:rPr>
              <w:t>Les établissements souhaitent retrouver le meilleur niveau d’automatisation pour ces opérations hors ESES qui demeureront en partie manuelles.</w:t>
            </w:r>
          </w:p>
          <w:p w:rsidR="00C06869" w:rsidRDefault="00C06869" w:rsidP="00C06869">
            <w:pPr>
              <w:spacing w:before="120"/>
              <w:jc w:val="both"/>
              <w:rPr>
                <w:rFonts w:eastAsia="MS Mincho" w:cs="Times New Roman"/>
                <w:noProof/>
                <w:szCs w:val="32"/>
                <w:lang w:val="fr-FR"/>
              </w:rPr>
            </w:pPr>
            <w:r>
              <w:rPr>
                <w:rFonts w:eastAsia="MS Mincho" w:cs="Times New Roman"/>
                <w:noProof/>
                <w:szCs w:val="32"/>
                <w:lang w:val="fr-FR"/>
              </w:rPr>
              <w:t xml:space="preserve">Deux hypothèses concernant ces règlements initiés par le centralisateur hors système d’information Euroclear : </w:t>
            </w:r>
          </w:p>
          <w:p w:rsidR="00C06869" w:rsidRDefault="00C06869" w:rsidP="00C06869">
            <w:pPr>
              <w:spacing w:before="120"/>
              <w:jc w:val="both"/>
              <w:rPr>
                <w:rFonts w:eastAsia="MS Mincho" w:cs="Times New Roman"/>
                <w:noProof/>
                <w:szCs w:val="32"/>
                <w:lang w:val="fr-FR"/>
              </w:rPr>
            </w:pPr>
            <w:r>
              <w:rPr>
                <w:rFonts w:eastAsia="MS Mincho" w:cs="Times New Roman"/>
                <w:noProof/>
                <w:szCs w:val="32"/>
                <w:lang w:val="fr-FR"/>
              </w:rPr>
              <w:t>1 - Par les modalités de règlement actuelles, c’est-à-dire par le compte T2</w:t>
            </w:r>
          </w:p>
          <w:p w:rsidR="00C06869" w:rsidRDefault="00C06869" w:rsidP="00C06869">
            <w:pPr>
              <w:jc w:val="both"/>
              <w:rPr>
                <w:noProof/>
                <w:lang w:val="fr-FR"/>
              </w:rPr>
            </w:pPr>
            <w:r>
              <w:rPr>
                <w:rFonts w:ascii="Arial Narrow" w:hAnsi="Arial Narrow"/>
                <w:noProof/>
                <w:lang w:val="fr-FR"/>
              </w:rPr>
              <w:t>►</w:t>
            </w:r>
            <w:r>
              <w:rPr>
                <w:noProof/>
                <w:lang w:val="fr-FR"/>
              </w:rPr>
              <w:t xml:space="preserve"> Avantage : Ne pas trop changer les pratiques actuelles</w:t>
            </w:r>
          </w:p>
          <w:p w:rsidR="00C06869" w:rsidRDefault="00C06869" w:rsidP="00C06869">
            <w:pPr>
              <w:spacing w:before="120"/>
              <w:jc w:val="both"/>
              <w:rPr>
                <w:rFonts w:eastAsia="MS Mincho" w:cs="Times New Roman"/>
                <w:noProof/>
                <w:szCs w:val="32"/>
                <w:lang w:val="fr-FR"/>
              </w:rPr>
            </w:pPr>
            <w:r>
              <w:rPr>
                <w:rFonts w:eastAsia="MS Mincho" w:cs="Times New Roman"/>
                <w:noProof/>
                <w:szCs w:val="32"/>
                <w:lang w:val="fr-FR"/>
              </w:rPr>
              <w:t>2 - Par le biais du compte T2S : Mouvements espèces (PFOD)</w:t>
            </w:r>
          </w:p>
          <w:p w:rsidR="00C06869" w:rsidRDefault="00C06869" w:rsidP="00C06869">
            <w:pPr>
              <w:jc w:val="both"/>
              <w:rPr>
                <w:rFonts w:eastAsia="MS Mincho" w:cs="Times New Roman"/>
                <w:noProof/>
                <w:szCs w:val="32"/>
                <w:lang w:val="fr-FR"/>
              </w:rPr>
            </w:pPr>
            <w:r>
              <w:rPr>
                <w:rFonts w:ascii="Arial Narrow" w:eastAsia="MS Mincho" w:hAnsi="Arial Narrow" w:cs="Times New Roman"/>
                <w:noProof/>
                <w:szCs w:val="32"/>
                <w:lang w:val="fr-FR"/>
              </w:rPr>
              <w:t>►</w:t>
            </w:r>
            <w:r>
              <w:rPr>
                <w:rFonts w:eastAsia="MS Mincho" w:cs="Times New Roman"/>
                <w:noProof/>
                <w:szCs w:val="32"/>
                <w:lang w:val="fr-FR"/>
              </w:rPr>
              <w:t xml:space="preserve"> Avantage : Tous les flux sont traités et donc reçus dans le même système</w:t>
            </w:r>
          </w:p>
          <w:p w:rsidR="0081511D" w:rsidRPr="00113071" w:rsidRDefault="00C06869" w:rsidP="00C06869">
            <w:pPr>
              <w:spacing w:before="120"/>
              <w:jc w:val="both"/>
              <w:rPr>
                <w:rFonts w:eastAsia="MS Mincho" w:cs="Times New Roman"/>
                <w:noProof/>
                <w:szCs w:val="32"/>
                <w:lang w:val="fr-FR"/>
              </w:rPr>
            </w:pPr>
            <w:r>
              <w:rPr>
                <w:rFonts w:eastAsia="MS Mincho" w:cs="Times New Roman"/>
                <w:noProof/>
                <w:szCs w:val="32"/>
                <w:lang w:val="fr-FR"/>
              </w:rPr>
              <w:lastRenderedPageBreak/>
              <w:t>Ce mode de traitement devra être précisé dans le formulaire d’annonce unique ou Corporate Action Form (CA Form) car, même avec une pratique de marché commune pour le marché français, les autres acteurs devront être informés du mode de traitement.</w:t>
            </w:r>
          </w:p>
        </w:tc>
      </w:tr>
      <w:tr w:rsidR="0081511D" w:rsidRPr="00013862"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013862"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C06869" w:rsidRDefault="00C06869" w:rsidP="00C06869">
            <w:pPr>
              <w:pStyle w:val="ListParagraph"/>
              <w:numPr>
                <w:ilvl w:val="0"/>
                <w:numId w:val="3"/>
              </w:numPr>
              <w:spacing w:after="200" w:line="276" w:lineRule="auto"/>
              <w:ind w:left="317" w:hanging="284"/>
              <w:jc w:val="both"/>
              <w:rPr>
                <w:rFonts w:eastAsia="MS Mincho" w:cs="Times New Roman"/>
                <w:noProof/>
                <w:szCs w:val="32"/>
                <w:lang w:val="fr-FR"/>
              </w:rPr>
            </w:pPr>
            <w:r w:rsidRPr="0041767E">
              <w:rPr>
                <w:rFonts w:eastAsia="MS Mincho" w:cs="Times New Roman"/>
                <w:noProof/>
                <w:szCs w:val="32"/>
                <w:lang w:val="fr-FR"/>
              </w:rPr>
              <w:t>MS-MATCH-CRITE-01 : Coordonnées d’Instruction de Règlement-Livrai</w:t>
            </w:r>
            <w:r>
              <w:rPr>
                <w:rFonts w:eastAsia="MS Mincho" w:cs="Times New Roman"/>
                <w:noProof/>
                <w:szCs w:val="32"/>
                <w:lang w:val="fr-FR"/>
              </w:rPr>
              <w:t>s</w:t>
            </w:r>
            <w:r w:rsidRPr="0041767E">
              <w:rPr>
                <w:rFonts w:eastAsia="MS Mincho" w:cs="Times New Roman"/>
                <w:noProof/>
                <w:szCs w:val="32"/>
                <w:lang w:val="fr-FR"/>
              </w:rPr>
              <w:t>on (IRL) – Critères de matching obligatoires</w:t>
            </w:r>
          </w:p>
          <w:p w:rsidR="00C06869" w:rsidRPr="00C06869" w:rsidRDefault="00C06869" w:rsidP="00013862">
            <w:pPr>
              <w:pStyle w:val="ListParagraph"/>
              <w:numPr>
                <w:ilvl w:val="0"/>
                <w:numId w:val="3"/>
              </w:numPr>
              <w:spacing w:after="200" w:line="276" w:lineRule="auto"/>
              <w:ind w:left="317" w:hanging="284"/>
              <w:jc w:val="both"/>
              <w:rPr>
                <w:rFonts w:eastAsia="MS Mincho" w:cs="Times New Roman"/>
                <w:noProof/>
                <w:szCs w:val="32"/>
                <w:lang w:val="fr-FR"/>
              </w:rPr>
            </w:pPr>
            <w:r w:rsidRPr="00C06869">
              <w:rPr>
                <w:rFonts w:eastAsia="MS Mincho" w:cs="Times New Roman"/>
                <w:noProof/>
                <w:szCs w:val="32"/>
                <w:lang w:val="fr-FR"/>
              </w:rPr>
              <w:t>MS-MATCH-CRITE-02 : Usage du champs optionnel : client du participant du CSD</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013862"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013862" w:rsidRPr="00013862" w:rsidRDefault="00013862" w:rsidP="00013862">
            <w:pPr>
              <w:spacing w:before="120"/>
              <w:jc w:val="both"/>
              <w:rPr>
                <w:rFonts w:eastAsia="MS Mincho" w:cs="Times New Roman"/>
                <w:noProof/>
                <w:szCs w:val="32"/>
                <w:lang w:val="fr-FR"/>
              </w:rPr>
            </w:pPr>
            <w:r w:rsidRPr="00013862">
              <w:rPr>
                <w:rFonts w:eastAsia="MS Mincho" w:cs="Times New Roman"/>
                <w:noProof/>
                <w:szCs w:val="32"/>
                <w:lang w:val="fr-FR"/>
              </w:rPr>
              <w:t>Le Groupe Experts OST a conclu qu’il est plus sage de continuer à régler les commisisons OST, qui constituent l’essentiel des montants Cash réglés hors ESES, par le biais du compte T2. Les autres flux cash résiduels qui ne pourront être réglés par ESES seront également tra</w:t>
            </w:r>
            <w:r>
              <w:rPr>
                <w:rFonts w:eastAsia="MS Mincho" w:cs="Times New Roman"/>
                <w:noProof/>
                <w:szCs w:val="32"/>
                <w:lang w:val="fr-FR"/>
              </w:rPr>
              <w:t>ités par le biais du compte T2.</w:t>
            </w:r>
          </w:p>
          <w:p w:rsidR="00013862" w:rsidRPr="00013862" w:rsidRDefault="00013862" w:rsidP="00013862">
            <w:pPr>
              <w:spacing w:before="120"/>
              <w:jc w:val="both"/>
              <w:rPr>
                <w:rFonts w:eastAsia="MS Mincho" w:cs="Times New Roman"/>
                <w:noProof/>
                <w:szCs w:val="32"/>
                <w:lang w:val="fr-FR"/>
              </w:rPr>
            </w:pPr>
            <w:r w:rsidRPr="00013862">
              <w:rPr>
                <w:rFonts w:eastAsia="MS Mincho" w:cs="Times New Roman"/>
                <w:noProof/>
                <w:szCs w:val="32"/>
                <w:lang w:val="fr-FR"/>
              </w:rPr>
              <w:t xml:space="preserve">L’utilisation du compte T2 sera précisée dans les annonces OST, dans une zone commentaire. Cette information n’est en effet pas prévue </w:t>
            </w:r>
            <w:r>
              <w:rPr>
                <w:rFonts w:eastAsia="MS Mincho" w:cs="Times New Roman"/>
                <w:noProof/>
                <w:szCs w:val="32"/>
                <w:lang w:val="fr-FR"/>
              </w:rPr>
              <w:t>pour le moment dans le CA Form.</w:t>
            </w:r>
          </w:p>
          <w:p w:rsidR="00AA1FDB" w:rsidRPr="00C06869" w:rsidRDefault="00013862" w:rsidP="00C06869">
            <w:pPr>
              <w:spacing w:before="120"/>
              <w:jc w:val="both"/>
              <w:rPr>
                <w:rFonts w:eastAsia="MS Mincho" w:cs="Times New Roman"/>
                <w:noProof/>
                <w:szCs w:val="32"/>
                <w:lang w:val="fr-FR"/>
              </w:rPr>
            </w:pPr>
            <w:r w:rsidRPr="00013862">
              <w:rPr>
                <w:rFonts w:eastAsia="MS Mincho" w:cs="Times New Roman"/>
                <w:noProof/>
                <w:szCs w:val="32"/>
                <w:lang w:val="fr-FR"/>
              </w:rPr>
              <w:t xml:space="preserve">Ce principe sera applicable systématiquement aux acteurs du marché français. Il pourrait en revanche y avoir des exceptions lorsqu’un participant adhérent d’un autre CSD est impacté par une OST initiée par un acteur </w:t>
            </w:r>
            <w:r>
              <w:rPr>
                <w:rFonts w:eastAsia="MS Mincho" w:cs="Times New Roman"/>
                <w:noProof/>
                <w:szCs w:val="32"/>
                <w:lang w:val="fr-FR"/>
              </w:rPr>
              <w:t>du marché français.</w:t>
            </w:r>
          </w:p>
        </w:tc>
      </w:tr>
      <w:tr w:rsidR="00C06869" w:rsidRPr="00013862" w:rsidTr="0081511D">
        <w:trPr>
          <w:gridAfter w:val="1"/>
          <w:wAfter w:w="30" w:type="dxa"/>
        </w:trPr>
        <w:tc>
          <w:tcPr>
            <w:tcW w:w="2093" w:type="dxa"/>
            <w:shd w:val="clear" w:color="auto" w:fill="BFBFBF" w:themeFill="background1" w:themeFillShade="BF"/>
          </w:tcPr>
          <w:p w:rsidR="00C06869" w:rsidRDefault="00C06869" w:rsidP="00EC776F">
            <w:pPr>
              <w:rPr>
                <w:rFonts w:eastAsia="MS Mincho" w:cs="Times New Roman"/>
                <w:b/>
                <w:noProof/>
                <w:szCs w:val="32"/>
                <w:lang w:val="fr-FR"/>
              </w:rPr>
            </w:pPr>
            <w:r>
              <w:rPr>
                <w:rFonts w:eastAsia="MS Mincho" w:cs="Times New Roman"/>
                <w:b/>
                <w:noProof/>
                <w:szCs w:val="32"/>
                <w:lang w:val="fr-FR"/>
              </w:rPr>
              <w:t>Raisons du choix</w:t>
            </w:r>
          </w:p>
        </w:tc>
        <w:tc>
          <w:tcPr>
            <w:tcW w:w="7483" w:type="dxa"/>
          </w:tcPr>
          <w:p w:rsidR="00013862" w:rsidRPr="00013862" w:rsidRDefault="00013862" w:rsidP="00013862">
            <w:pPr>
              <w:spacing w:before="120"/>
              <w:jc w:val="both"/>
              <w:rPr>
                <w:rFonts w:eastAsia="MS Mincho" w:cs="Times New Roman"/>
                <w:noProof/>
                <w:szCs w:val="32"/>
                <w:lang w:val="fr-FR"/>
              </w:rPr>
            </w:pPr>
            <w:r w:rsidRPr="00013862">
              <w:rPr>
                <w:rFonts w:eastAsia="MS Mincho" w:cs="Times New Roman"/>
                <w:noProof/>
                <w:szCs w:val="32"/>
                <w:lang w:val="fr-FR"/>
              </w:rPr>
              <w:t>Il semble que le suivi des flux cash issus d’ESES arrivant sur le compte T2S demeure pour le moment assez délicat. C’est pourquoi, le GEO recommande de ne pas y ajouter d’autres flux de cash, et ce au minimum pour le démarrage de T2S ainsi que pour les premiers mois de fonctionnement.</w:t>
            </w:r>
          </w:p>
          <w:p w:rsidR="00C06869" w:rsidRDefault="00013862" w:rsidP="00013862">
            <w:pPr>
              <w:spacing w:before="120"/>
              <w:jc w:val="both"/>
              <w:rPr>
                <w:rFonts w:eastAsia="MS Mincho" w:cs="Times New Roman"/>
                <w:noProof/>
                <w:szCs w:val="32"/>
                <w:lang w:val="fr-FR"/>
              </w:rPr>
            </w:pPr>
            <w:r w:rsidRPr="00013862">
              <w:rPr>
                <w:rFonts w:eastAsia="MS Mincho" w:cs="Times New Roman"/>
                <w:noProof/>
                <w:szCs w:val="32"/>
                <w:lang w:val="fr-FR"/>
              </w:rPr>
              <w:t>Cette pratique pourra être revue si les établissements le souhaitent.</w:t>
            </w:r>
          </w:p>
        </w:tc>
      </w:tr>
      <w:tr w:rsidR="0081511D" w:rsidRPr="00013862"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lastRenderedPageBreak/>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013862"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01386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C41782">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bookmarkStart w:id="0" w:name="_GoBack"/>
      <w:bookmarkEnd w:id="0"/>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A7E" w:rsidRDefault="00F23A7E" w:rsidP="006D6846">
      <w:pPr>
        <w:spacing w:after="0" w:line="240" w:lineRule="auto"/>
      </w:pPr>
      <w:r>
        <w:separator/>
      </w:r>
    </w:p>
  </w:endnote>
  <w:endnote w:type="continuationSeparator" w:id="0">
    <w:p w:rsidR="00F23A7E" w:rsidRDefault="00F23A7E"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422049"/>
      <w:docPartObj>
        <w:docPartGallery w:val="Page Numbers (Bottom of Page)"/>
        <w:docPartUnique/>
      </w:docPartObj>
    </w:sdtPr>
    <w:sdtEndPr/>
    <w:sdtContent>
      <w:sdt>
        <w:sdtPr>
          <w:id w:val="-1769616900"/>
          <w:docPartObj>
            <w:docPartGallery w:val="Page Numbers (Top of Page)"/>
            <w:docPartUnique/>
          </w:docPartObj>
        </w:sdtPr>
        <w:sdtEndPr/>
        <w:sdtContent>
          <w:p w:rsidR="00F61CE8" w:rsidRDefault="00F61CE8">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013862">
              <w:rPr>
                <w:b/>
                <w:bCs/>
                <w:noProof/>
              </w:rPr>
              <w:t>3</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013862">
              <w:rPr>
                <w:b/>
                <w:bCs/>
                <w:noProof/>
              </w:rPr>
              <w:t>3</w:t>
            </w:r>
            <w:r>
              <w:rPr>
                <w:b/>
                <w:bCs/>
                <w:sz w:val="24"/>
                <w:szCs w:val="24"/>
              </w:rPr>
              <w:fldChar w:fldCharType="end"/>
            </w:r>
          </w:p>
        </w:sdtContent>
      </w:sdt>
    </w:sdtContent>
  </w:sdt>
  <w:p w:rsidR="00EC776F" w:rsidRDefault="00EC776F" w:rsidP="00F61CE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A7E" w:rsidRDefault="00F23A7E" w:rsidP="006D6846">
      <w:pPr>
        <w:spacing w:after="0" w:line="240" w:lineRule="auto"/>
      </w:pPr>
      <w:r>
        <w:separator/>
      </w:r>
    </w:p>
  </w:footnote>
  <w:footnote w:type="continuationSeparator" w:id="0">
    <w:p w:rsidR="00F23A7E" w:rsidRDefault="00F23A7E"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6"/>
      <w:gridCol w:w="4153"/>
    </w:tblGrid>
    <w:tr w:rsidR="00EC776F" w:rsidTr="00F61CE8">
      <w:trPr>
        <w:trHeight w:val="853"/>
      </w:trPr>
      <w:tc>
        <w:tcPr>
          <w:tcW w:w="6266"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4153" w:type="dxa"/>
          <w:vAlign w:val="center"/>
        </w:tcPr>
        <w:p w:rsidR="00EC776F" w:rsidRDefault="00EC776F" w:rsidP="00F61CE8">
          <w:pPr>
            <w:pStyle w:val="Header"/>
            <w:rPr>
              <w:b/>
              <w:lang w:val="fr-FR"/>
            </w:rPr>
          </w:pPr>
          <w:r>
            <w:rPr>
              <w:noProof/>
            </w:rPr>
            <w:drawing>
              <wp:inline distT="0" distB="0" distL="0" distR="0" wp14:anchorId="0A8EAE04" wp14:editId="1EB6906B">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F61CE8">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42.65pt" o:ole="">
                <v:imagedata r:id="rId2" o:title=""/>
              </v:shape>
              <o:OLEObject Type="Embed" ProgID="PBrush" ShapeID="_x0000_i1025" DrawAspect="Content" ObjectID="_1534304621" r:id="rId3"/>
            </w:object>
          </w:r>
        </w:p>
      </w:tc>
    </w:tr>
    <w:tr w:rsidR="00EC776F" w:rsidRPr="00013862" w:rsidTr="00F61CE8">
      <w:trPr>
        <w:trHeight w:val="276"/>
      </w:trPr>
      <w:tc>
        <w:tcPr>
          <w:tcW w:w="6266" w:type="dxa"/>
          <w:vAlign w:val="center"/>
        </w:tcPr>
        <w:p w:rsidR="00EC776F" w:rsidRPr="00EC776F" w:rsidRDefault="00EC776F" w:rsidP="00F61CE8">
          <w:pPr>
            <w:pStyle w:val="Header"/>
            <w:jc w:val="center"/>
            <w:rPr>
              <w:i/>
              <w:lang w:val="fr-FR"/>
            </w:rPr>
          </w:pPr>
          <w:r>
            <w:rPr>
              <w:i/>
              <w:lang w:val="fr-FR"/>
            </w:rPr>
            <w:t xml:space="preserve">Référence de la pratique : </w:t>
          </w:r>
          <w:r w:rsidR="00C06869" w:rsidRPr="00C06869">
            <w:rPr>
              <w:i/>
              <w:lang w:val="fr-FR"/>
            </w:rPr>
            <w:t>OF-OST-RETRO-01</w:t>
          </w:r>
        </w:p>
      </w:tc>
      <w:tc>
        <w:tcPr>
          <w:tcW w:w="4153"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13862"/>
    <w:rsid w:val="00020084"/>
    <w:rsid w:val="000706A3"/>
    <w:rsid w:val="000A6C94"/>
    <w:rsid w:val="000C1C9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343829"/>
    <w:rsid w:val="00343B9E"/>
    <w:rsid w:val="003631EA"/>
    <w:rsid w:val="00363E89"/>
    <w:rsid w:val="003929BA"/>
    <w:rsid w:val="003A4E76"/>
    <w:rsid w:val="003B3DA4"/>
    <w:rsid w:val="003D5E9F"/>
    <w:rsid w:val="003D7060"/>
    <w:rsid w:val="00464015"/>
    <w:rsid w:val="004818D8"/>
    <w:rsid w:val="00482296"/>
    <w:rsid w:val="00487A07"/>
    <w:rsid w:val="004F6025"/>
    <w:rsid w:val="005061BA"/>
    <w:rsid w:val="005067E0"/>
    <w:rsid w:val="0051485E"/>
    <w:rsid w:val="00567B1D"/>
    <w:rsid w:val="00575F36"/>
    <w:rsid w:val="005C2ACA"/>
    <w:rsid w:val="00622E8A"/>
    <w:rsid w:val="00625541"/>
    <w:rsid w:val="00652C13"/>
    <w:rsid w:val="00694503"/>
    <w:rsid w:val="0069580E"/>
    <w:rsid w:val="006D6846"/>
    <w:rsid w:val="00701AE2"/>
    <w:rsid w:val="00714CE6"/>
    <w:rsid w:val="00727BF7"/>
    <w:rsid w:val="0074709E"/>
    <w:rsid w:val="00765664"/>
    <w:rsid w:val="00770CDD"/>
    <w:rsid w:val="00776CD9"/>
    <w:rsid w:val="007B7B10"/>
    <w:rsid w:val="007C7303"/>
    <w:rsid w:val="007F6CFC"/>
    <w:rsid w:val="0080446B"/>
    <w:rsid w:val="0081511D"/>
    <w:rsid w:val="00830B7B"/>
    <w:rsid w:val="00837334"/>
    <w:rsid w:val="00841E84"/>
    <w:rsid w:val="0085743B"/>
    <w:rsid w:val="008800A4"/>
    <w:rsid w:val="00893912"/>
    <w:rsid w:val="008A30A6"/>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33D5"/>
    <w:rsid w:val="00BC7577"/>
    <w:rsid w:val="00BE4C60"/>
    <w:rsid w:val="00C06869"/>
    <w:rsid w:val="00C070B0"/>
    <w:rsid w:val="00C1000A"/>
    <w:rsid w:val="00C221EA"/>
    <w:rsid w:val="00C33595"/>
    <w:rsid w:val="00C3423B"/>
    <w:rsid w:val="00C41782"/>
    <w:rsid w:val="00C43D15"/>
    <w:rsid w:val="00C57689"/>
    <w:rsid w:val="00C60EC8"/>
    <w:rsid w:val="00C65EB2"/>
    <w:rsid w:val="00C77C0A"/>
    <w:rsid w:val="00CB0F41"/>
    <w:rsid w:val="00CC7462"/>
    <w:rsid w:val="00CD3755"/>
    <w:rsid w:val="00CE6DA3"/>
    <w:rsid w:val="00CF605A"/>
    <w:rsid w:val="00D103DA"/>
    <w:rsid w:val="00D12DE8"/>
    <w:rsid w:val="00D252A7"/>
    <w:rsid w:val="00D50DB6"/>
    <w:rsid w:val="00D529B3"/>
    <w:rsid w:val="00D53037"/>
    <w:rsid w:val="00D534D5"/>
    <w:rsid w:val="00D5515F"/>
    <w:rsid w:val="00DB106F"/>
    <w:rsid w:val="00DD071C"/>
    <w:rsid w:val="00E351C1"/>
    <w:rsid w:val="00E35B86"/>
    <w:rsid w:val="00E438E3"/>
    <w:rsid w:val="00E52109"/>
    <w:rsid w:val="00E62EAE"/>
    <w:rsid w:val="00EA5560"/>
    <w:rsid w:val="00EB44AB"/>
    <w:rsid w:val="00EC776F"/>
    <w:rsid w:val="00F00BF4"/>
    <w:rsid w:val="00F23A7E"/>
    <w:rsid w:val="00F358FF"/>
    <w:rsid w:val="00F35CCA"/>
    <w:rsid w:val="00F61CE8"/>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600</Words>
  <Characters>3424</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6</cp:revision>
  <cp:lastPrinted>2015-10-09T10:36:00Z</cp:lastPrinted>
  <dcterms:created xsi:type="dcterms:W3CDTF">2016-05-16T16:05:00Z</dcterms:created>
  <dcterms:modified xsi:type="dcterms:W3CDTF">2016-09-02T04:57:00Z</dcterms:modified>
</cp:coreProperties>
</file>