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bookmarkEnd w:id="0"/>
    </w:p>
    <w:p w:rsidR="00575F36" w:rsidRPr="00EC776F" w:rsidRDefault="00F45CCC"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F45CCC">
        <w:rPr>
          <w:b/>
          <w:noProof/>
          <w:sz w:val="36"/>
          <w:lang w:val="fr-FR"/>
        </w:rPr>
        <w:t>Impact de T2S sur le nominatif</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F45CCC" w:rsidP="006D6846">
            <w:pPr>
              <w:tabs>
                <w:tab w:val="left" w:pos="9356"/>
              </w:tabs>
              <w:ind w:right="-279"/>
              <w:rPr>
                <w:lang w:val="fr-FR"/>
              </w:rPr>
            </w:pPr>
            <w:r>
              <w:rPr>
                <w:lang w:val="fr-FR"/>
              </w:rPr>
              <w:t xml:space="preserve">29 août </w:t>
            </w:r>
            <w:r w:rsidR="00140482">
              <w:rPr>
                <w:lang w:val="fr-FR"/>
              </w:rPr>
              <w:t>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F45CCC"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F45CCC" w:rsidRPr="00F45CCC" w:rsidRDefault="00F45CCC" w:rsidP="00F45CCC">
            <w:pPr>
              <w:spacing w:before="120"/>
              <w:jc w:val="both"/>
              <w:rPr>
                <w:rFonts w:eastAsia="MS Mincho" w:cs="Times New Roman"/>
                <w:noProof/>
                <w:szCs w:val="32"/>
                <w:lang w:val="fr-FR"/>
              </w:rPr>
            </w:pPr>
            <w:r w:rsidRPr="00F45CCC">
              <w:rPr>
                <w:rFonts w:eastAsia="MS Mincho" w:cs="Times New Roman"/>
                <w:noProof/>
                <w:szCs w:val="32"/>
                <w:lang w:val="fr-FR"/>
              </w:rPr>
              <w:t>Les flux titres relatifs à des titres nominatifs sont traités actuellement par le biais d’ordres « franco de titres » ou bien de « SLAB à montant zéro » lorsque les établissements souhaitent mettre en place un appariement.</w:t>
            </w:r>
          </w:p>
          <w:p w:rsidR="00140482" w:rsidRPr="00776CD9" w:rsidRDefault="00F45CCC" w:rsidP="00F45CCC">
            <w:pPr>
              <w:spacing w:before="120"/>
              <w:jc w:val="both"/>
              <w:rPr>
                <w:rFonts w:eastAsia="MS Mincho" w:cs="Times New Roman"/>
                <w:noProof/>
                <w:szCs w:val="32"/>
                <w:lang w:val="fr-FR"/>
              </w:rPr>
            </w:pPr>
            <w:r w:rsidRPr="00F45CCC">
              <w:rPr>
                <w:rFonts w:eastAsia="MS Mincho" w:cs="Times New Roman"/>
                <w:noProof/>
                <w:szCs w:val="32"/>
                <w:lang w:val="fr-FR"/>
              </w:rPr>
              <w:t>Euroclear procède à différents contrôles de pré-dénouement et ce notamment sur le Code Type Opération (CTO) pour vérifier la compatibilité des Natures de Compte (NdC) en cas de mouvements sur des titres au nominatif.</w:t>
            </w:r>
          </w:p>
        </w:tc>
      </w:tr>
      <w:tr w:rsidR="00D103DA" w:rsidRPr="00F45CCC"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F45CCC"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F45CCC" w:rsidRDefault="00F45CCC" w:rsidP="00F45CCC">
            <w:pPr>
              <w:jc w:val="both"/>
              <w:rPr>
                <w:rFonts w:eastAsia="MS Mincho" w:cs="Times New Roman"/>
                <w:noProof/>
                <w:szCs w:val="32"/>
                <w:lang w:val="fr-FR"/>
              </w:rPr>
            </w:pPr>
            <w:r>
              <w:rPr>
                <w:rFonts w:eastAsia="MS Mincho" w:cs="Times New Roman"/>
                <w:noProof/>
                <w:szCs w:val="32"/>
                <w:lang w:val="fr-FR"/>
              </w:rPr>
              <w:t>Dans T2S, tous les flux titres (FOP, DVP/RVP, DWP/RWP) font l’objet d’un appariement. Les flux sur titres détenus au nominatif, pourront être traités au moyen de l’offre de service d’Euroclear France via les « free of payment (FOP) already matched » ou bien par le biais d’ordres « Delivery versus Payment (DVP) à montant zéro » saisis via Euroclear ou directement via T2S.</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sidRPr="00F967B2">
              <w:rPr>
                <w:rFonts w:eastAsia="MS Mincho" w:cs="Times New Roman"/>
                <w:b/>
                <w:i/>
                <w:noProof/>
                <w:szCs w:val="32"/>
                <w:u w:val="single"/>
                <w:lang w:val="fr-FR"/>
              </w:rPr>
              <w:t>Pour rappel :</w:t>
            </w:r>
            <w:r w:rsidRPr="00F967B2">
              <w:rPr>
                <w:rFonts w:eastAsia="MS Mincho" w:cs="Times New Roman"/>
                <w:b/>
                <w:i/>
                <w:noProof/>
                <w:szCs w:val="32"/>
                <w:lang w:val="fr-FR"/>
              </w:rPr>
              <w:t xml:space="preserve"> </w:t>
            </w:r>
            <w:r>
              <w:rPr>
                <w:rFonts w:eastAsia="MS Mincho" w:cs="Times New Roman"/>
                <w:noProof/>
                <w:szCs w:val="32"/>
                <w:lang w:val="fr-FR"/>
              </w:rPr>
              <w:t>L’offre de service d’euroclear ne sera disponible que lorsque les deux contreparties sont adhérentes Euroclear et auront souscrit l’abonnement correspondant. A noter que pendant la période transitoire jusqu’au démarrage de Stream 6, seconde phase du projet d’harmonisation européenne des OST HDD HDR, l’abonnement sera sans frais, de ce fait les deux contreparties adhérentes d’Euroclear France seront abonnées d’office au service.</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p>
          <w:p w:rsidR="00F45CCC" w:rsidRPr="00F967B2" w:rsidRDefault="00F45CCC" w:rsidP="00F45CCC">
            <w:pPr>
              <w:pStyle w:val="ListParagraph"/>
              <w:numPr>
                <w:ilvl w:val="0"/>
                <w:numId w:val="14"/>
              </w:numPr>
              <w:jc w:val="both"/>
              <w:rPr>
                <w:rFonts w:eastAsia="MS Mincho" w:cs="Times New Roman"/>
                <w:b/>
                <w:noProof/>
                <w:szCs w:val="32"/>
                <w:lang w:val="fr-FR"/>
              </w:rPr>
            </w:pPr>
            <w:r w:rsidRPr="00F967B2">
              <w:rPr>
                <w:rFonts w:eastAsia="MS Mincho" w:cs="Times New Roman"/>
                <w:b/>
                <w:noProof/>
                <w:szCs w:val="32"/>
                <w:lang w:val="fr-FR"/>
              </w:rPr>
              <w:t>Le choix entre les types d’instruction se fera selon la nature de l’opération :</w:t>
            </w:r>
          </w:p>
          <w:p w:rsidR="00F45CCC" w:rsidRDefault="00F45CCC" w:rsidP="00F45CCC">
            <w:pPr>
              <w:jc w:val="both"/>
              <w:rPr>
                <w:rFonts w:eastAsia="MS Mincho" w:cs="Times New Roman"/>
                <w:noProof/>
                <w:szCs w:val="32"/>
                <w:lang w:val="fr-FR"/>
              </w:rPr>
            </w:pPr>
          </w:p>
          <w:p w:rsidR="00F45CCC" w:rsidRDefault="00F45CCC" w:rsidP="00F45CCC">
            <w:pPr>
              <w:pStyle w:val="ListParagraph"/>
              <w:numPr>
                <w:ilvl w:val="0"/>
                <w:numId w:val="12"/>
              </w:numPr>
              <w:jc w:val="both"/>
              <w:rPr>
                <w:rFonts w:eastAsia="MS Mincho" w:cs="Times New Roman"/>
                <w:noProof/>
                <w:szCs w:val="32"/>
                <w:lang w:val="fr-FR"/>
              </w:rPr>
            </w:pPr>
            <w:r w:rsidRPr="008E2254">
              <w:rPr>
                <w:rFonts w:eastAsia="MS Mincho" w:cs="Times New Roman"/>
                <w:noProof/>
                <w:szCs w:val="32"/>
                <w:lang w:val="fr-FR"/>
              </w:rPr>
              <w:t>Les flux relatifs à des opérations d’achat vente sans cash seront traités par des DVP à montant zéro (attention cut off 16h)</w:t>
            </w:r>
            <w:r>
              <w:rPr>
                <w:rFonts w:eastAsia="MS Mincho" w:cs="Times New Roman"/>
                <w:noProof/>
                <w:szCs w:val="32"/>
                <w:lang w:val="fr-FR"/>
              </w:rPr>
              <w:t> . Ces instructions sont liées à</w:t>
            </w:r>
            <w:r w:rsidRPr="008E2254">
              <w:rPr>
                <w:rFonts w:eastAsia="MS Mincho" w:cs="Times New Roman"/>
                <w:noProof/>
                <w:szCs w:val="32"/>
                <w:lang w:val="fr-FR"/>
              </w:rPr>
              <w:t xml:space="preserve"> des opérations </w:t>
            </w:r>
            <w:r>
              <w:rPr>
                <w:rFonts w:eastAsia="MS Mincho" w:cs="Times New Roman"/>
                <w:noProof/>
                <w:szCs w:val="32"/>
                <w:lang w:val="fr-FR"/>
              </w:rPr>
              <w:t>emportant</w:t>
            </w:r>
            <w:r w:rsidRPr="008E2254">
              <w:rPr>
                <w:rFonts w:eastAsia="MS Mincho" w:cs="Times New Roman"/>
                <w:noProof/>
                <w:szCs w:val="32"/>
                <w:lang w:val="fr-FR"/>
              </w:rPr>
              <w:t xml:space="preserve"> transfert de propriété.</w:t>
            </w:r>
          </w:p>
          <w:p w:rsidR="00F45CCC" w:rsidRPr="008E2254" w:rsidRDefault="00F45CCC" w:rsidP="00F45CCC">
            <w:pPr>
              <w:pStyle w:val="ListParagraph"/>
              <w:jc w:val="both"/>
              <w:rPr>
                <w:rFonts w:eastAsia="MS Mincho" w:cs="Times New Roman"/>
                <w:noProof/>
                <w:szCs w:val="32"/>
                <w:lang w:val="fr-FR"/>
              </w:rPr>
            </w:pPr>
          </w:p>
          <w:p w:rsidR="00F45CCC" w:rsidRDefault="00F45CCC" w:rsidP="00F45CCC">
            <w:pPr>
              <w:pStyle w:val="ListParagraph"/>
              <w:numPr>
                <w:ilvl w:val="0"/>
                <w:numId w:val="12"/>
              </w:numPr>
              <w:jc w:val="both"/>
              <w:rPr>
                <w:rFonts w:eastAsia="MS Mincho" w:cs="Times New Roman"/>
                <w:noProof/>
                <w:szCs w:val="32"/>
                <w:lang w:val="fr-FR"/>
              </w:rPr>
            </w:pPr>
            <w:r w:rsidRPr="008E2254">
              <w:rPr>
                <w:rFonts w:eastAsia="MS Mincho" w:cs="Times New Roman"/>
                <w:noProof/>
                <w:szCs w:val="32"/>
                <w:lang w:val="fr-FR"/>
              </w:rPr>
              <w:t xml:space="preserve">En revanche, toutes les autres opérations traitées actuellement par le </w:t>
            </w:r>
            <w:r w:rsidRPr="008E2254">
              <w:rPr>
                <w:rFonts w:eastAsia="MS Mincho" w:cs="Times New Roman"/>
                <w:noProof/>
                <w:szCs w:val="32"/>
                <w:lang w:val="fr-FR"/>
              </w:rPr>
              <w:lastRenderedPageBreak/>
              <w:t>biais d</w:t>
            </w:r>
            <w:r>
              <w:rPr>
                <w:rFonts w:eastAsia="MS Mincho" w:cs="Times New Roman"/>
                <w:noProof/>
                <w:szCs w:val="32"/>
                <w:lang w:val="fr-FR"/>
              </w:rPr>
              <w:t>’ordres</w:t>
            </w:r>
            <w:r w:rsidRPr="008E2254">
              <w:rPr>
                <w:rFonts w:eastAsia="MS Mincho" w:cs="Times New Roman"/>
                <w:noProof/>
                <w:szCs w:val="32"/>
                <w:lang w:val="fr-FR"/>
              </w:rPr>
              <w:t xml:space="preserve"> franco seront à traiter par le biais de </w:t>
            </w:r>
            <w:r>
              <w:rPr>
                <w:rFonts w:eastAsia="MS Mincho" w:cs="Times New Roman"/>
                <w:noProof/>
                <w:szCs w:val="32"/>
                <w:lang w:val="fr-FR"/>
              </w:rPr>
              <w:t xml:space="preserve">(FOP) </w:t>
            </w:r>
            <w:r w:rsidRPr="008E2254">
              <w:rPr>
                <w:rFonts w:eastAsia="MS Mincho" w:cs="Times New Roman"/>
                <w:noProof/>
                <w:szCs w:val="32"/>
                <w:lang w:val="fr-FR"/>
              </w:rPr>
              <w:t xml:space="preserve">Free of Payment already matched </w:t>
            </w:r>
            <w:r>
              <w:rPr>
                <w:rFonts w:eastAsia="MS Mincho" w:cs="Times New Roman"/>
                <w:noProof/>
                <w:szCs w:val="32"/>
                <w:lang w:val="fr-FR"/>
              </w:rPr>
              <w:t xml:space="preserve">ou à matcher </w:t>
            </w:r>
            <w:r w:rsidRPr="008E2254">
              <w:rPr>
                <w:rFonts w:eastAsia="MS Mincho" w:cs="Times New Roman"/>
                <w:noProof/>
                <w:szCs w:val="32"/>
                <w:lang w:val="fr-FR"/>
              </w:rPr>
              <w:t xml:space="preserve">(cut-off 18h), </w:t>
            </w:r>
            <w:r>
              <w:rPr>
                <w:rFonts w:eastAsia="MS Mincho" w:cs="Times New Roman"/>
                <w:noProof/>
                <w:szCs w:val="32"/>
                <w:lang w:val="fr-FR"/>
              </w:rPr>
              <w:t xml:space="preserve">qui n’emportent pas transfert de propriété. </w:t>
            </w:r>
          </w:p>
          <w:p w:rsidR="00F45CCC" w:rsidRDefault="00F45CCC" w:rsidP="00F45CCC">
            <w:pPr>
              <w:pStyle w:val="ListParagraph"/>
              <w:jc w:val="both"/>
              <w:rPr>
                <w:rFonts w:eastAsia="MS Mincho" w:cs="Times New Roman"/>
                <w:noProof/>
                <w:szCs w:val="32"/>
                <w:lang w:val="fr-FR"/>
              </w:rPr>
            </w:pPr>
          </w:p>
          <w:p w:rsidR="00F45CCC" w:rsidRDefault="00F45CCC" w:rsidP="00F45CCC">
            <w:pPr>
              <w:pStyle w:val="ListParagraph"/>
              <w:jc w:val="both"/>
              <w:rPr>
                <w:rFonts w:eastAsia="MS Mincho" w:cs="Times New Roman"/>
                <w:noProof/>
                <w:szCs w:val="32"/>
                <w:lang w:val="fr-FR"/>
              </w:rPr>
            </w:pPr>
          </w:p>
          <w:p w:rsidR="00F45CCC" w:rsidRPr="00F967B2" w:rsidRDefault="00F45CCC" w:rsidP="00F45CCC">
            <w:pPr>
              <w:pStyle w:val="ListParagraph"/>
              <w:numPr>
                <w:ilvl w:val="0"/>
                <w:numId w:val="14"/>
              </w:numPr>
              <w:jc w:val="both"/>
              <w:rPr>
                <w:rFonts w:eastAsia="MS Mincho" w:cs="Times New Roman"/>
                <w:b/>
                <w:noProof/>
                <w:szCs w:val="32"/>
                <w:lang w:val="fr-FR"/>
              </w:rPr>
            </w:pPr>
            <w:r w:rsidRPr="00F967B2">
              <w:rPr>
                <w:rFonts w:eastAsia="MS Mincho" w:cs="Times New Roman"/>
                <w:b/>
                <w:noProof/>
                <w:szCs w:val="32"/>
                <w:lang w:val="fr-FR"/>
              </w:rPr>
              <w:t>Liste des CTO utilisés pour les instructions en fonction de la nature de l’opération :</w:t>
            </w:r>
          </w:p>
          <w:p w:rsidR="00F45CCC" w:rsidRDefault="00F45CCC" w:rsidP="00F45CCC">
            <w:pPr>
              <w:jc w:val="both"/>
              <w:rPr>
                <w:rFonts w:eastAsia="MS Mincho" w:cs="Times New Roman"/>
                <w:noProof/>
                <w:szCs w:val="32"/>
                <w:lang w:val="fr-FR"/>
              </w:rPr>
            </w:pPr>
          </w:p>
          <w:p w:rsidR="00F45CCC" w:rsidRPr="00F967B2" w:rsidRDefault="00F45CCC" w:rsidP="00F45CCC">
            <w:pPr>
              <w:pStyle w:val="ListParagraph"/>
              <w:numPr>
                <w:ilvl w:val="0"/>
                <w:numId w:val="13"/>
              </w:numPr>
              <w:jc w:val="both"/>
              <w:rPr>
                <w:rFonts w:eastAsia="MS Mincho" w:cs="Times New Roman"/>
                <w:b/>
                <w:noProof/>
                <w:szCs w:val="32"/>
                <w:lang w:val="fr-FR"/>
              </w:rPr>
            </w:pPr>
            <w:r w:rsidRPr="00F967B2">
              <w:rPr>
                <w:rFonts w:eastAsia="MS Mincho" w:cs="Times New Roman"/>
                <w:b/>
                <w:noProof/>
                <w:szCs w:val="32"/>
                <w:lang w:val="fr-FR"/>
              </w:rPr>
              <w:t>Le FOP</w:t>
            </w:r>
            <w:r>
              <w:rPr>
                <w:rFonts w:eastAsia="MS Mincho" w:cs="Times New Roman"/>
                <w:b/>
                <w:noProof/>
                <w:szCs w:val="32"/>
                <w:lang w:val="fr-FR"/>
              </w:rPr>
              <w:t xml:space="preserve"> (already matched/à matcher)</w:t>
            </w:r>
            <w:r w:rsidRPr="00F967B2">
              <w:rPr>
                <w:rFonts w:eastAsia="MS Mincho" w:cs="Times New Roman"/>
                <w:b/>
                <w:noProof/>
                <w:szCs w:val="32"/>
                <w:lang w:val="fr-FR"/>
              </w:rPr>
              <w:t xml:space="preserve"> peut porter les CTO suivants :</w:t>
            </w:r>
          </w:p>
          <w:p w:rsidR="00F45CCC" w:rsidRPr="009D2B2C" w:rsidRDefault="00F45CCC" w:rsidP="00F45CCC">
            <w:pPr>
              <w:pStyle w:val="ListParagraph"/>
              <w:numPr>
                <w:ilvl w:val="0"/>
                <w:numId w:val="11"/>
              </w:numPr>
              <w:jc w:val="both"/>
              <w:rPr>
                <w:rFonts w:eastAsia="MS Mincho" w:cs="Times New Roman"/>
                <w:noProof/>
                <w:szCs w:val="32"/>
                <w:lang w:val="fr-FR"/>
              </w:rPr>
            </w:pPr>
            <w:r w:rsidRPr="009D2B2C">
              <w:rPr>
                <w:rFonts w:eastAsia="MS Mincho" w:cs="Times New Roman"/>
                <w:noProof/>
                <w:szCs w:val="32"/>
                <w:lang w:val="fr-FR"/>
              </w:rPr>
              <w:t>les transferts de portefeuille (TO)</w:t>
            </w:r>
            <w:r>
              <w:rPr>
                <w:rFonts w:eastAsia="MS Mincho" w:cs="Times New Roman"/>
                <w:noProof/>
                <w:szCs w:val="32"/>
                <w:lang w:val="fr-FR"/>
              </w:rPr>
              <w:t>,</w:t>
            </w:r>
          </w:p>
          <w:p w:rsidR="00F45CCC" w:rsidRPr="009D2B2C" w:rsidRDefault="00F45CCC" w:rsidP="00F45CCC">
            <w:pPr>
              <w:pStyle w:val="ListParagraph"/>
              <w:numPr>
                <w:ilvl w:val="0"/>
                <w:numId w:val="11"/>
              </w:numPr>
              <w:jc w:val="both"/>
              <w:rPr>
                <w:rFonts w:eastAsia="MS Mincho" w:cs="Times New Roman"/>
                <w:noProof/>
                <w:szCs w:val="32"/>
                <w:lang w:val="fr-FR"/>
              </w:rPr>
            </w:pPr>
            <w:r w:rsidRPr="009D2B2C">
              <w:rPr>
                <w:rFonts w:eastAsia="MS Mincho" w:cs="Times New Roman"/>
                <w:noProof/>
                <w:szCs w:val="32"/>
                <w:lang w:val="fr-FR"/>
              </w:rPr>
              <w:t>les mutations avec transferts(TM),</w:t>
            </w:r>
          </w:p>
          <w:p w:rsidR="00F45CCC" w:rsidRPr="009D2B2C" w:rsidRDefault="00F45CCC" w:rsidP="00F45CCC">
            <w:pPr>
              <w:pStyle w:val="ListParagraph"/>
              <w:numPr>
                <w:ilvl w:val="0"/>
                <w:numId w:val="11"/>
              </w:numPr>
              <w:jc w:val="both"/>
              <w:rPr>
                <w:rFonts w:eastAsia="MS Mincho" w:cs="Times New Roman"/>
                <w:noProof/>
                <w:szCs w:val="32"/>
                <w:lang w:val="fr-FR"/>
              </w:rPr>
            </w:pPr>
            <w:r w:rsidRPr="009D2B2C">
              <w:rPr>
                <w:rFonts w:eastAsia="MS Mincho" w:cs="Times New Roman"/>
                <w:noProof/>
                <w:szCs w:val="32"/>
                <w:lang w:val="fr-FR"/>
              </w:rPr>
              <w:t>les cessions directes (TT),</w:t>
            </w:r>
          </w:p>
          <w:p w:rsidR="00F45CCC" w:rsidRPr="009D2B2C" w:rsidRDefault="00F45CCC" w:rsidP="00F45CCC">
            <w:pPr>
              <w:pStyle w:val="ListParagraph"/>
              <w:numPr>
                <w:ilvl w:val="0"/>
                <w:numId w:val="11"/>
              </w:numPr>
              <w:jc w:val="both"/>
              <w:rPr>
                <w:rFonts w:eastAsia="MS Mincho" w:cs="Times New Roman"/>
                <w:noProof/>
                <w:szCs w:val="32"/>
                <w:lang w:val="fr-FR"/>
              </w:rPr>
            </w:pPr>
            <w:r w:rsidRPr="009D2B2C">
              <w:rPr>
                <w:rFonts w:eastAsia="MS Mincho" w:cs="Times New Roman"/>
                <w:noProof/>
                <w:szCs w:val="32"/>
                <w:lang w:val="fr-FR"/>
              </w:rPr>
              <w:t>les opérations</w:t>
            </w:r>
            <w:r>
              <w:rPr>
                <w:rFonts w:eastAsia="MS Mincho" w:cs="Times New Roman"/>
                <w:noProof/>
                <w:szCs w:val="32"/>
                <w:lang w:val="fr-FR"/>
              </w:rPr>
              <w:t xml:space="preserve"> de régularisation</w:t>
            </w:r>
            <w:r w:rsidRPr="009D2B2C">
              <w:rPr>
                <w:rFonts w:eastAsia="MS Mincho" w:cs="Times New Roman"/>
                <w:noProof/>
                <w:szCs w:val="32"/>
                <w:lang w:val="fr-FR"/>
              </w:rPr>
              <w:t xml:space="preserve"> d’achat/vente </w:t>
            </w:r>
            <w:r>
              <w:rPr>
                <w:rFonts w:eastAsia="MS Mincho" w:cs="Times New Roman"/>
                <w:noProof/>
                <w:szCs w:val="32"/>
                <w:lang w:val="fr-FR"/>
              </w:rPr>
              <w:t xml:space="preserve">comptant </w:t>
            </w:r>
            <w:r w:rsidRPr="009D2B2C">
              <w:rPr>
                <w:rFonts w:eastAsia="MS Mincho" w:cs="Times New Roman"/>
                <w:noProof/>
                <w:szCs w:val="32"/>
                <w:lang w:val="fr-FR"/>
              </w:rPr>
              <w:t>hors SBI (BO),</w:t>
            </w:r>
          </w:p>
          <w:p w:rsidR="00F45CCC" w:rsidRPr="001C58DD" w:rsidRDefault="00F45CCC" w:rsidP="00F45CCC">
            <w:pPr>
              <w:pStyle w:val="ListParagraph"/>
              <w:numPr>
                <w:ilvl w:val="0"/>
                <w:numId w:val="11"/>
              </w:numPr>
              <w:jc w:val="both"/>
              <w:rPr>
                <w:rFonts w:eastAsia="MS Mincho" w:cs="Times New Roman"/>
                <w:noProof/>
                <w:szCs w:val="32"/>
                <w:lang w:val="fr-FR"/>
              </w:rPr>
            </w:pPr>
            <w:r w:rsidRPr="009D2B2C">
              <w:rPr>
                <w:rFonts w:eastAsia="MS Mincho" w:cs="Times New Roman"/>
                <w:noProof/>
                <w:szCs w:val="32"/>
                <w:lang w:val="fr-FR"/>
              </w:rPr>
              <w:t xml:space="preserve">les </w:t>
            </w:r>
            <w:r>
              <w:rPr>
                <w:rFonts w:eastAsia="MS Mincho" w:cs="Times New Roman"/>
                <w:noProof/>
                <w:szCs w:val="32"/>
                <w:lang w:val="fr-FR"/>
              </w:rPr>
              <w:t>opérations de régularisation d’</w:t>
            </w:r>
            <w:r w:rsidRPr="009D2B2C">
              <w:rPr>
                <w:rFonts w:eastAsia="MS Mincho" w:cs="Times New Roman"/>
                <w:noProof/>
                <w:szCs w:val="32"/>
                <w:lang w:val="fr-FR"/>
              </w:rPr>
              <w:t xml:space="preserve">achats/ventes </w:t>
            </w:r>
            <w:r>
              <w:rPr>
                <w:rFonts w:eastAsia="MS Mincho" w:cs="Times New Roman"/>
                <w:noProof/>
                <w:szCs w:val="32"/>
                <w:lang w:val="fr-FR"/>
              </w:rPr>
              <w:t xml:space="preserve">Système de Règlement </w:t>
            </w:r>
            <w:r w:rsidRPr="001C58DD">
              <w:rPr>
                <w:rFonts w:eastAsia="MS Mincho" w:cs="Times New Roman"/>
                <w:noProof/>
                <w:szCs w:val="32"/>
                <w:lang w:val="fr-FR"/>
              </w:rPr>
              <w:t>Différé (SRD) hors SBI (MO),</w:t>
            </w:r>
          </w:p>
          <w:p w:rsidR="00F45CCC" w:rsidRDefault="00F45CCC" w:rsidP="00F45CCC">
            <w:pPr>
              <w:pStyle w:val="ListParagraph"/>
              <w:numPr>
                <w:ilvl w:val="0"/>
                <w:numId w:val="11"/>
              </w:numPr>
              <w:jc w:val="both"/>
              <w:rPr>
                <w:rFonts w:eastAsia="MS Mincho" w:cs="Times New Roman"/>
                <w:noProof/>
                <w:szCs w:val="32"/>
                <w:lang w:val="fr-FR"/>
              </w:rPr>
            </w:pPr>
            <w:r w:rsidRPr="001C58DD">
              <w:rPr>
                <w:rFonts w:eastAsia="MS Mincho" w:cs="Times New Roman"/>
                <w:noProof/>
                <w:szCs w:val="32"/>
                <w:lang w:val="fr-FR"/>
              </w:rPr>
              <w:t>les achats/ventes dénoués par franco sans cash (GO). Ce cas est prévu mais pas utilisé à ce jour</w:t>
            </w:r>
            <w:r w:rsidRPr="008E2254">
              <w:rPr>
                <w:rFonts w:eastAsia="MS Mincho" w:cs="Times New Roman"/>
                <w:noProof/>
                <w:szCs w:val="32"/>
                <w:lang w:val="fr-FR"/>
              </w:rPr>
              <w:t>, il reste disponible en cas de Back-Up (indisponibilité du DVP)</w:t>
            </w:r>
            <w:r w:rsidRPr="001C58DD">
              <w:rPr>
                <w:rFonts w:eastAsia="MS Mincho" w:cs="Times New Roman"/>
                <w:noProof/>
                <w:szCs w:val="32"/>
                <w:lang w:val="fr-FR"/>
              </w:rPr>
              <w:t>.</w:t>
            </w:r>
          </w:p>
          <w:p w:rsidR="00F45CCC" w:rsidRDefault="00F45CCC" w:rsidP="00F45CCC">
            <w:pPr>
              <w:jc w:val="both"/>
              <w:rPr>
                <w:rFonts w:eastAsia="MS Mincho" w:cs="Times New Roman"/>
                <w:noProof/>
                <w:szCs w:val="32"/>
                <w:highlight w:val="yellow"/>
                <w:lang w:val="fr-FR"/>
              </w:rPr>
            </w:pPr>
          </w:p>
          <w:p w:rsidR="00F45CCC" w:rsidRDefault="00F45CCC" w:rsidP="00F45CCC">
            <w:pPr>
              <w:jc w:val="both"/>
              <w:rPr>
                <w:rFonts w:eastAsia="MS Mincho" w:cs="Times New Roman"/>
                <w:noProof/>
                <w:szCs w:val="32"/>
                <w:lang w:val="fr-FR"/>
              </w:rPr>
            </w:pPr>
            <w:r w:rsidRPr="00F967B2">
              <w:rPr>
                <w:rFonts w:eastAsia="MS Mincho" w:cs="Times New Roman"/>
                <w:b/>
                <w:i/>
                <w:noProof/>
                <w:szCs w:val="32"/>
                <w:u w:val="single"/>
                <w:lang w:val="fr-FR"/>
              </w:rPr>
              <w:t>A noter :</w:t>
            </w:r>
          </w:p>
          <w:p w:rsidR="00F45CCC" w:rsidRDefault="00F45CCC" w:rsidP="00F45CCC">
            <w:pPr>
              <w:jc w:val="both"/>
              <w:rPr>
                <w:rFonts w:eastAsia="MS Mincho" w:cs="Times New Roman"/>
                <w:noProof/>
                <w:szCs w:val="32"/>
                <w:lang w:val="fr-FR"/>
              </w:rPr>
            </w:pPr>
            <w:r w:rsidRPr="00F967B2">
              <w:rPr>
                <w:rFonts w:eastAsia="MS Mincho" w:cs="Times New Roman"/>
                <w:noProof/>
                <w:szCs w:val="32"/>
                <w:lang w:val="fr-FR"/>
              </w:rPr>
              <w:t>Dans certains cas d’opérations les CTO n</w:t>
            </w:r>
            <w:r>
              <w:rPr>
                <w:rFonts w:eastAsia="MS Mincho" w:cs="Times New Roman"/>
                <w:noProof/>
                <w:szCs w:val="32"/>
                <w:lang w:val="fr-FR"/>
              </w:rPr>
              <w:t xml:space="preserve">e sont </w:t>
            </w:r>
            <w:r w:rsidRPr="00F967B2">
              <w:rPr>
                <w:rFonts w:eastAsia="MS Mincho" w:cs="Times New Roman"/>
                <w:noProof/>
                <w:szCs w:val="32"/>
                <w:lang w:val="fr-FR"/>
              </w:rPr>
              <w:t>pas obligatoire</w:t>
            </w:r>
            <w:r>
              <w:rPr>
                <w:rFonts w:eastAsia="MS Mincho" w:cs="Times New Roman"/>
                <w:noProof/>
                <w:szCs w:val="32"/>
                <w:lang w:val="fr-FR"/>
              </w:rPr>
              <w:t>s</w:t>
            </w:r>
            <w:r w:rsidRPr="00F967B2">
              <w:rPr>
                <w:rFonts w:eastAsia="MS Mincho" w:cs="Times New Roman"/>
                <w:noProof/>
                <w:szCs w:val="32"/>
                <w:lang w:val="fr-FR"/>
              </w:rPr>
              <w:t xml:space="preserve"> dans la saisie de l’instruction. Exemple </w:t>
            </w:r>
            <w:r w:rsidRPr="00836872">
              <w:rPr>
                <w:rFonts w:eastAsia="MS Mincho" w:cs="Times New Roman"/>
                <w:noProof/>
                <w:szCs w:val="32"/>
                <w:lang w:val="fr-FR"/>
              </w:rPr>
              <w:t xml:space="preserve">CTO </w:t>
            </w:r>
            <w:r>
              <w:rPr>
                <w:rFonts w:eastAsia="MS Mincho" w:cs="Times New Roman"/>
                <w:noProof/>
                <w:szCs w:val="32"/>
                <w:lang w:val="fr-FR"/>
              </w:rPr>
              <w:t xml:space="preserve">- </w:t>
            </w:r>
            <w:r w:rsidRPr="00836872">
              <w:rPr>
                <w:rFonts w:eastAsia="MS Mincho" w:cs="Times New Roman"/>
                <w:noProof/>
                <w:szCs w:val="32"/>
                <w:lang w:val="fr-FR"/>
              </w:rPr>
              <w:t>C</w:t>
            </w:r>
            <w:r>
              <w:rPr>
                <w:rFonts w:eastAsia="MS Mincho" w:cs="Times New Roman"/>
                <w:noProof/>
                <w:szCs w:val="32"/>
                <w:lang w:val="fr-FR"/>
              </w:rPr>
              <w:t>C (conversions de forme)</w:t>
            </w:r>
            <w:r w:rsidRPr="00836872">
              <w:rPr>
                <w:rFonts w:eastAsia="MS Mincho" w:cs="Times New Roman"/>
                <w:noProof/>
                <w:szCs w:val="32"/>
                <w:lang w:val="fr-FR"/>
              </w:rPr>
              <w:t> etc …</w:t>
            </w:r>
            <w:r>
              <w:rPr>
                <w:rFonts w:eastAsia="MS Mincho" w:cs="Times New Roman"/>
                <w:noProof/>
                <w:szCs w:val="32"/>
                <w:lang w:val="fr-FR"/>
              </w:rPr>
              <w:t xml:space="preserve">- </w:t>
            </w:r>
            <w:r w:rsidRPr="00F967B2">
              <w:rPr>
                <w:rFonts w:eastAsia="MS Mincho" w:cs="Times New Roman"/>
                <w:noProof/>
                <w:szCs w:val="32"/>
                <w:lang w:val="fr-FR"/>
              </w:rPr>
              <w:t xml:space="preserve"> saisis dans le BRN</w:t>
            </w:r>
            <w:r>
              <w:rPr>
                <w:rFonts w:eastAsia="MS Mincho" w:cs="Times New Roman"/>
                <w:noProof/>
                <w:szCs w:val="32"/>
                <w:lang w:val="fr-FR"/>
              </w:rPr>
              <w:t xml:space="preserve"> ou distribution de titres nominatifs</w:t>
            </w:r>
            <w:r w:rsidRPr="00F967B2">
              <w:rPr>
                <w:rFonts w:eastAsia="MS Mincho" w:cs="Times New Roman"/>
                <w:noProof/>
                <w:szCs w:val="32"/>
                <w:lang w:val="fr-FR"/>
              </w:rPr>
              <w:t>.</w:t>
            </w:r>
          </w:p>
          <w:p w:rsidR="00F45CCC" w:rsidRDefault="00F45CCC" w:rsidP="00F45CCC">
            <w:pPr>
              <w:jc w:val="both"/>
              <w:rPr>
                <w:rFonts w:eastAsia="MS Mincho" w:cs="Times New Roman"/>
                <w:noProof/>
                <w:szCs w:val="32"/>
                <w:lang w:val="fr-FR"/>
              </w:rPr>
            </w:pPr>
          </w:p>
          <w:p w:rsidR="00F45CCC" w:rsidRPr="00F967B2" w:rsidRDefault="00F45CCC" w:rsidP="00F45CCC">
            <w:pPr>
              <w:pStyle w:val="ListParagraph"/>
              <w:numPr>
                <w:ilvl w:val="0"/>
                <w:numId w:val="13"/>
              </w:numPr>
              <w:jc w:val="both"/>
              <w:rPr>
                <w:rFonts w:eastAsia="MS Mincho" w:cs="Times New Roman"/>
                <w:b/>
                <w:noProof/>
                <w:szCs w:val="32"/>
                <w:lang w:val="fr-FR"/>
              </w:rPr>
            </w:pPr>
            <w:r w:rsidRPr="00F967B2">
              <w:rPr>
                <w:rFonts w:eastAsia="MS Mincho" w:cs="Times New Roman"/>
                <w:b/>
                <w:noProof/>
                <w:szCs w:val="32"/>
                <w:lang w:val="fr-FR"/>
              </w:rPr>
              <w:t>Les instruction DVP/RVP :</w:t>
            </w:r>
          </w:p>
          <w:p w:rsidR="00F45CCC" w:rsidRPr="008E2254" w:rsidRDefault="00F45CCC" w:rsidP="00F45CCC">
            <w:pPr>
              <w:pStyle w:val="ListParagraph"/>
              <w:numPr>
                <w:ilvl w:val="0"/>
                <w:numId w:val="11"/>
              </w:numPr>
              <w:jc w:val="both"/>
              <w:rPr>
                <w:rFonts w:eastAsia="MS Mincho" w:cs="Times New Roman"/>
                <w:noProof/>
                <w:szCs w:val="32"/>
                <w:lang w:val="fr-FR"/>
              </w:rPr>
            </w:pPr>
            <w:r w:rsidRPr="008E2254">
              <w:rPr>
                <w:rFonts w:eastAsia="MS Mincho" w:cs="Times New Roman"/>
                <w:noProof/>
                <w:szCs w:val="32"/>
                <w:lang w:val="fr-FR"/>
              </w:rPr>
              <w:t xml:space="preserve">ne </w:t>
            </w:r>
            <w:r>
              <w:rPr>
                <w:rFonts w:eastAsia="MS Mincho" w:cs="Times New Roman"/>
                <w:noProof/>
                <w:szCs w:val="32"/>
                <w:lang w:val="fr-FR"/>
              </w:rPr>
              <w:t>portent que le CTO « GO »  ou « à blanc »</w:t>
            </w:r>
            <w:r w:rsidRPr="008E2254">
              <w:rPr>
                <w:rFonts w:eastAsia="MS Mincho" w:cs="Times New Roman"/>
                <w:noProof/>
                <w:szCs w:val="32"/>
                <w:lang w:val="fr-FR"/>
              </w:rPr>
              <w:t>.</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p>
          <w:p w:rsidR="00F45CCC" w:rsidRDefault="00F45CCC" w:rsidP="00F45CCC">
            <w:pPr>
              <w:pStyle w:val="ListParagraph"/>
              <w:numPr>
                <w:ilvl w:val="0"/>
                <w:numId w:val="14"/>
              </w:numPr>
              <w:jc w:val="both"/>
              <w:rPr>
                <w:rFonts w:eastAsia="MS Mincho" w:cs="Times New Roman"/>
                <w:b/>
                <w:noProof/>
                <w:szCs w:val="32"/>
                <w:lang w:val="fr-FR"/>
              </w:rPr>
            </w:pPr>
            <w:r w:rsidRPr="0019289E">
              <w:rPr>
                <w:rFonts w:eastAsia="MS Mincho" w:cs="Times New Roman"/>
                <w:b/>
                <w:noProof/>
                <w:szCs w:val="32"/>
                <w:lang w:val="fr-FR"/>
              </w:rPr>
              <w:t xml:space="preserve">Modalités de transmission des transactions </w:t>
            </w:r>
          </w:p>
          <w:p w:rsidR="00F45CCC" w:rsidRDefault="00F45CCC" w:rsidP="00F45CCC">
            <w:pPr>
              <w:pStyle w:val="ListParagraph"/>
              <w:ind w:left="360"/>
              <w:jc w:val="both"/>
              <w:rPr>
                <w:rFonts w:eastAsia="MS Mincho" w:cs="Times New Roman"/>
                <w:b/>
                <w:noProof/>
                <w:szCs w:val="32"/>
                <w:lang w:val="fr-FR"/>
              </w:rPr>
            </w:pPr>
          </w:p>
          <w:p w:rsidR="00F45CCC" w:rsidRDefault="00F45CCC" w:rsidP="00F45CCC">
            <w:pPr>
              <w:pStyle w:val="ListParagraph"/>
              <w:numPr>
                <w:ilvl w:val="0"/>
                <w:numId w:val="13"/>
              </w:numPr>
              <w:jc w:val="both"/>
              <w:rPr>
                <w:rFonts w:eastAsia="MS Mincho" w:cs="Times New Roman"/>
                <w:b/>
                <w:noProof/>
                <w:szCs w:val="32"/>
                <w:lang w:val="fr-FR"/>
              </w:rPr>
            </w:pPr>
            <w:r w:rsidRPr="0019289E">
              <w:rPr>
                <w:rFonts w:eastAsia="MS Mincho" w:cs="Times New Roman"/>
                <w:b/>
                <w:noProof/>
                <w:szCs w:val="32"/>
                <w:lang w:val="fr-FR"/>
              </w:rPr>
              <w:t xml:space="preserve">initiées par un </w:t>
            </w:r>
            <w:r>
              <w:rPr>
                <w:rFonts w:eastAsia="MS Mincho" w:cs="Times New Roman"/>
                <w:b/>
                <w:noProof/>
                <w:szCs w:val="32"/>
                <w:lang w:val="fr-FR"/>
              </w:rPr>
              <w:t xml:space="preserve">ICP </w:t>
            </w:r>
            <w:r w:rsidRPr="0019289E">
              <w:rPr>
                <w:rFonts w:eastAsia="MS Mincho" w:cs="Times New Roman"/>
                <w:b/>
                <w:noProof/>
                <w:szCs w:val="32"/>
                <w:lang w:val="fr-FR"/>
              </w:rPr>
              <w:t>:</w:t>
            </w:r>
          </w:p>
          <w:p w:rsidR="00F45CCC" w:rsidRDefault="00F45CCC" w:rsidP="00F45CCC">
            <w:pPr>
              <w:jc w:val="both"/>
              <w:rPr>
                <w:rFonts w:eastAsia="MS Mincho" w:cs="Times New Roman"/>
                <w:noProof/>
                <w:szCs w:val="32"/>
                <w:lang w:val="fr-FR"/>
              </w:rPr>
            </w:pPr>
            <w:r w:rsidRPr="00F967B2">
              <w:rPr>
                <w:rFonts w:eastAsia="MS Mincho" w:cs="Times New Roman"/>
                <w:noProof/>
                <w:szCs w:val="32"/>
                <w:lang w:val="fr-FR"/>
              </w:rPr>
              <w:t xml:space="preserve">Les </w:t>
            </w:r>
            <w:r>
              <w:rPr>
                <w:rFonts w:eastAsia="MS Mincho" w:cs="Times New Roman"/>
                <w:noProof/>
                <w:szCs w:val="32"/>
                <w:lang w:val="fr-FR"/>
              </w:rPr>
              <w:t>établissements en connexion à T2S par le biais de leur CSD, Euroclear France en l’occurrence, « Indirectly Connected Participant » (</w:t>
            </w:r>
            <w:r w:rsidRPr="00F967B2">
              <w:rPr>
                <w:rFonts w:eastAsia="MS Mincho" w:cs="Times New Roman"/>
                <w:noProof/>
                <w:szCs w:val="32"/>
                <w:lang w:val="fr-FR"/>
              </w:rPr>
              <w:t>ICP</w:t>
            </w:r>
            <w:r>
              <w:rPr>
                <w:rFonts w:eastAsia="MS Mincho" w:cs="Times New Roman"/>
                <w:noProof/>
                <w:szCs w:val="32"/>
                <w:lang w:val="fr-FR"/>
              </w:rPr>
              <w:t>)</w:t>
            </w:r>
            <w:r w:rsidRPr="00F967B2">
              <w:rPr>
                <w:rFonts w:eastAsia="MS Mincho" w:cs="Times New Roman"/>
                <w:noProof/>
                <w:szCs w:val="32"/>
                <w:lang w:val="fr-FR"/>
              </w:rPr>
              <w:t xml:space="preserve"> pourront transmettre leur</w:t>
            </w:r>
            <w:r>
              <w:rPr>
                <w:rFonts w:eastAsia="MS Mincho" w:cs="Times New Roman"/>
                <w:noProof/>
                <w:szCs w:val="32"/>
                <w:lang w:val="fr-FR"/>
              </w:rPr>
              <w:t>s</w:t>
            </w:r>
            <w:r w:rsidRPr="00F967B2">
              <w:rPr>
                <w:rFonts w:eastAsia="MS Mincho" w:cs="Times New Roman"/>
                <w:noProof/>
                <w:szCs w:val="32"/>
                <w:lang w:val="fr-FR"/>
              </w:rPr>
              <w:t xml:space="preserve"> instr</w:t>
            </w:r>
            <w:r>
              <w:rPr>
                <w:rFonts w:eastAsia="MS Mincho" w:cs="Times New Roman"/>
                <w:noProof/>
                <w:szCs w:val="32"/>
                <w:lang w:val="fr-FR"/>
              </w:rPr>
              <w:t>uctions soit par STP soit par le</w:t>
            </w:r>
            <w:r w:rsidRPr="00F967B2">
              <w:rPr>
                <w:rFonts w:eastAsia="MS Mincho" w:cs="Times New Roman"/>
                <w:noProof/>
                <w:szCs w:val="32"/>
                <w:lang w:val="fr-FR"/>
              </w:rPr>
              <w:t xml:space="preserve"> poste EuroclearConnect</w:t>
            </w:r>
            <w:r>
              <w:rPr>
                <w:rFonts w:eastAsia="MS Mincho" w:cs="Times New Roman"/>
                <w:noProof/>
                <w:szCs w:val="32"/>
                <w:lang w:val="fr-FR"/>
              </w:rPr>
              <w:t>. Dans les deux cas ils peuvent saisir le CTO.</w:t>
            </w:r>
          </w:p>
          <w:p w:rsidR="00F45CCC" w:rsidRPr="00F967B2" w:rsidRDefault="00F45CCC" w:rsidP="00F45CCC">
            <w:pPr>
              <w:jc w:val="both"/>
              <w:rPr>
                <w:rFonts w:eastAsia="MS Mincho" w:cs="Times New Roman"/>
                <w:noProof/>
                <w:szCs w:val="32"/>
                <w:lang w:val="fr-FR"/>
              </w:rPr>
            </w:pPr>
          </w:p>
          <w:p w:rsidR="00F45CCC" w:rsidRPr="0019289E" w:rsidRDefault="00F45CCC" w:rsidP="00F45CCC">
            <w:pPr>
              <w:pStyle w:val="ListParagraph"/>
              <w:numPr>
                <w:ilvl w:val="0"/>
                <w:numId w:val="13"/>
              </w:numPr>
              <w:jc w:val="both"/>
              <w:rPr>
                <w:rFonts w:eastAsia="MS Mincho" w:cs="Times New Roman"/>
                <w:b/>
                <w:noProof/>
                <w:szCs w:val="32"/>
                <w:lang w:val="fr-FR"/>
              </w:rPr>
            </w:pPr>
            <w:r w:rsidRPr="0019289E">
              <w:rPr>
                <w:rFonts w:eastAsia="MS Mincho" w:cs="Times New Roman"/>
                <w:b/>
                <w:noProof/>
                <w:szCs w:val="32"/>
                <w:lang w:val="fr-FR"/>
              </w:rPr>
              <w:t>initiées par un DCP :</w:t>
            </w:r>
          </w:p>
          <w:p w:rsidR="00F45CCC" w:rsidRPr="0019289E" w:rsidRDefault="00F45CCC" w:rsidP="00F45CCC">
            <w:pPr>
              <w:jc w:val="both"/>
              <w:rPr>
                <w:rFonts w:eastAsia="MS Mincho" w:cs="Times New Roman"/>
                <w:noProof/>
                <w:szCs w:val="32"/>
                <w:lang w:val="fr-FR"/>
              </w:rPr>
            </w:pPr>
            <w:r w:rsidRPr="0019289E">
              <w:rPr>
                <w:rFonts w:eastAsia="MS Mincho" w:cs="Times New Roman"/>
                <w:noProof/>
                <w:szCs w:val="32"/>
                <w:lang w:val="fr-FR"/>
              </w:rPr>
              <w:t>Les établissements en connexion directe avec T2S « Directly Connected Participant » (DCP) ne pourront pas saisir de CTO lors de la saisie de FOP à matcher sur le poste T2S (GUI).</w:t>
            </w:r>
            <w:r>
              <w:rPr>
                <w:rFonts w:eastAsia="MS Mincho" w:cs="Times New Roman"/>
                <w:noProof/>
                <w:szCs w:val="32"/>
                <w:lang w:val="fr-FR"/>
              </w:rPr>
              <w:t xml:space="preserve"> </w:t>
            </w:r>
            <w:r w:rsidRPr="0019289E">
              <w:rPr>
                <w:rFonts w:eastAsia="MS Mincho" w:cs="Times New Roman"/>
                <w:noProof/>
                <w:szCs w:val="32"/>
                <w:lang w:val="fr-FR"/>
              </w:rPr>
              <w:t>L’établissement en DCP pourra en revanche transmettre des FOP avec CTO par le biais de connexion STP à T2S</w:t>
            </w:r>
            <w:r>
              <w:rPr>
                <w:rFonts w:eastAsia="MS Mincho" w:cs="Times New Roman"/>
                <w:noProof/>
                <w:szCs w:val="32"/>
                <w:lang w:val="fr-FR"/>
              </w:rPr>
              <w:t xml:space="preserve">. </w:t>
            </w:r>
            <w:r w:rsidRPr="0019289E">
              <w:rPr>
                <w:rFonts w:eastAsia="MS Mincho" w:cs="Times New Roman"/>
                <w:noProof/>
                <w:szCs w:val="32"/>
                <w:lang w:val="fr-FR"/>
              </w:rPr>
              <w:t xml:space="preserve"> </w:t>
            </w:r>
          </w:p>
          <w:p w:rsidR="00F45CCC" w:rsidRPr="0019289E" w:rsidRDefault="00F45CCC" w:rsidP="00F45CCC">
            <w:pPr>
              <w:pStyle w:val="ListParagraph"/>
              <w:ind w:left="978" w:hanging="284"/>
              <w:rPr>
                <w:rFonts w:eastAsia="MS Mincho" w:cs="Times New Roman"/>
                <w:noProof/>
                <w:szCs w:val="32"/>
                <w:lang w:val="fr-FR"/>
              </w:rPr>
            </w:pPr>
          </w:p>
          <w:p w:rsidR="00F45CCC" w:rsidRPr="0019289E" w:rsidRDefault="00F45CCC" w:rsidP="00F45CCC">
            <w:pPr>
              <w:jc w:val="both"/>
              <w:rPr>
                <w:rFonts w:eastAsia="MS Mincho" w:cs="Times New Roman"/>
                <w:noProof/>
                <w:szCs w:val="32"/>
                <w:lang w:val="fr-FR"/>
              </w:rPr>
            </w:pPr>
            <w:r w:rsidRPr="0019289E">
              <w:rPr>
                <w:rFonts w:eastAsia="MS Mincho" w:cs="Times New Roman"/>
                <w:noProof/>
                <w:szCs w:val="32"/>
                <w:lang w:val="fr-FR"/>
              </w:rPr>
              <w:t xml:space="preserve">T2S ne restituera pas le CTO dans ses messages à destination du DCP. Néanmoins T2S transmettra bien le CTO à ESES pour mise à jour de la comptabilité auxiliaire </w:t>
            </w:r>
            <w:r w:rsidRPr="0019289E">
              <w:rPr>
                <w:rFonts w:eastAsia="MS Mincho" w:cs="Times New Roman"/>
                <w:noProof/>
                <w:szCs w:val="32"/>
                <w:lang w:val="fr-FR"/>
              </w:rPr>
              <w:lastRenderedPageBreak/>
              <w:t xml:space="preserve">et restitution dans les reporting ESES. </w:t>
            </w:r>
            <w:r>
              <w:rPr>
                <w:rFonts w:eastAsia="MS Mincho" w:cs="Times New Roman"/>
                <w:noProof/>
                <w:szCs w:val="32"/>
                <w:lang w:val="fr-FR"/>
              </w:rPr>
              <w:t xml:space="preserve">L’établissement DCP </w:t>
            </w:r>
            <w:r w:rsidRPr="0019289E">
              <w:rPr>
                <w:rFonts w:eastAsia="MS Mincho" w:cs="Times New Roman"/>
                <w:noProof/>
                <w:szCs w:val="32"/>
                <w:lang w:val="fr-FR"/>
              </w:rPr>
              <w:t xml:space="preserve">devra </w:t>
            </w:r>
            <w:r>
              <w:rPr>
                <w:rFonts w:eastAsia="MS Mincho" w:cs="Times New Roman"/>
                <w:noProof/>
                <w:szCs w:val="32"/>
                <w:lang w:val="fr-FR"/>
              </w:rPr>
              <w:t xml:space="preserve">donc </w:t>
            </w:r>
            <w:r w:rsidRPr="0019289E">
              <w:rPr>
                <w:rFonts w:eastAsia="MS Mincho" w:cs="Times New Roman"/>
                <w:noProof/>
                <w:szCs w:val="32"/>
                <w:lang w:val="fr-FR"/>
              </w:rPr>
              <w:t xml:space="preserve">souscrire au reporting ESES s’il souhaite recevoir la mention du CTO </w:t>
            </w:r>
            <w:r>
              <w:rPr>
                <w:rFonts w:eastAsia="MS Mincho" w:cs="Times New Roman"/>
                <w:noProof/>
                <w:szCs w:val="32"/>
                <w:lang w:val="fr-FR"/>
              </w:rPr>
              <w:t xml:space="preserve">dans le message de </w:t>
            </w:r>
            <w:r w:rsidRPr="0019289E">
              <w:rPr>
                <w:rFonts w:eastAsia="MS Mincho" w:cs="Times New Roman"/>
                <w:noProof/>
                <w:szCs w:val="32"/>
                <w:lang w:val="fr-FR"/>
              </w:rPr>
              <w:t>confirmation de son FOP.</w:t>
            </w:r>
          </w:p>
          <w:p w:rsidR="00F45CCC" w:rsidRDefault="00F45CCC" w:rsidP="00F45CCC">
            <w:pPr>
              <w:jc w:val="both"/>
              <w:rPr>
                <w:rFonts w:eastAsia="MS Mincho" w:cs="Times New Roman"/>
                <w:noProof/>
                <w:szCs w:val="32"/>
                <w:lang w:val="fr-FR"/>
              </w:rPr>
            </w:pPr>
          </w:p>
          <w:p w:rsidR="00F45CCC" w:rsidRDefault="00F45CCC" w:rsidP="00F45CCC">
            <w:pPr>
              <w:tabs>
                <w:tab w:val="left" w:pos="5366"/>
              </w:tabs>
              <w:jc w:val="both"/>
              <w:rPr>
                <w:rFonts w:eastAsia="MS Mincho" w:cs="Times New Roman"/>
                <w:noProof/>
                <w:szCs w:val="32"/>
                <w:lang w:val="fr-FR"/>
              </w:rPr>
            </w:pPr>
            <w:r>
              <w:rPr>
                <w:rFonts w:eastAsia="MS Mincho" w:cs="Times New Roman"/>
                <w:noProof/>
                <w:szCs w:val="32"/>
                <w:lang w:val="fr-FR"/>
              </w:rPr>
              <w:t>Pour mémoire, un flux de titres nominatifs peut être envoyé directement à T2S et le Bordereau de Références Nominatives (BRN) à Euroclear ; si matching , celui-ci sera fait par Euroclear à réception du flux titres de T2S.</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p>
          <w:p w:rsidR="00F45CCC" w:rsidRPr="00F967B2" w:rsidRDefault="00F45CCC" w:rsidP="00F45CCC">
            <w:pPr>
              <w:pStyle w:val="ListParagraph"/>
              <w:numPr>
                <w:ilvl w:val="0"/>
                <w:numId w:val="14"/>
              </w:numPr>
              <w:autoSpaceDE w:val="0"/>
              <w:autoSpaceDN w:val="0"/>
              <w:adjustRightInd w:val="0"/>
              <w:jc w:val="both"/>
              <w:rPr>
                <w:rFonts w:eastAsia="MS Mincho" w:cs="Times New Roman"/>
                <w:noProof/>
                <w:szCs w:val="32"/>
                <w:lang w:val="fr-FR"/>
              </w:rPr>
            </w:pPr>
            <w:r w:rsidRPr="0061645A">
              <w:rPr>
                <w:rFonts w:eastAsia="MS Mincho" w:cs="Times New Roman"/>
                <w:b/>
                <w:noProof/>
                <w:szCs w:val="32"/>
                <w:lang w:val="fr-FR"/>
              </w:rPr>
              <w:t>Les contrôles Pré-dénouement effectués par Euroclear port</w:t>
            </w:r>
            <w:r>
              <w:rPr>
                <w:rFonts w:eastAsia="MS Mincho" w:cs="Times New Roman"/>
                <w:b/>
                <w:noProof/>
                <w:szCs w:val="32"/>
                <w:lang w:val="fr-FR"/>
              </w:rPr>
              <w:t>ant</w:t>
            </w:r>
            <w:r w:rsidRPr="0061645A">
              <w:rPr>
                <w:rFonts w:eastAsia="MS Mincho" w:cs="Times New Roman"/>
                <w:b/>
                <w:noProof/>
                <w:szCs w:val="32"/>
                <w:lang w:val="fr-FR"/>
              </w:rPr>
              <w:t xml:space="preserve"> sur les transaction initiées par un </w:t>
            </w:r>
            <w:r>
              <w:rPr>
                <w:rFonts w:eastAsia="MS Mincho" w:cs="Times New Roman"/>
                <w:b/>
                <w:noProof/>
                <w:szCs w:val="32"/>
                <w:lang w:val="fr-FR"/>
              </w:rPr>
              <w:t>ICP </w:t>
            </w:r>
          </w:p>
          <w:p w:rsidR="00F45CCC" w:rsidRDefault="00F45CCC" w:rsidP="00F45CCC">
            <w:pPr>
              <w:pStyle w:val="ListParagraph"/>
              <w:autoSpaceDE w:val="0"/>
              <w:autoSpaceDN w:val="0"/>
              <w:adjustRightInd w:val="0"/>
              <w:ind w:left="360"/>
              <w:jc w:val="both"/>
              <w:rPr>
                <w:rFonts w:eastAsia="MS Mincho" w:cs="Times New Roman"/>
                <w:noProof/>
                <w:szCs w:val="32"/>
                <w:lang w:val="fr-FR"/>
              </w:rPr>
            </w:pPr>
          </w:p>
          <w:p w:rsidR="00F45CCC" w:rsidRPr="00FD203F" w:rsidRDefault="00F45CCC" w:rsidP="00F45CCC">
            <w:pPr>
              <w:jc w:val="both"/>
              <w:rPr>
                <w:rFonts w:eastAsia="MS Mincho" w:cs="Times New Roman"/>
                <w:noProof/>
                <w:szCs w:val="32"/>
                <w:lang w:val="fr-FR"/>
              </w:rPr>
            </w:pPr>
            <w:r w:rsidRPr="00FD203F">
              <w:rPr>
                <w:rFonts w:eastAsia="MS Mincho" w:cs="Times New Roman"/>
                <w:noProof/>
                <w:szCs w:val="32"/>
                <w:lang w:val="fr-FR"/>
              </w:rPr>
              <w:t xml:space="preserve">Dans le cas des transactions initiées par un ICP, passant donc par Euroclear via les FOP matchés, </w:t>
            </w:r>
            <w:r>
              <w:rPr>
                <w:rFonts w:eastAsia="MS Mincho" w:cs="Times New Roman"/>
                <w:noProof/>
                <w:szCs w:val="32"/>
                <w:lang w:val="fr-FR"/>
              </w:rPr>
              <w:t xml:space="preserve">les DVP, </w:t>
            </w:r>
            <w:r w:rsidRPr="00FD203F">
              <w:rPr>
                <w:rFonts w:eastAsia="MS Mincho" w:cs="Times New Roman"/>
                <w:noProof/>
                <w:szCs w:val="32"/>
                <w:lang w:val="fr-FR"/>
              </w:rPr>
              <w:t xml:space="preserve">ainsi que les transactions s’appuyant sur l’offre Euroclear « Free of Payment (FOP) without matching », les pré-contrôles </w:t>
            </w:r>
            <w:r>
              <w:rPr>
                <w:rFonts w:eastAsia="MS Mincho" w:cs="Times New Roman"/>
                <w:noProof/>
                <w:szCs w:val="32"/>
                <w:lang w:val="fr-FR"/>
              </w:rPr>
              <w:t xml:space="preserve">notamment sur les NdC et les CTO, </w:t>
            </w:r>
            <w:r w:rsidRPr="00FD203F">
              <w:rPr>
                <w:rFonts w:eastAsia="MS Mincho" w:cs="Times New Roman"/>
                <w:noProof/>
                <w:szCs w:val="32"/>
                <w:lang w:val="fr-FR"/>
              </w:rPr>
              <w:t xml:space="preserve">seront réalisés par ESES avant envoi à T2S </w:t>
            </w:r>
            <w:r w:rsidRPr="00F967B2">
              <w:rPr>
                <w:rFonts w:eastAsia="MS Mincho" w:cs="Times New Roman"/>
                <w:i/>
                <w:noProof/>
                <w:color w:val="00B0F0"/>
                <w:szCs w:val="32"/>
                <w:lang w:val="fr-FR"/>
              </w:rPr>
              <w:t>(cf.</w:t>
            </w:r>
            <w:r w:rsidRPr="00F967B2">
              <w:rPr>
                <w:rFonts w:eastAsia="MS Mincho" w:cs="Times New Roman"/>
                <w:i/>
                <w:noProof/>
                <w:color w:val="00B0F0"/>
                <w:sz w:val="20"/>
                <w:szCs w:val="32"/>
                <w:lang w:val="fr-FR"/>
              </w:rPr>
              <w:t>DSD ESES-T2S Detailed Service Description French registered securities v1.1, en page 140</w:t>
            </w:r>
            <w:r w:rsidRPr="00F967B2">
              <w:rPr>
                <w:rFonts w:eastAsia="MS Mincho" w:cs="Times New Roman"/>
                <w:i/>
                <w:noProof/>
                <w:color w:val="00B0F0"/>
                <w:szCs w:val="32"/>
                <w:lang w:val="fr-FR"/>
              </w:rPr>
              <w:t>).</w:t>
            </w:r>
          </w:p>
          <w:p w:rsidR="00F45CCC" w:rsidRDefault="00F45CCC" w:rsidP="00F45CCC">
            <w:pPr>
              <w:jc w:val="both"/>
              <w:rPr>
                <w:rFonts w:eastAsia="MS Mincho" w:cs="Times New Roman"/>
                <w:noProof/>
                <w:szCs w:val="32"/>
                <w:lang w:val="fr-FR"/>
              </w:rPr>
            </w:pPr>
            <w:r w:rsidRPr="00FD203F">
              <w:rPr>
                <w:rFonts w:eastAsia="MS Mincho" w:cs="Times New Roman"/>
                <w:noProof/>
                <w:szCs w:val="32"/>
                <w:lang w:val="fr-FR"/>
              </w:rPr>
              <w:t xml:space="preserve">Si </w:t>
            </w:r>
            <w:r>
              <w:rPr>
                <w:rFonts w:eastAsia="MS Mincho" w:cs="Times New Roman"/>
                <w:noProof/>
                <w:szCs w:val="32"/>
                <w:lang w:val="fr-FR"/>
              </w:rPr>
              <w:t xml:space="preserve">les instructions </w:t>
            </w:r>
            <w:r w:rsidRPr="00FD203F">
              <w:rPr>
                <w:rFonts w:eastAsia="MS Mincho" w:cs="Times New Roman"/>
                <w:noProof/>
                <w:szCs w:val="32"/>
                <w:lang w:val="fr-FR"/>
              </w:rPr>
              <w:t>sont conformes au contrôle de cohérence, elles sont transmises à T2S pour être matchées et dénouées</w:t>
            </w:r>
            <w:r>
              <w:rPr>
                <w:rFonts w:eastAsia="MS Mincho" w:cs="Times New Roman"/>
                <w:noProof/>
                <w:szCs w:val="32"/>
                <w:lang w:val="fr-FR"/>
              </w:rPr>
              <w:t xml:space="preserve">, </w:t>
            </w:r>
            <w:r w:rsidRPr="00FD203F">
              <w:rPr>
                <w:rFonts w:eastAsia="MS Mincho" w:cs="Times New Roman"/>
                <w:noProof/>
                <w:szCs w:val="32"/>
                <w:lang w:val="fr-FR"/>
              </w:rPr>
              <w:t xml:space="preserve">sinon elles sont rejetées par Euroclear et devront être ressaisies par les participants.  </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sidRPr="00B17387">
              <w:rPr>
                <w:rFonts w:eastAsia="MS Mincho" w:cs="Times New Roman"/>
                <w:noProof/>
                <w:szCs w:val="32"/>
                <w:lang w:val="fr-FR"/>
              </w:rPr>
              <w:t xml:space="preserve">Les règles de compatibilité des NdC et des CTO restent </w:t>
            </w:r>
            <w:r>
              <w:rPr>
                <w:rFonts w:eastAsia="MS Mincho" w:cs="Times New Roman"/>
                <w:noProof/>
                <w:szCs w:val="32"/>
                <w:lang w:val="fr-FR"/>
              </w:rPr>
              <w:t>i</w:t>
            </w:r>
            <w:r w:rsidRPr="00B17387">
              <w:rPr>
                <w:rFonts w:eastAsia="MS Mincho" w:cs="Times New Roman"/>
                <w:noProof/>
                <w:szCs w:val="32"/>
                <w:lang w:val="fr-FR"/>
              </w:rPr>
              <w:t>dentiques à celles actuellement utilisées.</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 xml:space="preserve">Ci-dessous tableau des règles de gestion des CTO par instruction, extrait du DSD cité ci-dessus. </w:t>
            </w:r>
          </w:p>
          <w:tbl>
            <w:tblPr>
              <w:tblW w:w="7789" w:type="dxa"/>
              <w:tblLayout w:type="fixed"/>
              <w:tblCellMar>
                <w:left w:w="0" w:type="dxa"/>
                <w:right w:w="0" w:type="dxa"/>
              </w:tblCellMar>
              <w:tblLook w:val="0420" w:firstRow="1" w:lastRow="0" w:firstColumn="0" w:lastColumn="0" w:noHBand="0" w:noVBand="1"/>
            </w:tblPr>
            <w:tblGrid>
              <w:gridCol w:w="1243"/>
              <w:gridCol w:w="1238"/>
              <w:gridCol w:w="696"/>
              <w:gridCol w:w="768"/>
              <w:gridCol w:w="3844"/>
            </w:tblGrid>
            <w:tr w:rsidR="00F45CCC" w:rsidRPr="00F45CCC" w:rsidTr="00924CEF">
              <w:trPr>
                <w:trHeight w:val="151"/>
              </w:trPr>
              <w:tc>
                <w:tcPr>
                  <w:tcW w:w="1243"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color w:val="FFFFFF" w:themeColor="background1"/>
                      <w:sz w:val="18"/>
                      <w:szCs w:val="32"/>
                      <w:lang w:val="fr-FR"/>
                    </w:rPr>
                  </w:pPr>
                  <w:r w:rsidRPr="0019289E">
                    <w:rPr>
                      <w:rFonts w:eastAsia="MS Mincho" w:cs="Times New Roman"/>
                      <w:b/>
                      <w:bCs/>
                      <w:noProof/>
                      <w:color w:val="FFFFFF" w:themeColor="background1"/>
                      <w:sz w:val="18"/>
                      <w:szCs w:val="32"/>
                      <w:lang w:val="fr-FR"/>
                    </w:rPr>
                    <w:t>Type d’instruction de Règlement Livraison</w:t>
                  </w:r>
                </w:p>
              </w:tc>
              <w:tc>
                <w:tcPr>
                  <w:tcW w:w="1238"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color w:val="FFFFFF" w:themeColor="background1"/>
                      <w:sz w:val="18"/>
                      <w:szCs w:val="32"/>
                      <w:lang w:val="fr-FR"/>
                    </w:rPr>
                  </w:pPr>
                  <w:r w:rsidRPr="0019289E">
                    <w:rPr>
                      <w:rFonts w:eastAsia="MS Mincho" w:cs="Times New Roman"/>
                      <w:b/>
                      <w:bCs/>
                      <w:noProof/>
                      <w:color w:val="FFFFFF" w:themeColor="background1"/>
                      <w:sz w:val="18"/>
                      <w:szCs w:val="32"/>
                      <w:lang w:val="fr-FR"/>
                    </w:rPr>
                    <w:t>Changement de compte (affilié)</w:t>
                  </w:r>
                </w:p>
              </w:tc>
              <w:tc>
                <w:tcPr>
                  <w:tcW w:w="1464"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color w:val="FFFFFF" w:themeColor="background1"/>
                      <w:sz w:val="18"/>
                      <w:szCs w:val="32"/>
                      <w:lang w:val="fr-FR"/>
                    </w:rPr>
                  </w:pPr>
                  <w:r w:rsidRPr="0019289E">
                    <w:rPr>
                      <w:rFonts w:eastAsia="MS Mincho" w:cs="Times New Roman"/>
                      <w:b/>
                      <w:bCs/>
                      <w:noProof/>
                      <w:color w:val="FFFFFF" w:themeColor="background1"/>
                      <w:sz w:val="18"/>
                      <w:szCs w:val="32"/>
                      <w:lang w:val="fr-FR"/>
                    </w:rPr>
                    <w:t>Nature de compte</w:t>
                  </w:r>
                </w:p>
              </w:tc>
              <w:tc>
                <w:tcPr>
                  <w:tcW w:w="3844"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45CCC" w:rsidRPr="0019289E" w:rsidRDefault="00F45CCC" w:rsidP="00924CEF">
                  <w:pPr>
                    <w:spacing w:after="0" w:line="240" w:lineRule="auto"/>
                    <w:jc w:val="center"/>
                    <w:rPr>
                      <w:rFonts w:eastAsia="MS Mincho" w:cs="Times New Roman"/>
                      <w:noProof/>
                      <w:color w:val="FFFFFF" w:themeColor="background1"/>
                      <w:sz w:val="18"/>
                      <w:szCs w:val="32"/>
                      <w:lang w:val="fr-FR"/>
                    </w:rPr>
                  </w:pPr>
                  <w:r w:rsidRPr="0019289E">
                    <w:rPr>
                      <w:rFonts w:eastAsia="MS Mincho" w:cs="Times New Roman"/>
                      <w:b/>
                      <w:bCs/>
                      <w:noProof/>
                      <w:color w:val="FFFFFF" w:themeColor="background1"/>
                      <w:sz w:val="18"/>
                      <w:szCs w:val="32"/>
                      <w:lang w:val="fr-FR"/>
                    </w:rPr>
                    <w:t>Règles de gestion des CTO erronés</w:t>
                  </w:r>
                </w:p>
              </w:tc>
            </w:tr>
            <w:tr w:rsidR="00F45CCC" w:rsidRPr="0019289E" w:rsidTr="00924CEF">
              <w:trPr>
                <w:trHeight w:val="343"/>
              </w:trPr>
              <w:tc>
                <w:tcPr>
                  <w:tcW w:w="1243" w:type="dxa"/>
                  <w:vMerge/>
                  <w:tcBorders>
                    <w:top w:val="single" w:sz="8" w:space="0" w:color="FFFFFF"/>
                    <w:left w:val="single" w:sz="8" w:space="0" w:color="FFFFFF"/>
                    <w:bottom w:val="single" w:sz="24"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c>
                <w:tcPr>
                  <w:tcW w:w="1238" w:type="dxa"/>
                  <w:vMerge/>
                  <w:tcBorders>
                    <w:top w:val="single" w:sz="8" w:space="0" w:color="FFFFFF"/>
                    <w:left w:val="single" w:sz="8" w:space="0" w:color="FFFFFF"/>
                    <w:bottom w:val="single" w:sz="24"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c>
                <w:tcPr>
                  <w:tcW w:w="696" w:type="dxa"/>
                  <w:tcBorders>
                    <w:top w:val="single" w:sz="24" w:space="0" w:color="FFFFFF"/>
                    <w:left w:val="single" w:sz="24"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b/>
                      <w:noProof/>
                      <w:sz w:val="18"/>
                      <w:szCs w:val="32"/>
                      <w:lang w:val="fr-FR"/>
                    </w:rPr>
                  </w:pPr>
                  <w:r w:rsidRPr="0019289E">
                    <w:rPr>
                      <w:rFonts w:eastAsia="MS Mincho" w:cs="Times New Roman"/>
                      <w:b/>
                      <w:bCs/>
                      <w:noProof/>
                      <w:sz w:val="18"/>
                      <w:szCs w:val="32"/>
                      <w:lang w:val="fr-FR"/>
                    </w:rPr>
                    <w:t>Débit</w:t>
                  </w:r>
                </w:p>
              </w:tc>
              <w:tc>
                <w:tcPr>
                  <w:tcW w:w="768" w:type="dxa"/>
                  <w:tcBorders>
                    <w:top w:val="single" w:sz="24" w:space="0" w:color="FFFFFF"/>
                    <w:left w:val="single" w:sz="8" w:space="0" w:color="FFFFFF"/>
                    <w:bottom w:val="single" w:sz="8" w:space="0" w:color="FFFFFF"/>
                    <w:right w:val="single" w:sz="24"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b/>
                      <w:noProof/>
                      <w:sz w:val="18"/>
                      <w:szCs w:val="32"/>
                      <w:lang w:val="fr-FR"/>
                    </w:rPr>
                  </w:pPr>
                  <w:r w:rsidRPr="0019289E">
                    <w:rPr>
                      <w:rFonts w:eastAsia="MS Mincho" w:cs="Times New Roman"/>
                      <w:b/>
                      <w:bCs/>
                      <w:noProof/>
                      <w:sz w:val="18"/>
                      <w:szCs w:val="32"/>
                      <w:lang w:val="fr-FR"/>
                    </w:rPr>
                    <w:t>Crédit</w:t>
                  </w:r>
                </w:p>
              </w:tc>
              <w:tc>
                <w:tcPr>
                  <w:tcW w:w="3844" w:type="dxa"/>
                  <w:vMerge/>
                  <w:tcBorders>
                    <w:top w:val="single" w:sz="8" w:space="0" w:color="FFFFFF"/>
                    <w:left w:val="single" w:sz="8" w:space="0" w:color="FFFFFF"/>
                    <w:bottom w:val="single" w:sz="24" w:space="0" w:color="FFFFFF"/>
                    <w:right w:val="single" w:sz="8" w:space="0" w:color="FFFFFF"/>
                  </w:tcBorders>
                  <w:vAlign w:val="center"/>
                  <w:hideMark/>
                </w:tcPr>
                <w:p w:rsidR="00F45CCC" w:rsidRPr="0019289E" w:rsidRDefault="00F45CCC" w:rsidP="00924CEF">
                  <w:pPr>
                    <w:spacing w:after="0" w:line="240" w:lineRule="auto"/>
                    <w:jc w:val="both"/>
                    <w:rPr>
                      <w:rFonts w:eastAsia="MS Mincho" w:cs="Times New Roman"/>
                      <w:noProof/>
                      <w:sz w:val="18"/>
                      <w:szCs w:val="32"/>
                      <w:lang w:val="fr-FR"/>
                    </w:rPr>
                  </w:pPr>
                </w:p>
              </w:tc>
            </w:tr>
            <w:tr w:rsidR="00F45CCC" w:rsidRPr="00F45CCC" w:rsidTr="00924CEF">
              <w:trPr>
                <w:trHeight w:val="139"/>
              </w:trPr>
              <w:tc>
                <w:tcPr>
                  <w:tcW w:w="1243" w:type="dxa"/>
                  <w:vMerge w:val="restart"/>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FOP</w:t>
                  </w:r>
                </w:p>
              </w:tc>
              <w:tc>
                <w:tcPr>
                  <w:tcW w:w="1238" w:type="dxa"/>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Oui</w:t>
                  </w:r>
                </w:p>
              </w:tc>
              <w:tc>
                <w:tcPr>
                  <w:tcW w:w="69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76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3844" w:type="dxa"/>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 xml:space="preserve">Erreur si la zone du CTO n’est pas TO, TT, TM, </w:t>
                  </w:r>
                  <w:r w:rsidRPr="0039148D">
                    <w:rPr>
                      <w:rFonts w:eastAsia="MS Mincho" w:cs="Times New Roman"/>
                      <w:noProof/>
                      <w:sz w:val="18"/>
                      <w:szCs w:val="32"/>
                      <w:lang w:val="fr-FR"/>
                    </w:rPr>
                    <w:t xml:space="preserve">GO </w:t>
                  </w:r>
                  <w:r w:rsidRPr="00B925B2">
                    <w:rPr>
                      <w:rFonts w:eastAsia="MS Mincho" w:cs="Times New Roman"/>
                      <w:noProof/>
                      <w:sz w:val="18"/>
                      <w:szCs w:val="32"/>
                      <w:lang w:val="fr-FR"/>
                    </w:rPr>
                    <w:t>ou si  “à blanc”</w:t>
                  </w:r>
                </w:p>
              </w:tc>
            </w:tr>
            <w:tr w:rsidR="00F45CCC" w:rsidRPr="00F45CCC" w:rsidTr="00924CEF">
              <w:trPr>
                <w:trHeight w:val="103"/>
              </w:trPr>
              <w:tc>
                <w:tcPr>
                  <w:tcW w:w="1243" w:type="dxa"/>
                  <w:vMerge/>
                  <w:tcBorders>
                    <w:top w:val="single" w:sz="24"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c>
                <w:tcPr>
                  <w:tcW w:w="1238"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Oui / Non</w:t>
                  </w:r>
                </w:p>
              </w:tc>
              <w:tc>
                <w:tcPr>
                  <w:tcW w:w="69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010</w:t>
                  </w:r>
                </w:p>
              </w:tc>
              <w:tc>
                <w:tcPr>
                  <w:tcW w:w="76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3844"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 xml:space="preserve">Erreur si la zone du CTO n’est pas MO, BO, GO </w:t>
                  </w:r>
                  <w:r w:rsidRPr="00B925B2">
                    <w:rPr>
                      <w:rFonts w:eastAsia="MS Mincho" w:cs="Times New Roman"/>
                      <w:noProof/>
                      <w:sz w:val="18"/>
                      <w:szCs w:val="32"/>
                      <w:lang w:val="fr-FR"/>
                    </w:rPr>
                    <w:t>ou si “à blanc”</w:t>
                  </w:r>
                </w:p>
              </w:tc>
            </w:tr>
            <w:tr w:rsidR="00F45CCC" w:rsidRPr="0019289E" w:rsidTr="00924CEF">
              <w:trPr>
                <w:trHeight w:val="20"/>
              </w:trPr>
              <w:tc>
                <w:tcPr>
                  <w:tcW w:w="1243" w:type="dxa"/>
                  <w:vMerge/>
                  <w:tcBorders>
                    <w:top w:val="single" w:sz="24"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c>
                <w:tcPr>
                  <w:tcW w:w="1238" w:type="dxa"/>
                  <w:vMerge/>
                  <w:tcBorders>
                    <w:top w:val="single" w:sz="8"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c>
                <w:tcPr>
                  <w:tcW w:w="69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76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010</w:t>
                  </w:r>
                </w:p>
              </w:tc>
              <w:tc>
                <w:tcPr>
                  <w:tcW w:w="3844" w:type="dxa"/>
                  <w:vMerge/>
                  <w:tcBorders>
                    <w:top w:val="single" w:sz="8"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r>
            <w:tr w:rsidR="00F45CCC" w:rsidRPr="00F45CCC" w:rsidTr="00924CEF">
              <w:trPr>
                <w:trHeight w:val="20"/>
              </w:trPr>
              <w:tc>
                <w:tcPr>
                  <w:tcW w:w="1243"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DVP</w:t>
                  </w:r>
                </w:p>
              </w:tc>
              <w:tc>
                <w:tcPr>
                  <w:tcW w:w="123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Oui</w:t>
                  </w:r>
                </w:p>
              </w:tc>
              <w:tc>
                <w:tcPr>
                  <w:tcW w:w="69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76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3844"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 xml:space="preserve">Erreur si la zone du CTO n’est pas GO </w:t>
                  </w:r>
                  <w:r w:rsidRPr="00B925B2">
                    <w:rPr>
                      <w:rFonts w:eastAsia="MS Mincho" w:cs="Times New Roman"/>
                      <w:noProof/>
                      <w:sz w:val="18"/>
                      <w:szCs w:val="32"/>
                      <w:lang w:val="fr-FR"/>
                    </w:rPr>
                    <w:t>ou n’est pas “à blanc”</w:t>
                  </w:r>
                  <w:r>
                    <w:rPr>
                      <w:rFonts w:eastAsia="MS Mincho" w:cs="Times New Roman"/>
                      <w:noProof/>
                      <w:sz w:val="18"/>
                      <w:szCs w:val="32"/>
                      <w:lang w:val="fr-FR"/>
                    </w:rPr>
                    <w:t xml:space="preserve">  </w:t>
                  </w:r>
                </w:p>
                <w:p w:rsidR="00F45CCC" w:rsidRPr="0019289E" w:rsidRDefault="00F45CCC" w:rsidP="00924CEF">
                  <w:pPr>
                    <w:spacing w:after="0" w:line="240" w:lineRule="auto"/>
                    <w:rPr>
                      <w:rFonts w:eastAsia="MS Mincho" w:cs="Times New Roman"/>
                      <w:noProof/>
                      <w:sz w:val="18"/>
                      <w:szCs w:val="32"/>
                      <w:lang w:val="fr-FR"/>
                    </w:rPr>
                  </w:pPr>
                  <w:r>
                    <w:rPr>
                      <w:rFonts w:eastAsia="MS Mincho" w:cs="Times New Roman"/>
                      <w:noProof/>
                      <w:sz w:val="18"/>
                      <w:szCs w:val="32"/>
                      <w:lang w:val="fr-FR"/>
                    </w:rPr>
                    <w:t>La zone à blanc est considérée comme égale à GO par Euroclear</w:t>
                  </w:r>
                </w:p>
              </w:tc>
            </w:tr>
            <w:tr w:rsidR="00F45CCC" w:rsidRPr="00F45CCC" w:rsidTr="00924CEF">
              <w:trPr>
                <w:trHeight w:val="20"/>
              </w:trPr>
              <w:tc>
                <w:tcPr>
                  <w:tcW w:w="1243" w:type="dxa"/>
                  <w:vMerge/>
                  <w:tcBorders>
                    <w:top w:val="single" w:sz="8"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c>
                <w:tcPr>
                  <w:tcW w:w="123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 xml:space="preserve">Oui / Non </w:t>
                  </w:r>
                </w:p>
              </w:tc>
              <w:tc>
                <w:tcPr>
                  <w:tcW w:w="69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010</w:t>
                  </w:r>
                </w:p>
              </w:tc>
              <w:tc>
                <w:tcPr>
                  <w:tcW w:w="76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3844" w:type="dxa"/>
                  <w:vMerge/>
                  <w:tcBorders>
                    <w:top w:val="single" w:sz="8"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jc w:val="both"/>
                    <w:rPr>
                      <w:rFonts w:eastAsia="MS Mincho" w:cs="Times New Roman"/>
                      <w:noProof/>
                      <w:sz w:val="18"/>
                      <w:szCs w:val="32"/>
                      <w:lang w:val="fr-FR"/>
                    </w:rPr>
                  </w:pPr>
                </w:p>
              </w:tc>
            </w:tr>
            <w:tr w:rsidR="00F45CCC" w:rsidRPr="00F45CCC" w:rsidTr="00924CEF">
              <w:trPr>
                <w:trHeight w:val="20"/>
              </w:trPr>
              <w:tc>
                <w:tcPr>
                  <w:tcW w:w="1243" w:type="dxa"/>
                  <w:vMerge/>
                  <w:tcBorders>
                    <w:top w:val="single" w:sz="8"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rPr>
                      <w:rFonts w:eastAsia="MS Mincho" w:cs="Times New Roman"/>
                      <w:noProof/>
                      <w:sz w:val="18"/>
                      <w:szCs w:val="32"/>
                      <w:lang w:val="fr-FR"/>
                    </w:rPr>
                  </w:pPr>
                </w:p>
              </w:tc>
              <w:tc>
                <w:tcPr>
                  <w:tcW w:w="123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 xml:space="preserve">Oui / Non </w:t>
                  </w:r>
                </w:p>
              </w:tc>
              <w:tc>
                <w:tcPr>
                  <w:tcW w:w="69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76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F45CCC" w:rsidRPr="0019289E" w:rsidRDefault="00F45CCC" w:rsidP="00924CEF">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010</w:t>
                  </w:r>
                </w:p>
              </w:tc>
              <w:tc>
                <w:tcPr>
                  <w:tcW w:w="3844" w:type="dxa"/>
                  <w:vMerge/>
                  <w:tcBorders>
                    <w:top w:val="single" w:sz="8" w:space="0" w:color="FFFFFF"/>
                    <w:left w:val="single" w:sz="8" w:space="0" w:color="FFFFFF"/>
                    <w:bottom w:val="single" w:sz="8" w:space="0" w:color="FFFFFF"/>
                    <w:right w:val="single" w:sz="8" w:space="0" w:color="FFFFFF"/>
                  </w:tcBorders>
                  <w:vAlign w:val="center"/>
                  <w:hideMark/>
                </w:tcPr>
                <w:p w:rsidR="00F45CCC" w:rsidRPr="0019289E" w:rsidRDefault="00F45CCC" w:rsidP="00924CEF">
                  <w:pPr>
                    <w:spacing w:after="0" w:line="240" w:lineRule="auto"/>
                    <w:jc w:val="both"/>
                    <w:rPr>
                      <w:rFonts w:eastAsia="MS Mincho" w:cs="Times New Roman"/>
                      <w:noProof/>
                      <w:sz w:val="18"/>
                      <w:szCs w:val="32"/>
                      <w:lang w:val="fr-FR"/>
                    </w:rPr>
                  </w:pPr>
                </w:p>
              </w:tc>
            </w:tr>
          </w:tbl>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sidRPr="00F967B2">
              <w:rPr>
                <w:rFonts w:eastAsia="MS Mincho" w:cs="Times New Roman"/>
                <w:b/>
                <w:i/>
                <w:noProof/>
                <w:szCs w:val="32"/>
                <w:u w:val="single"/>
                <w:lang w:val="fr-FR"/>
              </w:rPr>
              <w:t>A noter :</w:t>
            </w:r>
            <w:r>
              <w:rPr>
                <w:rFonts w:eastAsia="MS Mincho" w:cs="Times New Roman"/>
                <w:noProof/>
                <w:szCs w:val="32"/>
                <w:lang w:val="fr-FR"/>
              </w:rPr>
              <w:t xml:space="preserve"> Dans la cas des «FOP without matching » (already matched), c’est le participant livreur du flux qui renseigne le CTO et c’est ce CTO qui sera contrôlé par Euroclear.</w:t>
            </w:r>
          </w:p>
          <w:p w:rsidR="00F45CCC" w:rsidRDefault="00F45CCC" w:rsidP="00F45CCC">
            <w:pPr>
              <w:jc w:val="both"/>
              <w:rPr>
                <w:rFonts w:eastAsia="MS Mincho" w:cs="Times New Roman"/>
                <w:noProof/>
                <w:szCs w:val="32"/>
                <w:lang w:val="fr-FR"/>
              </w:rPr>
            </w:pPr>
          </w:p>
          <w:p w:rsidR="00F45CCC" w:rsidRPr="0019289E" w:rsidRDefault="00F45CCC" w:rsidP="00F45CCC">
            <w:pPr>
              <w:pStyle w:val="ListParagraph"/>
              <w:numPr>
                <w:ilvl w:val="0"/>
                <w:numId w:val="14"/>
              </w:numPr>
              <w:autoSpaceDE w:val="0"/>
              <w:autoSpaceDN w:val="0"/>
              <w:adjustRightInd w:val="0"/>
              <w:jc w:val="both"/>
              <w:rPr>
                <w:rFonts w:eastAsia="MS Mincho" w:cs="Times New Roman"/>
                <w:noProof/>
                <w:szCs w:val="32"/>
                <w:lang w:val="fr-FR"/>
              </w:rPr>
            </w:pPr>
            <w:r>
              <w:rPr>
                <w:rFonts w:eastAsia="MS Mincho" w:cs="Times New Roman"/>
                <w:b/>
                <w:noProof/>
                <w:szCs w:val="32"/>
                <w:lang w:val="fr-FR"/>
              </w:rPr>
              <w:lastRenderedPageBreak/>
              <w:t xml:space="preserve">Contrôle de pré-dénouement T2S </w:t>
            </w:r>
            <w:r w:rsidRPr="0019289E">
              <w:rPr>
                <w:rFonts w:eastAsia="MS Mincho" w:cs="Times New Roman"/>
                <w:b/>
                <w:noProof/>
                <w:szCs w:val="32"/>
                <w:lang w:val="fr-FR"/>
              </w:rPr>
              <w:t>port</w:t>
            </w:r>
            <w:r>
              <w:rPr>
                <w:rFonts w:eastAsia="MS Mincho" w:cs="Times New Roman"/>
                <w:b/>
                <w:noProof/>
                <w:szCs w:val="32"/>
                <w:lang w:val="fr-FR"/>
              </w:rPr>
              <w:t>ant</w:t>
            </w:r>
            <w:r w:rsidRPr="0019289E">
              <w:rPr>
                <w:rFonts w:eastAsia="MS Mincho" w:cs="Times New Roman"/>
                <w:b/>
                <w:noProof/>
                <w:szCs w:val="32"/>
                <w:lang w:val="fr-FR"/>
              </w:rPr>
              <w:t xml:space="preserve"> sur les transaction initiées par un </w:t>
            </w:r>
            <w:r>
              <w:rPr>
                <w:rFonts w:eastAsia="MS Mincho" w:cs="Times New Roman"/>
                <w:b/>
                <w:noProof/>
                <w:szCs w:val="32"/>
                <w:lang w:val="fr-FR"/>
              </w:rPr>
              <w:t>DCP : </w:t>
            </w:r>
          </w:p>
          <w:p w:rsidR="00F45CCC" w:rsidRPr="00F967B2" w:rsidRDefault="00F45CCC" w:rsidP="00F45CCC">
            <w:pPr>
              <w:autoSpaceDE w:val="0"/>
              <w:autoSpaceDN w:val="0"/>
              <w:adjustRightInd w:val="0"/>
              <w:jc w:val="both"/>
              <w:rPr>
                <w:rFonts w:eastAsia="MS Mincho" w:cs="Times New Roman"/>
                <w:b/>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Quand les flux sont adressés directement à T2S par un DCP, l</w:t>
            </w:r>
            <w:r w:rsidRPr="006F019A">
              <w:rPr>
                <w:rFonts w:eastAsia="MS Mincho" w:cs="Times New Roman"/>
                <w:noProof/>
                <w:szCs w:val="32"/>
                <w:lang w:val="fr-FR"/>
              </w:rPr>
              <w:t xml:space="preserve">es contrôles </w:t>
            </w:r>
            <w:r>
              <w:rPr>
                <w:rFonts w:eastAsia="MS Mincho" w:cs="Times New Roman"/>
                <w:noProof/>
                <w:szCs w:val="32"/>
                <w:lang w:val="fr-FR"/>
              </w:rPr>
              <w:t xml:space="preserve">de </w:t>
            </w:r>
            <w:r w:rsidRPr="006F019A">
              <w:rPr>
                <w:rFonts w:eastAsia="MS Mincho" w:cs="Times New Roman"/>
                <w:noProof/>
                <w:szCs w:val="32"/>
                <w:lang w:val="fr-FR"/>
              </w:rPr>
              <w:t xml:space="preserve">pré-dénouement ne </w:t>
            </w:r>
            <w:r>
              <w:rPr>
                <w:rFonts w:eastAsia="MS Mincho" w:cs="Times New Roman"/>
                <w:noProof/>
                <w:szCs w:val="32"/>
                <w:lang w:val="fr-FR"/>
              </w:rPr>
              <w:t xml:space="preserve">sont pas </w:t>
            </w:r>
            <w:r w:rsidRPr="006F019A">
              <w:rPr>
                <w:rFonts w:eastAsia="MS Mincho" w:cs="Times New Roman"/>
                <w:noProof/>
                <w:szCs w:val="32"/>
                <w:lang w:val="fr-FR"/>
              </w:rPr>
              <w:t>réalisés par Euroclear</w:t>
            </w:r>
            <w:r>
              <w:rPr>
                <w:rFonts w:eastAsia="MS Mincho" w:cs="Times New Roman"/>
                <w:noProof/>
                <w:szCs w:val="32"/>
                <w:lang w:val="fr-FR"/>
              </w:rPr>
              <w:t xml:space="preserve"> mais par T2S. Le contrôle porte sur la  compatibilité des NdC.</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 xml:space="preserve">Néanmoins T2S effectuant des contrôles limités, sera dans certains cas amené à interroger le CSD pour confirmer le dénouement de l’instruction. Exemple : compatibilité entre la nature de compte utilisée et l’affilié concerné. Il peut s’agir par exemple d’un crédit en faveur d’un compte correspondant à la nature 09. En effet, T2S ne peut vérifier à son niveau s’il s’agit bien du compte du mandataire de l’émetteur. </w:t>
            </w:r>
          </w:p>
          <w:p w:rsidR="00F45CCC" w:rsidRDefault="00F45CCC" w:rsidP="00F45CCC">
            <w:pPr>
              <w:jc w:val="both"/>
              <w:rPr>
                <w:rFonts w:eastAsia="MS Mincho" w:cs="Times New Roman"/>
                <w:noProof/>
                <w:szCs w:val="32"/>
                <w:lang w:val="fr-FR"/>
              </w:rPr>
            </w:pPr>
            <w:r>
              <w:rPr>
                <w:rFonts w:eastAsia="MS Mincho" w:cs="Times New Roman"/>
                <w:noProof/>
                <w:szCs w:val="32"/>
                <w:lang w:val="fr-FR"/>
              </w:rPr>
              <w:t>Dans ce cas les mouvements sont mis en « CSD validation Hold » par T2S  et renvoyés à ESES qui pourra également les contrôler en pré-dénouement et eventuellement rejeter l’instruction émise par le DCP.</w:t>
            </w:r>
          </w:p>
          <w:p w:rsidR="00F45CCC" w:rsidRPr="00F967B2" w:rsidRDefault="00F45CCC" w:rsidP="00F45CCC">
            <w:pPr>
              <w:jc w:val="both"/>
              <w:rPr>
                <w:rFonts w:eastAsia="MS Mincho" w:cs="Times New Roman"/>
                <w:b/>
                <w:noProof/>
                <w:szCs w:val="32"/>
                <w:lang w:val="fr-FR"/>
              </w:rPr>
            </w:pPr>
          </w:p>
          <w:p w:rsidR="00F45CCC" w:rsidRDefault="00F45CCC" w:rsidP="00F45CCC">
            <w:pPr>
              <w:jc w:val="both"/>
              <w:rPr>
                <w:rFonts w:eastAsia="MS Mincho" w:cs="Times New Roman"/>
                <w:noProof/>
                <w:szCs w:val="32"/>
                <w:lang w:val="fr-FR"/>
              </w:rPr>
            </w:pPr>
          </w:p>
          <w:p w:rsidR="00F45CCC" w:rsidRPr="00F967B2" w:rsidRDefault="00F45CCC" w:rsidP="00F45CCC">
            <w:pPr>
              <w:pStyle w:val="ListParagraph"/>
              <w:numPr>
                <w:ilvl w:val="0"/>
                <w:numId w:val="14"/>
              </w:numPr>
              <w:jc w:val="both"/>
              <w:rPr>
                <w:rFonts w:eastAsia="MS Mincho" w:cs="Times New Roman"/>
                <w:noProof/>
                <w:szCs w:val="32"/>
                <w:lang w:val="fr-FR"/>
              </w:rPr>
            </w:pPr>
            <w:r w:rsidRPr="0061645A">
              <w:rPr>
                <w:rFonts w:eastAsia="MS Mincho" w:cs="Times New Roman"/>
                <w:b/>
                <w:noProof/>
                <w:szCs w:val="32"/>
                <w:lang w:val="fr-FR"/>
              </w:rPr>
              <w:t xml:space="preserve">Gestion des Codes retours  </w:t>
            </w:r>
            <w:r>
              <w:rPr>
                <w:rFonts w:eastAsia="MS Mincho" w:cs="Times New Roman"/>
                <w:b/>
                <w:noProof/>
                <w:szCs w:val="32"/>
                <w:lang w:val="fr-FR"/>
              </w:rPr>
              <w:t xml:space="preserve">T2S </w:t>
            </w:r>
            <w:r w:rsidRPr="0061645A">
              <w:rPr>
                <w:rFonts w:eastAsia="MS Mincho" w:cs="Times New Roman"/>
                <w:b/>
                <w:noProof/>
                <w:szCs w:val="32"/>
                <w:lang w:val="fr-FR"/>
              </w:rPr>
              <w:t xml:space="preserve">communs aux DCP / ICP </w:t>
            </w:r>
          </w:p>
          <w:p w:rsidR="00F45CCC" w:rsidRDefault="00F45CCC" w:rsidP="00F45CCC">
            <w:pPr>
              <w:jc w:val="both"/>
              <w:rPr>
                <w:rFonts w:eastAsia="MS Mincho" w:cs="Times New Roman"/>
                <w:noProof/>
                <w:szCs w:val="32"/>
                <w:lang w:val="fr-FR"/>
              </w:rPr>
            </w:pPr>
          </w:p>
          <w:p w:rsidR="00F45CCC" w:rsidRPr="0061645A" w:rsidRDefault="00F45CCC" w:rsidP="00F45CCC">
            <w:pPr>
              <w:jc w:val="both"/>
              <w:rPr>
                <w:rFonts w:eastAsia="MS Mincho" w:cs="Times New Roman"/>
                <w:noProof/>
                <w:szCs w:val="32"/>
                <w:lang w:val="fr-FR"/>
              </w:rPr>
            </w:pPr>
            <w:r w:rsidRPr="0061645A">
              <w:rPr>
                <w:rFonts w:eastAsia="MS Mincho" w:cs="Times New Roman"/>
                <w:noProof/>
                <w:szCs w:val="32"/>
                <w:lang w:val="fr-FR"/>
              </w:rPr>
              <w:t xml:space="preserve">Gestion des codes retours de rejet ICP / DCP </w:t>
            </w:r>
          </w:p>
          <w:p w:rsidR="00F45CCC" w:rsidRDefault="00F45CCC" w:rsidP="00F45CCC">
            <w:pPr>
              <w:jc w:val="both"/>
              <w:rPr>
                <w:rFonts w:eastAsia="MS Mincho" w:cs="Times New Roman"/>
                <w:noProof/>
                <w:szCs w:val="32"/>
                <w:lang w:val="fr-FR"/>
              </w:rPr>
            </w:pPr>
            <w:r>
              <w:rPr>
                <w:rFonts w:eastAsia="MS Mincho" w:cs="Times New Roman"/>
                <w:noProof/>
                <w:szCs w:val="32"/>
                <w:lang w:val="fr-FR"/>
              </w:rPr>
              <w:t>La table de correspondance entre les messages de rejet qui seront générés par T2S à l’issue des contrôles de pré-dénouement, et les codes rejets actuels utilisés dans ESES, figure en annexe de cette fiche.</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Les codes retours de rejet - T2S seront identiques, que les opérations soient transmises en ICP ou en DCP.</w:t>
            </w:r>
          </w:p>
          <w:p w:rsidR="00F45CCC" w:rsidRDefault="00F45CCC" w:rsidP="00F45CCC">
            <w:pPr>
              <w:jc w:val="both"/>
              <w:rPr>
                <w:rFonts w:eastAsia="MS Mincho" w:cs="Times New Roman"/>
                <w:noProof/>
                <w:szCs w:val="32"/>
                <w:lang w:val="fr-FR"/>
              </w:rPr>
            </w:pPr>
            <w:r>
              <w:rPr>
                <w:rFonts w:eastAsia="MS Mincho" w:cs="Times New Roman"/>
                <w:noProof/>
                <w:szCs w:val="32"/>
                <w:lang w:val="fr-FR"/>
              </w:rPr>
              <w:t>A ce stade, les rejets T2S, le non respect des « restriction type », sera indiqué par un code unique : MVSR703 et ce, quelle que soit la raison du rejet. Une demande de modification pour faire figurer le type de rejet est en cours.</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p>
          <w:p w:rsidR="00F45CCC" w:rsidRPr="00F967B2" w:rsidRDefault="00F45CCC" w:rsidP="00F45CCC">
            <w:pPr>
              <w:pStyle w:val="ListParagraph"/>
              <w:numPr>
                <w:ilvl w:val="0"/>
                <w:numId w:val="14"/>
              </w:numPr>
              <w:jc w:val="both"/>
              <w:rPr>
                <w:rFonts w:eastAsia="MS Mincho" w:cs="Times New Roman"/>
                <w:b/>
                <w:noProof/>
                <w:szCs w:val="32"/>
                <w:lang w:val="fr-FR"/>
              </w:rPr>
            </w:pPr>
            <w:r>
              <w:rPr>
                <w:rFonts w:eastAsia="MS Mincho" w:cs="Times New Roman"/>
                <w:b/>
                <w:noProof/>
                <w:szCs w:val="32"/>
                <w:lang w:val="fr-FR"/>
              </w:rPr>
              <w:t xml:space="preserve">Les contrôles </w:t>
            </w:r>
            <w:r w:rsidRPr="00F967B2">
              <w:rPr>
                <w:rFonts w:eastAsia="MS Mincho" w:cs="Times New Roman"/>
                <w:b/>
                <w:noProof/>
                <w:szCs w:val="32"/>
                <w:lang w:val="fr-FR"/>
              </w:rPr>
              <w:t xml:space="preserve">Post dénouement : </w:t>
            </w:r>
          </w:p>
          <w:p w:rsidR="00F45CCC" w:rsidRDefault="00F45CCC" w:rsidP="00F45CCC">
            <w:pPr>
              <w:jc w:val="both"/>
              <w:rPr>
                <w:rFonts w:eastAsia="MS Mincho" w:cs="Times New Roman"/>
                <w:b/>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 xml:space="preserve">Le contrôle du CTO dans les instructions « free of payment » (FOP), et ce, quel que soit le type d’instruction (cf. liste des CTO en page 3) concernant le nominatif, ne sera pas assuré par </w:t>
            </w:r>
            <w:r w:rsidRPr="009945FA">
              <w:rPr>
                <w:rFonts w:eastAsia="MS Mincho" w:cs="Times New Roman"/>
                <w:noProof/>
                <w:szCs w:val="32"/>
                <w:lang w:val="fr-FR"/>
              </w:rPr>
              <w:t>T2S</w:t>
            </w:r>
            <w:r>
              <w:rPr>
                <w:rFonts w:eastAsia="MS Mincho" w:cs="Times New Roman"/>
                <w:noProof/>
                <w:szCs w:val="32"/>
                <w:lang w:val="fr-FR"/>
              </w:rPr>
              <w:t xml:space="preserve"> mais par Euroclear post dénouement </w:t>
            </w:r>
          </w:p>
          <w:p w:rsidR="00F45CCC" w:rsidRDefault="00F45CCC" w:rsidP="00F45CCC">
            <w:pPr>
              <w:jc w:val="both"/>
              <w:rPr>
                <w:rFonts w:eastAsia="MS Mincho" w:cs="Times New Roman"/>
                <w:noProof/>
                <w:szCs w:val="32"/>
                <w:lang w:val="fr-FR"/>
              </w:rPr>
            </w:pPr>
          </w:p>
          <w:p w:rsidR="00F45CCC" w:rsidRDefault="00F45CCC" w:rsidP="00F45CCC">
            <w:pPr>
              <w:pStyle w:val="ListParagraph"/>
              <w:numPr>
                <w:ilvl w:val="0"/>
                <w:numId w:val="13"/>
              </w:numPr>
              <w:jc w:val="both"/>
              <w:rPr>
                <w:rFonts w:eastAsia="MS Mincho" w:cs="Times New Roman"/>
                <w:b/>
                <w:noProof/>
                <w:szCs w:val="32"/>
                <w:lang w:val="fr-FR"/>
              </w:rPr>
            </w:pPr>
            <w:r w:rsidRPr="001D2CEE">
              <w:rPr>
                <w:rFonts w:eastAsia="MS Mincho" w:cs="Times New Roman"/>
                <w:b/>
                <w:noProof/>
                <w:szCs w:val="32"/>
                <w:lang w:val="fr-FR"/>
              </w:rPr>
              <w:t>Procédure Euroclear </w:t>
            </w:r>
            <w:r>
              <w:rPr>
                <w:rFonts w:eastAsia="MS Mincho" w:cs="Times New Roman"/>
                <w:b/>
                <w:noProof/>
                <w:szCs w:val="32"/>
                <w:lang w:val="fr-FR"/>
              </w:rPr>
              <w:t xml:space="preserve">de contrôle post dénouement </w:t>
            </w:r>
            <w:r w:rsidRPr="001D2CEE">
              <w:rPr>
                <w:rFonts w:eastAsia="MS Mincho" w:cs="Times New Roman"/>
                <w:b/>
                <w:noProof/>
                <w:szCs w:val="32"/>
                <w:lang w:val="fr-FR"/>
              </w:rPr>
              <w:t xml:space="preserve">: </w:t>
            </w:r>
          </w:p>
          <w:p w:rsidR="00F45CCC" w:rsidRDefault="00F45CCC" w:rsidP="00F45CCC">
            <w:pPr>
              <w:pStyle w:val="ListParagraph"/>
              <w:numPr>
                <w:ilvl w:val="0"/>
                <w:numId w:val="11"/>
              </w:numPr>
              <w:jc w:val="both"/>
              <w:rPr>
                <w:rFonts w:eastAsia="MS Mincho" w:cs="Times New Roman"/>
                <w:noProof/>
                <w:szCs w:val="32"/>
                <w:lang w:val="fr-FR"/>
              </w:rPr>
            </w:pPr>
            <w:r w:rsidRPr="009D2B2C">
              <w:rPr>
                <w:rFonts w:eastAsia="MS Mincho" w:cs="Times New Roman"/>
                <w:noProof/>
                <w:szCs w:val="32"/>
                <w:lang w:val="fr-FR"/>
              </w:rPr>
              <w:t xml:space="preserve">Si le CTO est différent, </w:t>
            </w:r>
            <w:r>
              <w:rPr>
                <w:rFonts w:eastAsia="MS Mincho" w:cs="Times New Roman"/>
                <w:noProof/>
                <w:szCs w:val="32"/>
                <w:lang w:val="fr-FR"/>
              </w:rPr>
              <w:t>celui</w:t>
            </w:r>
            <w:r w:rsidRPr="009D2B2C">
              <w:rPr>
                <w:rFonts w:eastAsia="MS Mincho" w:cs="Times New Roman"/>
                <w:noProof/>
                <w:szCs w:val="32"/>
                <w:lang w:val="fr-FR"/>
              </w:rPr>
              <w:t xml:space="preserve"> renseigné par l</w:t>
            </w:r>
            <w:r>
              <w:rPr>
                <w:rFonts w:eastAsia="MS Mincho" w:cs="Times New Roman"/>
                <w:noProof/>
                <w:szCs w:val="32"/>
                <w:lang w:val="fr-FR"/>
              </w:rPr>
              <w:t xml:space="preserve">e participant livreur de l’instruction </w:t>
            </w:r>
            <w:r w:rsidRPr="009D2B2C">
              <w:rPr>
                <w:rFonts w:eastAsia="MS Mincho" w:cs="Times New Roman"/>
                <w:noProof/>
                <w:szCs w:val="32"/>
                <w:lang w:val="fr-FR"/>
              </w:rPr>
              <w:t>primera</w:t>
            </w:r>
            <w:r>
              <w:rPr>
                <w:rFonts w:eastAsia="MS Mincho" w:cs="Times New Roman"/>
                <w:noProof/>
                <w:szCs w:val="32"/>
                <w:lang w:val="fr-FR"/>
              </w:rPr>
              <w:t xml:space="preserve"> et sera appliqué au bénéficiaire de l’instruction</w:t>
            </w:r>
          </w:p>
          <w:p w:rsidR="00F45CCC" w:rsidRPr="009D2B2C" w:rsidRDefault="00F45CCC" w:rsidP="00F45CCC">
            <w:pPr>
              <w:pStyle w:val="ListParagraph"/>
              <w:jc w:val="both"/>
              <w:rPr>
                <w:rFonts w:eastAsia="MS Mincho" w:cs="Times New Roman"/>
                <w:noProof/>
                <w:szCs w:val="32"/>
                <w:lang w:val="fr-FR"/>
              </w:rPr>
            </w:pPr>
          </w:p>
          <w:p w:rsidR="00F45CCC" w:rsidRPr="00B925B2" w:rsidRDefault="00F45CCC" w:rsidP="00F45CCC">
            <w:pPr>
              <w:pStyle w:val="ListParagraph"/>
              <w:numPr>
                <w:ilvl w:val="0"/>
                <w:numId w:val="11"/>
              </w:numPr>
              <w:jc w:val="both"/>
              <w:rPr>
                <w:rFonts w:eastAsia="MS Mincho" w:cs="Times New Roman"/>
                <w:noProof/>
                <w:color w:val="FF0000"/>
                <w:szCs w:val="32"/>
                <w:lang w:val="fr-FR"/>
              </w:rPr>
            </w:pPr>
            <w:r w:rsidRPr="009D2B2C">
              <w:rPr>
                <w:rFonts w:eastAsia="MS Mincho" w:cs="Times New Roman"/>
                <w:noProof/>
                <w:szCs w:val="32"/>
                <w:lang w:val="fr-FR"/>
              </w:rPr>
              <w:t xml:space="preserve">Si aucun CTO n’est renseigné ou </w:t>
            </w:r>
            <w:r>
              <w:rPr>
                <w:rFonts w:eastAsia="MS Mincho" w:cs="Times New Roman"/>
                <w:noProof/>
                <w:szCs w:val="32"/>
                <w:lang w:val="fr-FR"/>
              </w:rPr>
              <w:t>si le CTO</w:t>
            </w:r>
            <w:r w:rsidRPr="009D2B2C">
              <w:rPr>
                <w:rFonts w:eastAsia="MS Mincho" w:cs="Times New Roman"/>
                <w:noProof/>
                <w:szCs w:val="32"/>
                <w:lang w:val="fr-FR"/>
              </w:rPr>
              <w:t xml:space="preserve"> est incohérent, alors </w:t>
            </w:r>
            <w:r>
              <w:rPr>
                <w:rFonts w:eastAsia="MS Mincho" w:cs="Times New Roman"/>
                <w:noProof/>
                <w:szCs w:val="32"/>
                <w:lang w:val="fr-FR"/>
              </w:rPr>
              <w:t>ESES enregistrera le mouvement</w:t>
            </w:r>
            <w:r w:rsidRPr="009D2B2C">
              <w:rPr>
                <w:rFonts w:eastAsia="MS Mincho" w:cs="Times New Roman"/>
                <w:noProof/>
                <w:szCs w:val="32"/>
                <w:lang w:val="fr-FR"/>
              </w:rPr>
              <w:t xml:space="preserve"> en compte erreur de comptabilité auxiliaire chez l’émetteur</w:t>
            </w:r>
            <w:r>
              <w:rPr>
                <w:rFonts w:eastAsia="MS Mincho" w:cs="Times New Roman"/>
                <w:noProof/>
                <w:szCs w:val="32"/>
                <w:lang w:val="fr-FR"/>
              </w:rPr>
              <w:t xml:space="preserve"> </w:t>
            </w:r>
            <w:r w:rsidRPr="009D2B2C">
              <w:rPr>
                <w:rFonts w:eastAsia="MS Mincho" w:cs="Times New Roman"/>
                <w:noProof/>
                <w:szCs w:val="32"/>
                <w:lang w:val="fr-FR"/>
              </w:rPr>
              <w:t xml:space="preserve">de l’instruction </w:t>
            </w:r>
            <w:r>
              <w:rPr>
                <w:rFonts w:eastAsia="MS Mincho" w:cs="Times New Roman"/>
                <w:noProof/>
                <w:szCs w:val="32"/>
                <w:lang w:val="fr-FR"/>
              </w:rPr>
              <w:t>ainsi que</w:t>
            </w:r>
            <w:r w:rsidRPr="009D2B2C">
              <w:rPr>
                <w:rFonts w:eastAsia="MS Mincho" w:cs="Times New Roman"/>
                <w:noProof/>
                <w:szCs w:val="32"/>
                <w:lang w:val="fr-FR"/>
              </w:rPr>
              <w:t xml:space="preserve"> </w:t>
            </w:r>
            <w:r>
              <w:rPr>
                <w:rFonts w:eastAsia="MS Mincho" w:cs="Times New Roman"/>
                <w:noProof/>
                <w:szCs w:val="32"/>
                <w:lang w:val="fr-FR"/>
              </w:rPr>
              <w:t xml:space="preserve">chez </w:t>
            </w:r>
            <w:r w:rsidRPr="009D2B2C">
              <w:rPr>
                <w:rFonts w:eastAsia="MS Mincho" w:cs="Times New Roman"/>
                <w:noProof/>
                <w:szCs w:val="32"/>
                <w:lang w:val="fr-FR"/>
              </w:rPr>
              <w:t xml:space="preserve">le </w:t>
            </w:r>
            <w:r w:rsidRPr="009D2B2C">
              <w:rPr>
                <w:rFonts w:eastAsia="MS Mincho" w:cs="Times New Roman"/>
                <w:noProof/>
                <w:szCs w:val="32"/>
                <w:lang w:val="fr-FR"/>
              </w:rPr>
              <w:lastRenderedPageBreak/>
              <w:t>bénéficiaire de l’instruction</w:t>
            </w:r>
            <w:r>
              <w:rPr>
                <w:rFonts w:eastAsia="MS Mincho" w:cs="Times New Roman"/>
                <w:noProof/>
                <w:szCs w:val="32"/>
                <w:lang w:val="fr-FR"/>
              </w:rPr>
              <w:t>. Pour rappel, seules les instructions ayant satisfait aux contrôles pré-dénouement figurant en page 4 pourront faire l’objet de ces contrôles post-dénouement entre le CTO du Franco ou du DVP et celui figurant dans le BRN.</w:t>
            </w:r>
          </w:p>
          <w:p w:rsidR="00F45CCC" w:rsidRPr="00F967B2"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L</w:t>
            </w:r>
            <w:r w:rsidRPr="009D2B2C">
              <w:rPr>
                <w:rFonts w:eastAsia="MS Mincho" w:cs="Times New Roman"/>
                <w:noProof/>
                <w:szCs w:val="32"/>
                <w:lang w:val="fr-FR"/>
              </w:rPr>
              <w:t>e</w:t>
            </w:r>
            <w:r>
              <w:rPr>
                <w:rFonts w:eastAsia="MS Mincho" w:cs="Times New Roman"/>
                <w:noProof/>
                <w:szCs w:val="32"/>
                <w:lang w:val="fr-FR"/>
              </w:rPr>
              <w:t>s</w:t>
            </w:r>
            <w:r w:rsidRPr="009D2B2C">
              <w:rPr>
                <w:rFonts w:eastAsia="MS Mincho" w:cs="Times New Roman"/>
                <w:noProof/>
                <w:szCs w:val="32"/>
                <w:lang w:val="fr-FR"/>
              </w:rPr>
              <w:t xml:space="preserve"> compte</w:t>
            </w:r>
            <w:r>
              <w:rPr>
                <w:rFonts w:eastAsia="MS Mincho" w:cs="Times New Roman"/>
                <w:noProof/>
                <w:szCs w:val="32"/>
                <w:lang w:val="fr-FR"/>
              </w:rPr>
              <w:t>s</w:t>
            </w:r>
            <w:r w:rsidRPr="009D2B2C">
              <w:rPr>
                <w:rFonts w:eastAsia="MS Mincho" w:cs="Times New Roman"/>
                <w:noProof/>
                <w:szCs w:val="32"/>
                <w:lang w:val="fr-FR"/>
              </w:rPr>
              <w:t xml:space="preserve"> erreur s</w:t>
            </w:r>
            <w:r>
              <w:rPr>
                <w:rFonts w:eastAsia="MS Mincho" w:cs="Times New Roman"/>
                <w:noProof/>
                <w:szCs w:val="32"/>
                <w:lang w:val="fr-FR"/>
              </w:rPr>
              <w:t>on</w:t>
            </w:r>
            <w:r w:rsidRPr="009D2B2C">
              <w:rPr>
                <w:rFonts w:eastAsia="MS Mincho" w:cs="Times New Roman"/>
                <w:noProof/>
                <w:szCs w:val="32"/>
                <w:lang w:val="fr-FR"/>
              </w:rPr>
              <w:t xml:space="preserve">t </w:t>
            </w:r>
            <w:r>
              <w:rPr>
                <w:rFonts w:eastAsia="MS Mincho" w:cs="Times New Roman"/>
                <w:noProof/>
                <w:szCs w:val="32"/>
                <w:lang w:val="fr-FR"/>
              </w:rPr>
              <w:t>des</w:t>
            </w:r>
            <w:r w:rsidRPr="009D2B2C">
              <w:rPr>
                <w:rFonts w:eastAsia="MS Mincho" w:cs="Times New Roman"/>
                <w:noProof/>
                <w:szCs w:val="32"/>
                <w:lang w:val="fr-FR"/>
              </w:rPr>
              <w:t xml:space="preserve"> compte</w:t>
            </w:r>
            <w:r>
              <w:rPr>
                <w:rFonts w:eastAsia="MS Mincho" w:cs="Times New Roman"/>
                <w:noProof/>
                <w:szCs w:val="32"/>
                <w:lang w:val="fr-FR"/>
              </w:rPr>
              <w:t>s</w:t>
            </w:r>
            <w:r w:rsidRPr="009D2B2C">
              <w:rPr>
                <w:rFonts w:eastAsia="MS Mincho" w:cs="Times New Roman"/>
                <w:noProof/>
                <w:szCs w:val="32"/>
                <w:lang w:val="fr-FR"/>
              </w:rPr>
              <w:t xml:space="preserve"> de comptabilité auxiliaire</w:t>
            </w:r>
            <w:r>
              <w:rPr>
                <w:rFonts w:eastAsia="MS Mincho" w:cs="Times New Roman"/>
                <w:noProof/>
                <w:szCs w:val="32"/>
                <w:lang w:val="fr-FR"/>
              </w:rPr>
              <w:t xml:space="preserve"> créés à l’occasion de le mise en œuvre de T2S</w:t>
            </w:r>
            <w:r w:rsidRPr="009D2B2C">
              <w:rPr>
                <w:rFonts w:eastAsia="MS Mincho" w:cs="Times New Roman"/>
                <w:noProof/>
                <w:szCs w:val="32"/>
                <w:lang w:val="fr-FR"/>
              </w:rPr>
              <w:t xml:space="preserve"> qui fer</w:t>
            </w:r>
            <w:r>
              <w:rPr>
                <w:rFonts w:eastAsia="MS Mincho" w:cs="Times New Roman"/>
                <w:noProof/>
                <w:szCs w:val="32"/>
                <w:lang w:val="fr-FR"/>
              </w:rPr>
              <w:t>ont</w:t>
            </w:r>
            <w:r w:rsidRPr="009D2B2C">
              <w:rPr>
                <w:rFonts w:eastAsia="MS Mincho" w:cs="Times New Roman"/>
                <w:noProof/>
                <w:szCs w:val="32"/>
                <w:lang w:val="fr-FR"/>
              </w:rPr>
              <w:t xml:space="preserve"> l’objet d’un reporting, et d’éventuelles mises en demeure et pénalités.</w:t>
            </w:r>
            <w:r>
              <w:rPr>
                <w:rFonts w:eastAsia="MS Mincho" w:cs="Times New Roman"/>
                <w:noProof/>
                <w:szCs w:val="32"/>
                <w:lang w:val="fr-FR"/>
              </w:rPr>
              <w:t xml:space="preserve"> Ces comptes erreur seront les comptes 52 (crédits) et 62 (débits).</w:t>
            </w:r>
          </w:p>
          <w:p w:rsidR="00F45CCC" w:rsidRDefault="00F45CCC" w:rsidP="00F45CCC">
            <w:pPr>
              <w:jc w:val="both"/>
              <w:rPr>
                <w:rFonts w:eastAsia="MS Mincho" w:cs="Times New Roman"/>
                <w:b/>
                <w:noProof/>
                <w:szCs w:val="32"/>
                <w:lang w:val="fr-FR"/>
              </w:rPr>
            </w:pPr>
          </w:p>
          <w:p w:rsidR="00F45CCC" w:rsidRDefault="00F45CCC" w:rsidP="00F45CCC">
            <w:pPr>
              <w:jc w:val="both"/>
              <w:rPr>
                <w:rFonts w:eastAsia="MS Mincho" w:cs="Times New Roman"/>
                <w:b/>
                <w:noProof/>
                <w:szCs w:val="32"/>
                <w:lang w:val="fr-FR"/>
              </w:rPr>
            </w:pPr>
          </w:p>
          <w:tbl>
            <w:tblPr>
              <w:tblStyle w:val="LightGrid-Accent1"/>
              <w:tblW w:w="7776" w:type="dxa"/>
              <w:tblLayout w:type="fixed"/>
              <w:tblLook w:val="0420" w:firstRow="1" w:lastRow="0" w:firstColumn="0" w:lastColumn="0" w:noHBand="0" w:noVBand="1"/>
            </w:tblPr>
            <w:tblGrid>
              <w:gridCol w:w="1036"/>
              <w:gridCol w:w="1374"/>
              <w:gridCol w:w="1291"/>
              <w:gridCol w:w="794"/>
              <w:gridCol w:w="1561"/>
              <w:gridCol w:w="1720"/>
            </w:tblGrid>
            <w:tr w:rsidR="00F45CCC" w:rsidRPr="00951B18" w:rsidTr="00924CEF">
              <w:trPr>
                <w:cnfStyle w:val="100000000000" w:firstRow="1" w:lastRow="0" w:firstColumn="0" w:lastColumn="0" w:oddVBand="0" w:evenVBand="0" w:oddHBand="0" w:evenHBand="0" w:firstRowFirstColumn="0" w:firstRowLastColumn="0" w:lastRowFirstColumn="0" w:lastRowLastColumn="0"/>
                <w:trHeight w:val="340"/>
              </w:trPr>
              <w:tc>
                <w:tcPr>
                  <w:tcW w:w="1036" w:type="dxa"/>
                  <w:shd w:val="clear" w:color="auto" w:fill="DBE5F1" w:themeFill="accent1" w:themeFillTint="33"/>
                  <w:vAlign w:val="center"/>
                  <w:hideMark/>
                </w:tcPr>
                <w:p w:rsidR="00F45CCC" w:rsidRPr="0019289E" w:rsidRDefault="00F45CCC" w:rsidP="00924CEF">
                  <w:pPr>
                    <w:rPr>
                      <w:rFonts w:asciiTheme="minorHAnsi" w:eastAsia="MS Mincho" w:hAnsiTheme="minorHAnsi" w:cstheme="minorHAnsi"/>
                      <w:noProof/>
                      <w:sz w:val="16"/>
                      <w:szCs w:val="16"/>
                      <w:lang w:val="fr-FR"/>
                    </w:rPr>
                  </w:pPr>
                  <w:r w:rsidRPr="0019289E">
                    <w:rPr>
                      <w:rFonts w:asciiTheme="minorHAnsi" w:eastAsia="MS Mincho" w:hAnsiTheme="minorHAnsi" w:cstheme="minorHAnsi"/>
                      <w:bCs w:val="0"/>
                      <w:noProof/>
                      <w:sz w:val="16"/>
                      <w:szCs w:val="16"/>
                      <w:lang w:val="fr-FR"/>
                    </w:rPr>
                    <w:t>Participants</w:t>
                  </w:r>
                </w:p>
              </w:tc>
              <w:tc>
                <w:tcPr>
                  <w:tcW w:w="1374" w:type="dxa"/>
                  <w:shd w:val="clear" w:color="auto" w:fill="DBE5F1" w:themeFill="accent1" w:themeFillTint="33"/>
                  <w:vAlign w:val="center"/>
                  <w:hideMark/>
                </w:tcPr>
                <w:p w:rsidR="00F45CCC" w:rsidRPr="0019289E" w:rsidRDefault="00F45CCC" w:rsidP="00924CEF">
                  <w:pPr>
                    <w:ind w:right="100"/>
                    <w:rPr>
                      <w:rFonts w:asciiTheme="minorHAnsi" w:eastAsia="MS Mincho" w:hAnsiTheme="minorHAnsi" w:cstheme="minorHAnsi"/>
                      <w:noProof/>
                      <w:sz w:val="16"/>
                      <w:szCs w:val="16"/>
                      <w:lang w:val="fr-FR"/>
                    </w:rPr>
                  </w:pPr>
                  <w:r w:rsidRPr="0019289E">
                    <w:rPr>
                      <w:rFonts w:asciiTheme="minorHAnsi" w:eastAsia="MS Mincho" w:hAnsiTheme="minorHAnsi" w:cstheme="minorHAnsi"/>
                      <w:bCs w:val="0"/>
                      <w:noProof/>
                      <w:sz w:val="16"/>
                      <w:szCs w:val="16"/>
                      <w:lang w:val="fr-FR"/>
                    </w:rPr>
                    <w:t>Connectivité</w:t>
                  </w:r>
                </w:p>
              </w:tc>
              <w:tc>
                <w:tcPr>
                  <w:tcW w:w="1291" w:type="dxa"/>
                  <w:shd w:val="clear" w:color="auto" w:fill="DBE5F1" w:themeFill="accent1" w:themeFillTint="33"/>
                  <w:vAlign w:val="center"/>
                  <w:hideMark/>
                </w:tcPr>
                <w:p w:rsidR="00F45CCC" w:rsidRPr="0019289E" w:rsidRDefault="00F45CCC" w:rsidP="00924CEF">
                  <w:pPr>
                    <w:rPr>
                      <w:rFonts w:asciiTheme="minorHAnsi" w:eastAsia="MS Mincho" w:hAnsiTheme="minorHAnsi" w:cstheme="minorHAnsi"/>
                      <w:bCs w:val="0"/>
                      <w:noProof/>
                      <w:sz w:val="16"/>
                      <w:szCs w:val="16"/>
                      <w:lang w:val="fr-FR"/>
                    </w:rPr>
                  </w:pPr>
                  <w:r w:rsidRPr="0019289E">
                    <w:rPr>
                      <w:rFonts w:asciiTheme="minorHAnsi" w:eastAsia="MS Mincho" w:hAnsiTheme="minorHAnsi" w:cstheme="minorHAnsi"/>
                      <w:bCs w:val="0"/>
                      <w:noProof/>
                      <w:sz w:val="16"/>
                      <w:szCs w:val="16"/>
                      <w:lang w:val="fr-FR"/>
                    </w:rPr>
                    <w:t>CTO FOP</w:t>
                  </w:r>
                </w:p>
              </w:tc>
              <w:tc>
                <w:tcPr>
                  <w:tcW w:w="794" w:type="dxa"/>
                  <w:shd w:val="clear" w:color="auto" w:fill="DBE5F1" w:themeFill="accent1" w:themeFillTint="33"/>
                  <w:vAlign w:val="center"/>
                  <w:hideMark/>
                </w:tcPr>
                <w:p w:rsidR="00F45CCC" w:rsidRPr="0019289E" w:rsidRDefault="00F45CCC" w:rsidP="00924CEF">
                  <w:pPr>
                    <w:rPr>
                      <w:rFonts w:asciiTheme="minorHAnsi" w:eastAsia="MS Mincho" w:hAnsiTheme="minorHAnsi" w:cstheme="minorHAnsi"/>
                      <w:bCs w:val="0"/>
                      <w:noProof/>
                      <w:sz w:val="16"/>
                      <w:szCs w:val="16"/>
                      <w:lang w:val="fr-FR"/>
                    </w:rPr>
                  </w:pPr>
                  <w:r w:rsidRPr="0019289E">
                    <w:rPr>
                      <w:rFonts w:asciiTheme="minorHAnsi" w:eastAsia="MS Mincho" w:hAnsiTheme="minorHAnsi" w:cstheme="minorHAnsi"/>
                      <w:bCs w:val="0"/>
                      <w:noProof/>
                      <w:sz w:val="16"/>
                      <w:szCs w:val="16"/>
                      <w:lang w:val="fr-FR"/>
                    </w:rPr>
                    <w:t>CTO BRN</w:t>
                  </w:r>
                </w:p>
              </w:tc>
              <w:tc>
                <w:tcPr>
                  <w:tcW w:w="1561" w:type="dxa"/>
                  <w:shd w:val="clear" w:color="auto" w:fill="DBE5F1" w:themeFill="accent1" w:themeFillTint="33"/>
                  <w:vAlign w:val="center"/>
                  <w:hideMark/>
                </w:tcPr>
                <w:p w:rsidR="00F45CCC" w:rsidRPr="0019289E" w:rsidRDefault="00F45CCC" w:rsidP="00924CEF">
                  <w:pPr>
                    <w:rPr>
                      <w:rFonts w:asciiTheme="minorHAnsi" w:eastAsia="MS Mincho" w:hAnsiTheme="minorHAnsi" w:cstheme="minorHAnsi"/>
                      <w:bCs w:val="0"/>
                      <w:noProof/>
                      <w:sz w:val="16"/>
                      <w:szCs w:val="16"/>
                      <w:lang w:val="fr-FR"/>
                    </w:rPr>
                  </w:pPr>
                  <w:r w:rsidRPr="0019289E">
                    <w:rPr>
                      <w:rFonts w:asciiTheme="minorHAnsi" w:eastAsia="MS Mincho" w:hAnsiTheme="minorHAnsi" w:cstheme="minorHAnsi"/>
                      <w:bCs w:val="0"/>
                      <w:noProof/>
                      <w:sz w:val="16"/>
                      <w:szCs w:val="16"/>
                      <w:lang w:val="fr-FR"/>
                    </w:rPr>
                    <w:t>Comptabilité auxiliaire</w:t>
                  </w:r>
                </w:p>
              </w:tc>
              <w:tc>
                <w:tcPr>
                  <w:tcW w:w="1720" w:type="dxa"/>
                  <w:shd w:val="clear" w:color="auto" w:fill="DBE5F1" w:themeFill="accent1" w:themeFillTint="33"/>
                  <w:vAlign w:val="center"/>
                  <w:hideMark/>
                </w:tcPr>
                <w:p w:rsidR="00F45CCC" w:rsidRPr="0019289E" w:rsidRDefault="00F45CCC" w:rsidP="00924CEF">
                  <w:pPr>
                    <w:rPr>
                      <w:rFonts w:asciiTheme="minorHAnsi" w:eastAsia="MS Mincho" w:hAnsiTheme="minorHAnsi" w:cstheme="minorHAnsi"/>
                      <w:bCs w:val="0"/>
                      <w:noProof/>
                      <w:sz w:val="16"/>
                      <w:szCs w:val="16"/>
                      <w:lang w:val="fr-FR"/>
                    </w:rPr>
                  </w:pPr>
                  <w:r w:rsidRPr="0019289E">
                    <w:rPr>
                      <w:rFonts w:asciiTheme="minorHAnsi" w:eastAsia="MS Mincho" w:hAnsiTheme="minorHAnsi" w:cstheme="minorHAnsi"/>
                      <w:bCs w:val="0"/>
                      <w:noProof/>
                      <w:sz w:val="16"/>
                      <w:szCs w:val="16"/>
                      <w:lang w:val="fr-FR"/>
                    </w:rPr>
                    <w:t>Régularisation</w:t>
                  </w:r>
                </w:p>
              </w:tc>
            </w:tr>
            <w:tr w:rsidR="00F45CCC" w:rsidRPr="00951B18" w:rsidTr="00924CEF">
              <w:trPr>
                <w:cnfStyle w:val="000000100000" w:firstRow="0" w:lastRow="0" w:firstColumn="0" w:lastColumn="0" w:oddVBand="0" w:evenVBand="0" w:oddHBand="1" w:evenHBand="0" w:firstRowFirstColumn="0" w:firstRowLastColumn="0" w:lastRowFirstColumn="0" w:lastRowLastColumn="0"/>
                <w:trHeight w:val="386"/>
              </w:trPr>
              <w:tc>
                <w:tcPr>
                  <w:tcW w:w="1036" w:type="dxa"/>
                  <w:vMerge w:val="restart"/>
                  <w:vAlign w:val="center"/>
                  <w:hideMark/>
                </w:tcPr>
                <w:p w:rsidR="00F45CCC" w:rsidRPr="0019289E" w:rsidRDefault="00F45CCC" w:rsidP="00924CEF">
                  <w:pPr>
                    <w:rPr>
                      <w:rFonts w:eastAsia="MS Mincho" w:cstheme="minorHAnsi"/>
                      <w:noProof/>
                      <w:sz w:val="16"/>
                      <w:szCs w:val="16"/>
                      <w:lang w:val="fr-FR"/>
                    </w:rPr>
                  </w:pPr>
                  <w:r>
                    <w:rPr>
                      <w:rFonts w:eastAsia="MS Mincho" w:cstheme="minorHAnsi"/>
                      <w:noProof/>
                      <w:sz w:val="16"/>
                      <w:szCs w:val="16"/>
                      <w:lang w:val="fr-FR"/>
                    </w:rPr>
                    <w:t xml:space="preserve">ICP Vs </w:t>
                  </w:r>
                  <w:r w:rsidRPr="0019289E">
                    <w:rPr>
                      <w:rFonts w:eastAsia="MS Mincho" w:cstheme="minorHAnsi"/>
                      <w:noProof/>
                      <w:sz w:val="16"/>
                      <w:szCs w:val="16"/>
                      <w:lang w:val="fr-FR"/>
                    </w:rPr>
                    <w:t xml:space="preserve"> ICP</w:t>
                  </w:r>
                </w:p>
              </w:tc>
              <w:tc>
                <w:tcPr>
                  <w:tcW w:w="1374"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STP ou Poste EuroclearConnect</w:t>
                  </w:r>
                </w:p>
              </w:tc>
              <w:tc>
                <w:tcPr>
                  <w:tcW w:w="2085" w:type="dxa"/>
                  <w:gridSpan w:val="2"/>
                  <w:vAlign w:val="center"/>
                  <w:hideMark/>
                </w:tcPr>
                <w:p w:rsidR="00F45CCC" w:rsidRPr="0019289E" w:rsidRDefault="00F45CCC" w:rsidP="00924CEF">
                  <w:pPr>
                    <w:jc w:val="center"/>
                    <w:rPr>
                      <w:rFonts w:eastAsia="MS Mincho" w:cstheme="minorHAnsi"/>
                      <w:noProof/>
                      <w:sz w:val="16"/>
                      <w:szCs w:val="16"/>
                      <w:lang w:val="fr-FR"/>
                    </w:rPr>
                  </w:pPr>
                  <w:r w:rsidRPr="0019289E">
                    <w:rPr>
                      <w:rFonts w:eastAsia="MS Mincho" w:cstheme="minorHAnsi"/>
                      <w:noProof/>
                      <w:sz w:val="16"/>
                      <w:szCs w:val="16"/>
                      <w:lang w:val="fr-FR"/>
                    </w:rPr>
                    <w:t>CTO identique</w:t>
                  </w:r>
                  <w:r>
                    <w:rPr>
                      <w:rFonts w:eastAsia="MS Mincho" w:cstheme="minorHAnsi"/>
                      <w:noProof/>
                      <w:sz w:val="16"/>
                      <w:szCs w:val="16"/>
                      <w:lang w:val="fr-FR"/>
                    </w:rPr>
                    <w:t>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identique</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Aucune régularisation</w:t>
                  </w:r>
                </w:p>
              </w:tc>
            </w:tr>
            <w:tr w:rsidR="00F45CCC" w:rsidRPr="00F45CCC" w:rsidTr="00924CEF">
              <w:trPr>
                <w:cnfStyle w:val="000000010000" w:firstRow="0" w:lastRow="0" w:firstColumn="0" w:lastColumn="0" w:oddVBand="0" w:evenVBand="0" w:oddHBand="0" w:evenHBand="1" w:firstRowFirstColumn="0" w:firstRowLastColumn="0" w:lastRowFirstColumn="0" w:lastRowLastColumn="0"/>
                <w:trHeight w:val="484"/>
              </w:trPr>
              <w:tc>
                <w:tcPr>
                  <w:tcW w:w="1036" w:type="dxa"/>
                  <w:vMerge/>
                  <w:vAlign w:val="center"/>
                  <w:hideMark/>
                </w:tcPr>
                <w:p w:rsidR="00F45CCC" w:rsidRPr="0019289E" w:rsidRDefault="00F45CCC" w:rsidP="00924CEF">
                  <w:pPr>
                    <w:rPr>
                      <w:rFonts w:eastAsia="MS Mincho" w:cstheme="minorHAnsi"/>
                      <w:noProof/>
                      <w:sz w:val="16"/>
                      <w:szCs w:val="16"/>
                      <w:lang w:val="fr-FR"/>
                    </w:rPr>
                  </w:pPr>
                </w:p>
              </w:tc>
              <w:tc>
                <w:tcPr>
                  <w:tcW w:w="1374" w:type="dxa"/>
                  <w:vMerge/>
                  <w:vAlign w:val="center"/>
                  <w:hideMark/>
                </w:tcPr>
                <w:p w:rsidR="00F45CCC" w:rsidRPr="0019289E" w:rsidRDefault="00F45CCC" w:rsidP="00924CEF">
                  <w:pPr>
                    <w:rPr>
                      <w:rFonts w:eastAsia="MS Mincho" w:cstheme="minorHAnsi"/>
                      <w:noProof/>
                      <w:sz w:val="16"/>
                      <w:szCs w:val="16"/>
                      <w:lang w:val="fr-FR"/>
                    </w:rPr>
                  </w:pPr>
                </w:p>
              </w:tc>
              <w:tc>
                <w:tcPr>
                  <w:tcW w:w="2085" w:type="dxa"/>
                  <w:gridSpan w:val="2"/>
                  <w:vAlign w:val="center"/>
                  <w:hideMark/>
                </w:tcPr>
                <w:p w:rsidR="00F45CCC" w:rsidRPr="0019289E" w:rsidRDefault="00F45CCC" w:rsidP="00924CEF">
                  <w:pPr>
                    <w:jc w:val="center"/>
                    <w:rPr>
                      <w:rFonts w:eastAsia="MS Mincho" w:cstheme="minorHAnsi"/>
                      <w:noProof/>
                      <w:sz w:val="16"/>
                      <w:szCs w:val="16"/>
                      <w:lang w:val="fr-FR"/>
                    </w:rPr>
                  </w:pPr>
                  <w:r w:rsidRPr="0019289E">
                    <w:rPr>
                      <w:rFonts w:eastAsia="MS Mincho" w:cstheme="minorHAnsi"/>
                      <w:noProof/>
                      <w:sz w:val="16"/>
                      <w:szCs w:val="16"/>
                      <w:lang w:val="fr-FR"/>
                    </w:rPr>
                    <w:t>CTO différents mais cohérents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alimentée en fonction du CTO du participant livreur</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Le participant receveur devra régulariser sa comptabilité auxiliaire par  formulaire Euroclear</w:t>
                  </w:r>
                </w:p>
              </w:tc>
            </w:tr>
            <w:tr w:rsidR="00F45CCC" w:rsidRPr="00D977EA" w:rsidTr="00924CEF">
              <w:trPr>
                <w:cnfStyle w:val="000000100000" w:firstRow="0" w:lastRow="0" w:firstColumn="0" w:lastColumn="0" w:oddVBand="0" w:evenVBand="0" w:oddHBand="1" w:evenHBand="0" w:firstRowFirstColumn="0" w:firstRowLastColumn="0" w:lastRowFirstColumn="0" w:lastRowLastColumn="0"/>
                <w:trHeight w:val="584"/>
              </w:trPr>
              <w:tc>
                <w:tcPr>
                  <w:tcW w:w="1036"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 xml:space="preserve">ICP </w:t>
                  </w:r>
                  <w:r>
                    <w:rPr>
                      <w:rFonts w:eastAsia="MS Mincho" w:cstheme="minorHAnsi"/>
                      <w:noProof/>
                      <w:sz w:val="16"/>
                      <w:szCs w:val="16"/>
                      <w:lang w:val="fr-FR"/>
                    </w:rPr>
                    <w:t xml:space="preserve">Vs </w:t>
                  </w:r>
                  <w:r w:rsidRPr="0019289E">
                    <w:rPr>
                      <w:rFonts w:eastAsia="MS Mincho" w:cstheme="minorHAnsi"/>
                      <w:noProof/>
                      <w:sz w:val="16"/>
                      <w:szCs w:val="16"/>
                      <w:lang w:val="fr-FR"/>
                    </w:rPr>
                    <w:t>DCP</w:t>
                  </w:r>
                </w:p>
                <w:p w:rsidR="00F45CCC" w:rsidRPr="0019289E" w:rsidRDefault="00F45CCC" w:rsidP="00924CEF">
                  <w:pPr>
                    <w:rPr>
                      <w:rFonts w:eastAsia="MS Mincho" w:cstheme="minorHAnsi"/>
                      <w:noProof/>
                      <w:sz w:val="16"/>
                      <w:szCs w:val="16"/>
                      <w:lang w:val="fr-FR"/>
                    </w:rPr>
                  </w:pPr>
                  <w:r>
                    <w:rPr>
                      <w:rFonts w:eastAsia="MS Mincho" w:cstheme="minorHAnsi"/>
                      <w:noProof/>
                      <w:sz w:val="16"/>
                      <w:szCs w:val="16"/>
                      <w:lang w:val="fr-FR"/>
                    </w:rPr>
                    <w:t>DCP Vs</w:t>
                  </w:r>
                  <w:r w:rsidRPr="0019289E">
                    <w:rPr>
                      <w:rFonts w:eastAsia="MS Mincho" w:cstheme="minorHAnsi"/>
                      <w:noProof/>
                      <w:sz w:val="16"/>
                      <w:szCs w:val="16"/>
                      <w:lang w:val="fr-FR"/>
                    </w:rPr>
                    <w:t xml:space="preserve"> DCP</w:t>
                  </w:r>
                </w:p>
              </w:tc>
              <w:tc>
                <w:tcPr>
                  <w:tcW w:w="1374"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STP ou Poste EuroclearConnect (uniquement ICP)</w:t>
                  </w:r>
                </w:p>
              </w:tc>
              <w:tc>
                <w:tcPr>
                  <w:tcW w:w="2085" w:type="dxa"/>
                  <w:gridSpan w:val="2"/>
                  <w:vAlign w:val="center"/>
                  <w:hideMark/>
                </w:tcPr>
                <w:p w:rsidR="00F45CCC" w:rsidRPr="0019289E" w:rsidRDefault="00F45CCC" w:rsidP="00924CEF">
                  <w:pPr>
                    <w:jc w:val="center"/>
                    <w:rPr>
                      <w:rFonts w:eastAsia="MS Mincho" w:cstheme="minorHAnsi"/>
                      <w:noProof/>
                      <w:sz w:val="16"/>
                      <w:szCs w:val="16"/>
                      <w:lang w:val="fr-FR"/>
                    </w:rPr>
                  </w:pPr>
                  <w:r w:rsidRPr="0019289E">
                    <w:rPr>
                      <w:rFonts w:eastAsia="MS Mincho" w:cstheme="minorHAnsi"/>
                      <w:noProof/>
                      <w:sz w:val="16"/>
                      <w:szCs w:val="16"/>
                      <w:lang w:val="fr-FR"/>
                    </w:rPr>
                    <w:t>CTO identique</w:t>
                  </w:r>
                  <w:r>
                    <w:rPr>
                      <w:rFonts w:eastAsia="MS Mincho" w:cstheme="minorHAnsi"/>
                      <w:noProof/>
                      <w:sz w:val="16"/>
                      <w:szCs w:val="16"/>
                      <w:lang w:val="fr-FR"/>
                    </w:rPr>
                    <w:t>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identique</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Aucune régularisation</w:t>
                  </w:r>
                </w:p>
              </w:tc>
            </w:tr>
            <w:tr w:rsidR="00F45CCC" w:rsidRPr="00F45CCC" w:rsidTr="00924CEF">
              <w:trPr>
                <w:cnfStyle w:val="000000010000" w:firstRow="0" w:lastRow="0" w:firstColumn="0" w:lastColumn="0" w:oddVBand="0" w:evenVBand="0" w:oddHBand="0" w:evenHBand="1" w:firstRowFirstColumn="0" w:firstRowLastColumn="0" w:lastRowFirstColumn="0" w:lastRowLastColumn="0"/>
                <w:trHeight w:val="584"/>
              </w:trPr>
              <w:tc>
                <w:tcPr>
                  <w:tcW w:w="1036" w:type="dxa"/>
                  <w:vMerge/>
                  <w:vAlign w:val="center"/>
                  <w:hideMark/>
                </w:tcPr>
                <w:p w:rsidR="00F45CCC" w:rsidRPr="0019289E" w:rsidRDefault="00F45CCC" w:rsidP="00924CEF">
                  <w:pPr>
                    <w:rPr>
                      <w:rFonts w:eastAsia="MS Mincho" w:cstheme="minorHAnsi"/>
                      <w:noProof/>
                      <w:sz w:val="16"/>
                      <w:szCs w:val="16"/>
                      <w:lang w:val="fr-FR"/>
                    </w:rPr>
                  </w:pPr>
                </w:p>
              </w:tc>
              <w:tc>
                <w:tcPr>
                  <w:tcW w:w="1374" w:type="dxa"/>
                  <w:vMerge/>
                  <w:vAlign w:val="center"/>
                  <w:hideMark/>
                </w:tcPr>
                <w:p w:rsidR="00F45CCC" w:rsidRPr="0019289E" w:rsidRDefault="00F45CCC" w:rsidP="00924CEF">
                  <w:pPr>
                    <w:rPr>
                      <w:rFonts w:eastAsia="MS Mincho" w:cstheme="minorHAnsi"/>
                      <w:noProof/>
                      <w:sz w:val="16"/>
                      <w:szCs w:val="16"/>
                      <w:lang w:val="fr-FR"/>
                    </w:rPr>
                  </w:pPr>
                </w:p>
              </w:tc>
              <w:tc>
                <w:tcPr>
                  <w:tcW w:w="2085" w:type="dxa"/>
                  <w:gridSpan w:val="2"/>
                  <w:vAlign w:val="center"/>
                  <w:hideMark/>
                </w:tcPr>
                <w:p w:rsidR="00F45CCC" w:rsidRPr="0019289E" w:rsidRDefault="00F45CCC" w:rsidP="00924CEF">
                  <w:pPr>
                    <w:jc w:val="center"/>
                    <w:rPr>
                      <w:rFonts w:eastAsia="MS Mincho" w:cstheme="minorHAnsi"/>
                      <w:noProof/>
                      <w:sz w:val="16"/>
                      <w:szCs w:val="16"/>
                      <w:lang w:val="fr-FR"/>
                    </w:rPr>
                  </w:pPr>
                  <w:r w:rsidRPr="0019289E">
                    <w:rPr>
                      <w:rFonts w:eastAsia="MS Mincho" w:cstheme="minorHAnsi"/>
                      <w:noProof/>
                      <w:sz w:val="16"/>
                      <w:szCs w:val="16"/>
                      <w:lang w:val="fr-FR"/>
                    </w:rPr>
                    <w:t>CTO différents mais cohérents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alimentée en fonction du CTO du participant livreur</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Le participant receveur devra régulariser sa comptabilité auxiliaire par  formulaire Euroclear</w:t>
                  </w:r>
                </w:p>
              </w:tc>
            </w:tr>
            <w:tr w:rsidR="00F45CCC" w:rsidRPr="00F45CCC" w:rsidTr="00924CEF">
              <w:trPr>
                <w:cnfStyle w:val="000000100000" w:firstRow="0" w:lastRow="0" w:firstColumn="0" w:lastColumn="0" w:oddVBand="0" w:evenVBand="0" w:oddHBand="1" w:evenHBand="0" w:firstRowFirstColumn="0" w:firstRowLastColumn="0" w:lastRowFirstColumn="0" w:lastRowLastColumn="0"/>
                <w:trHeight w:val="548"/>
              </w:trPr>
              <w:tc>
                <w:tcPr>
                  <w:tcW w:w="1036" w:type="dxa"/>
                  <w:vMerge/>
                  <w:vAlign w:val="center"/>
                  <w:hideMark/>
                </w:tcPr>
                <w:p w:rsidR="00F45CCC" w:rsidRPr="0019289E" w:rsidRDefault="00F45CCC" w:rsidP="00924CEF">
                  <w:pPr>
                    <w:rPr>
                      <w:rFonts w:eastAsia="MS Mincho" w:cstheme="minorHAnsi"/>
                      <w:noProof/>
                      <w:sz w:val="16"/>
                      <w:szCs w:val="16"/>
                      <w:lang w:val="fr-FR"/>
                    </w:rPr>
                  </w:pPr>
                </w:p>
              </w:tc>
              <w:tc>
                <w:tcPr>
                  <w:tcW w:w="1374" w:type="dxa"/>
                  <w:vMerge/>
                  <w:vAlign w:val="center"/>
                  <w:hideMark/>
                </w:tcPr>
                <w:p w:rsidR="00F45CCC" w:rsidRPr="0019289E" w:rsidRDefault="00F45CCC" w:rsidP="00924CEF">
                  <w:pPr>
                    <w:rPr>
                      <w:rFonts w:eastAsia="MS Mincho" w:cstheme="minorHAnsi"/>
                      <w:noProof/>
                      <w:sz w:val="16"/>
                      <w:szCs w:val="16"/>
                      <w:lang w:val="fr-FR"/>
                    </w:rPr>
                  </w:pPr>
                </w:p>
              </w:tc>
              <w:tc>
                <w:tcPr>
                  <w:tcW w:w="2085" w:type="dxa"/>
                  <w:gridSpan w:val="2"/>
                  <w:vAlign w:val="center"/>
                  <w:hideMark/>
                </w:tcPr>
                <w:p w:rsidR="00F45CCC" w:rsidRPr="0019289E" w:rsidRDefault="00F45CCC" w:rsidP="00924CEF">
                  <w:pPr>
                    <w:jc w:val="center"/>
                    <w:rPr>
                      <w:rFonts w:eastAsia="MS Mincho" w:cstheme="minorHAnsi"/>
                      <w:noProof/>
                      <w:sz w:val="16"/>
                      <w:szCs w:val="16"/>
                      <w:lang w:val="fr-FR"/>
                    </w:rPr>
                  </w:pPr>
                  <w:r w:rsidRPr="0019289E">
                    <w:rPr>
                      <w:rFonts w:eastAsia="MS Mincho" w:cstheme="minorHAnsi"/>
                      <w:noProof/>
                      <w:sz w:val="16"/>
                      <w:szCs w:val="16"/>
                      <w:lang w:val="fr-FR"/>
                    </w:rPr>
                    <w:t>CTO différents et incohérents (DCP)</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alimentée sur les comptes 52 (crédit) et 62 (débit)</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Les deux participants devront régulariser leur comptabilité auxiliaire par  formulaire Euroclear</w:t>
                  </w:r>
                </w:p>
              </w:tc>
            </w:tr>
            <w:tr w:rsidR="00F45CCC" w:rsidRPr="00F45CCC" w:rsidTr="00924CEF">
              <w:trPr>
                <w:cnfStyle w:val="000000010000" w:firstRow="0" w:lastRow="0" w:firstColumn="0" w:lastColumn="0" w:oddVBand="0" w:evenVBand="0" w:oddHBand="0" w:evenHBand="1" w:firstRowFirstColumn="0" w:firstRowLastColumn="0" w:lastRowFirstColumn="0" w:lastRowLastColumn="0"/>
                <w:trHeight w:val="822"/>
              </w:trPr>
              <w:tc>
                <w:tcPr>
                  <w:tcW w:w="1036"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 xml:space="preserve">DCP </w:t>
                  </w:r>
                  <w:r>
                    <w:rPr>
                      <w:rFonts w:eastAsia="MS Mincho" w:cstheme="minorHAnsi"/>
                      <w:noProof/>
                      <w:sz w:val="16"/>
                      <w:szCs w:val="16"/>
                      <w:lang w:val="fr-FR"/>
                    </w:rPr>
                    <w:t xml:space="preserve">Vs </w:t>
                  </w:r>
                  <w:r w:rsidRPr="0019289E">
                    <w:rPr>
                      <w:rFonts w:eastAsia="MS Mincho" w:cstheme="minorHAnsi"/>
                      <w:noProof/>
                      <w:sz w:val="16"/>
                      <w:szCs w:val="16"/>
                      <w:lang w:val="fr-FR"/>
                    </w:rPr>
                    <w:t>DCP</w:t>
                  </w:r>
                </w:p>
              </w:tc>
              <w:tc>
                <w:tcPr>
                  <w:tcW w:w="1374"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Poste T2S (GUI)</w:t>
                  </w:r>
                </w:p>
              </w:tc>
              <w:tc>
                <w:tcPr>
                  <w:tcW w:w="129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CTO à blanc</w:t>
                  </w:r>
                </w:p>
              </w:tc>
              <w:tc>
                <w:tcPr>
                  <w:tcW w:w="794"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CTO saisis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 xml:space="preserve">Comptabilité auxiliaire alimentée sur les comptes 52 (crédit) et 62 (débit)  </w:t>
                  </w:r>
                  <w:r w:rsidRPr="00B925B2">
                    <w:rPr>
                      <w:rFonts w:eastAsia="MS Mincho" w:cstheme="minorHAnsi"/>
                      <w:noProof/>
                      <w:sz w:val="16"/>
                      <w:szCs w:val="16"/>
                      <w:lang w:val="fr-FR"/>
                    </w:rPr>
                    <w:t xml:space="preserve">cas des FOP </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Les deux participants devront régulariser leur comptabilité auxiliaire par  formulaire Euroclear</w:t>
                  </w:r>
                </w:p>
              </w:tc>
            </w:tr>
            <w:tr w:rsidR="00F45CCC" w:rsidRPr="00F45CCC" w:rsidTr="00924CEF">
              <w:trPr>
                <w:cnfStyle w:val="000000100000" w:firstRow="0" w:lastRow="0" w:firstColumn="0" w:lastColumn="0" w:oddVBand="0" w:evenVBand="0" w:oddHBand="1" w:evenHBand="0" w:firstRowFirstColumn="0" w:firstRowLastColumn="0" w:lastRowFirstColumn="0" w:lastRowLastColumn="0"/>
                <w:trHeight w:val="756"/>
              </w:trPr>
              <w:tc>
                <w:tcPr>
                  <w:tcW w:w="1036" w:type="dxa"/>
                  <w:vMerge/>
                  <w:vAlign w:val="center"/>
                  <w:hideMark/>
                </w:tcPr>
                <w:p w:rsidR="00F45CCC" w:rsidRPr="0019289E" w:rsidRDefault="00F45CCC" w:rsidP="00924CEF">
                  <w:pPr>
                    <w:rPr>
                      <w:rFonts w:eastAsia="MS Mincho" w:cstheme="minorHAnsi"/>
                      <w:noProof/>
                      <w:sz w:val="16"/>
                      <w:szCs w:val="16"/>
                      <w:lang w:val="fr-FR"/>
                    </w:rPr>
                  </w:pPr>
                </w:p>
              </w:tc>
              <w:tc>
                <w:tcPr>
                  <w:tcW w:w="1374" w:type="dxa"/>
                  <w:vMerge/>
                  <w:vAlign w:val="center"/>
                  <w:hideMark/>
                </w:tcPr>
                <w:p w:rsidR="00F45CCC" w:rsidRPr="0019289E" w:rsidRDefault="00F45CCC" w:rsidP="00924CEF">
                  <w:pPr>
                    <w:rPr>
                      <w:rFonts w:eastAsia="MS Mincho" w:cstheme="minorHAnsi"/>
                      <w:noProof/>
                      <w:sz w:val="16"/>
                      <w:szCs w:val="16"/>
                      <w:lang w:val="fr-FR"/>
                    </w:rPr>
                  </w:pPr>
                </w:p>
              </w:tc>
              <w:tc>
                <w:tcPr>
                  <w:tcW w:w="129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CTO à blanc</w:t>
                  </w:r>
                </w:p>
              </w:tc>
              <w:tc>
                <w:tcPr>
                  <w:tcW w:w="794"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CTO saisis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identique dans le cas d’un DVP/RVP DWP/RWP (CTO=GO)</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Les deux participants devront régulariser leur comptabilité auxiliaire par  formulaire Euroclear</w:t>
                  </w:r>
                </w:p>
              </w:tc>
            </w:tr>
            <w:tr w:rsidR="00F45CCC" w:rsidRPr="00F45CCC" w:rsidTr="00924CEF">
              <w:trPr>
                <w:cnfStyle w:val="000000010000" w:firstRow="0" w:lastRow="0" w:firstColumn="0" w:lastColumn="0" w:oddVBand="0" w:evenVBand="0" w:oddHBand="0" w:evenHBand="1" w:firstRowFirstColumn="0" w:firstRowLastColumn="0" w:lastRowFirstColumn="0" w:lastRowLastColumn="0"/>
                <w:trHeight w:val="716"/>
              </w:trPr>
              <w:tc>
                <w:tcPr>
                  <w:tcW w:w="1036"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 xml:space="preserve">DCP </w:t>
                  </w:r>
                  <w:r>
                    <w:rPr>
                      <w:rFonts w:eastAsia="MS Mincho" w:cstheme="minorHAnsi"/>
                      <w:noProof/>
                      <w:sz w:val="16"/>
                      <w:szCs w:val="16"/>
                      <w:lang w:val="fr-FR"/>
                    </w:rPr>
                    <w:t xml:space="preserve">Vs </w:t>
                  </w:r>
                  <w:r w:rsidRPr="0019289E">
                    <w:rPr>
                      <w:rFonts w:eastAsia="MS Mincho" w:cstheme="minorHAnsi"/>
                      <w:noProof/>
                      <w:sz w:val="16"/>
                      <w:szCs w:val="16"/>
                      <w:lang w:val="fr-FR"/>
                    </w:rPr>
                    <w:t xml:space="preserve"> ICP</w:t>
                  </w:r>
                </w:p>
              </w:tc>
              <w:tc>
                <w:tcPr>
                  <w:tcW w:w="1374"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(DCP) Poste T2S GUI</w:t>
                  </w:r>
                </w:p>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(ICP) STP ou Poste EuroclearConnect</w:t>
                  </w:r>
                </w:p>
              </w:tc>
              <w:tc>
                <w:tcPr>
                  <w:tcW w:w="1291" w:type="dxa"/>
                  <w:vMerge w:val="restart"/>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 xml:space="preserve">CTO </w:t>
                  </w:r>
                  <w:r>
                    <w:rPr>
                      <w:rFonts w:eastAsia="MS Mincho" w:cstheme="minorHAnsi"/>
                      <w:noProof/>
                      <w:sz w:val="16"/>
                      <w:szCs w:val="16"/>
                      <w:lang w:val="fr-FR"/>
                    </w:rPr>
                    <w:t>absent (non saisissable dans le GUI)</w:t>
                  </w:r>
                </w:p>
              </w:tc>
              <w:tc>
                <w:tcPr>
                  <w:tcW w:w="794"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CTO saisis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alimentée en fonction du CTO du participant livreur (participant livreur ICP)</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Le participant receveur devra régulariser sa comptabilité auxiliaire par  formulaire Euroclear</w:t>
                  </w:r>
                </w:p>
              </w:tc>
            </w:tr>
            <w:tr w:rsidR="00F45CCC" w:rsidRPr="00F45CCC" w:rsidTr="00924CEF">
              <w:trPr>
                <w:cnfStyle w:val="000000100000" w:firstRow="0" w:lastRow="0" w:firstColumn="0" w:lastColumn="0" w:oddVBand="0" w:evenVBand="0" w:oddHBand="1" w:evenHBand="0" w:firstRowFirstColumn="0" w:firstRowLastColumn="0" w:lastRowFirstColumn="0" w:lastRowLastColumn="0"/>
                <w:trHeight w:val="716"/>
              </w:trPr>
              <w:tc>
                <w:tcPr>
                  <w:tcW w:w="1036" w:type="dxa"/>
                  <w:vMerge/>
                  <w:vAlign w:val="center"/>
                  <w:hideMark/>
                </w:tcPr>
                <w:p w:rsidR="00F45CCC" w:rsidRPr="0019289E" w:rsidRDefault="00F45CCC" w:rsidP="00924CEF">
                  <w:pPr>
                    <w:rPr>
                      <w:rFonts w:eastAsia="MS Mincho" w:cstheme="minorHAnsi"/>
                      <w:noProof/>
                      <w:sz w:val="16"/>
                      <w:szCs w:val="16"/>
                      <w:lang w:val="fr-FR"/>
                    </w:rPr>
                  </w:pPr>
                </w:p>
              </w:tc>
              <w:tc>
                <w:tcPr>
                  <w:tcW w:w="1374" w:type="dxa"/>
                  <w:vMerge/>
                  <w:vAlign w:val="center"/>
                  <w:hideMark/>
                </w:tcPr>
                <w:p w:rsidR="00F45CCC" w:rsidRPr="0019289E" w:rsidRDefault="00F45CCC" w:rsidP="00924CEF">
                  <w:pPr>
                    <w:rPr>
                      <w:rFonts w:eastAsia="MS Mincho" w:cstheme="minorHAnsi"/>
                      <w:noProof/>
                      <w:sz w:val="16"/>
                      <w:szCs w:val="16"/>
                      <w:lang w:val="fr-FR"/>
                    </w:rPr>
                  </w:pPr>
                </w:p>
              </w:tc>
              <w:tc>
                <w:tcPr>
                  <w:tcW w:w="1291" w:type="dxa"/>
                  <w:vMerge/>
                  <w:vAlign w:val="center"/>
                  <w:hideMark/>
                </w:tcPr>
                <w:p w:rsidR="00F45CCC" w:rsidRPr="0019289E" w:rsidRDefault="00F45CCC" w:rsidP="00924CEF">
                  <w:pPr>
                    <w:rPr>
                      <w:rFonts w:eastAsia="MS Mincho" w:cstheme="minorHAnsi"/>
                      <w:noProof/>
                      <w:sz w:val="16"/>
                      <w:szCs w:val="16"/>
                      <w:lang w:val="fr-FR"/>
                    </w:rPr>
                  </w:pPr>
                </w:p>
              </w:tc>
              <w:tc>
                <w:tcPr>
                  <w:tcW w:w="794"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CTO saisis</w:t>
                  </w:r>
                </w:p>
              </w:tc>
              <w:tc>
                <w:tcPr>
                  <w:tcW w:w="1561"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Comptabilité auxiliaire alimentée sur les comptes 52 (crédit) et 62 (débit)</w:t>
                  </w:r>
                </w:p>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(participant livreur DCP, CTO à blanc)</w:t>
                  </w:r>
                </w:p>
              </w:tc>
              <w:tc>
                <w:tcPr>
                  <w:tcW w:w="1720" w:type="dxa"/>
                  <w:vAlign w:val="center"/>
                  <w:hideMark/>
                </w:tcPr>
                <w:p w:rsidR="00F45CCC" w:rsidRPr="0019289E" w:rsidRDefault="00F45CCC" w:rsidP="00924CEF">
                  <w:pPr>
                    <w:rPr>
                      <w:rFonts w:eastAsia="MS Mincho" w:cstheme="minorHAnsi"/>
                      <w:noProof/>
                      <w:sz w:val="16"/>
                      <w:szCs w:val="16"/>
                      <w:lang w:val="fr-FR"/>
                    </w:rPr>
                  </w:pPr>
                  <w:r w:rsidRPr="0019289E">
                    <w:rPr>
                      <w:rFonts w:eastAsia="MS Mincho" w:cstheme="minorHAnsi"/>
                      <w:noProof/>
                      <w:sz w:val="16"/>
                      <w:szCs w:val="16"/>
                      <w:lang w:val="fr-FR"/>
                    </w:rPr>
                    <w:t>Les deux participants devront régulariser leur comptabilité auxiliaire par  formulaire Euroclear</w:t>
                  </w:r>
                </w:p>
              </w:tc>
            </w:tr>
          </w:tbl>
          <w:p w:rsidR="00F45CCC" w:rsidRDefault="00F45CCC" w:rsidP="00F45CCC">
            <w:pPr>
              <w:jc w:val="both"/>
              <w:rPr>
                <w:rFonts w:eastAsia="MS Mincho" w:cs="Times New Roman"/>
                <w:b/>
                <w:noProof/>
                <w:szCs w:val="32"/>
                <w:lang w:val="fr-FR"/>
              </w:rPr>
            </w:pPr>
          </w:p>
          <w:p w:rsidR="00F45CCC" w:rsidRDefault="00F45CCC" w:rsidP="00F45CCC">
            <w:pPr>
              <w:tabs>
                <w:tab w:val="left" w:pos="5366"/>
              </w:tabs>
              <w:jc w:val="both"/>
              <w:rPr>
                <w:rFonts w:eastAsia="MS Mincho" w:cs="Times New Roman"/>
                <w:noProof/>
                <w:szCs w:val="32"/>
                <w:lang w:val="fr-FR"/>
              </w:rPr>
            </w:pPr>
            <w:r>
              <w:rPr>
                <w:rFonts w:eastAsia="MS Mincho" w:cs="Times New Roman"/>
                <w:noProof/>
                <w:szCs w:val="32"/>
                <w:lang w:val="fr-FR"/>
              </w:rPr>
              <w:t>Les instructions titres DVP</w:t>
            </w:r>
            <w:r w:rsidRPr="009945FA">
              <w:rPr>
                <w:rFonts w:eastAsia="MS Mincho" w:cs="Times New Roman"/>
                <w:noProof/>
                <w:szCs w:val="32"/>
                <w:lang w:val="fr-FR"/>
              </w:rPr>
              <w:t>/RVP</w:t>
            </w:r>
            <w:r>
              <w:rPr>
                <w:rFonts w:eastAsia="MS Mincho" w:cs="Times New Roman"/>
                <w:noProof/>
                <w:szCs w:val="32"/>
                <w:lang w:val="fr-FR"/>
              </w:rPr>
              <w:t xml:space="preserve"> contre cash (y compris à montant zéro) ainsi que </w:t>
            </w:r>
            <w:r w:rsidRPr="009945FA">
              <w:rPr>
                <w:rFonts w:eastAsia="MS Mincho" w:cs="Times New Roman"/>
                <w:noProof/>
                <w:szCs w:val="32"/>
                <w:lang w:val="fr-FR"/>
              </w:rPr>
              <w:lastRenderedPageBreak/>
              <w:t>DWP/RWP</w:t>
            </w:r>
            <w:r>
              <w:rPr>
                <w:rFonts w:eastAsia="MS Mincho" w:cs="Times New Roman"/>
                <w:noProof/>
                <w:szCs w:val="32"/>
                <w:lang w:val="fr-FR"/>
              </w:rPr>
              <w:t xml:space="preserve"> (opérations de marché et clearing) doivent être renseignées avec le CTO GO. Le DVP sans CTO, émis par l’intervenant à l’origine de la livraison, est réputé CTO GO, si un autre code opération est renseigné, les deux instructions seront mises en compte erreur.</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Un formulaire Euroclear dédié va être mis à disposition pour régulariser la comptabilité auxiliaire et solder les comptes erreur. A ce stade, pas de saisie envisagée sur le poste de travail Euroclear Connect.</w:t>
            </w:r>
          </w:p>
          <w:p w:rsidR="00F45CCC" w:rsidRDefault="00F45CCC" w:rsidP="00F45CCC">
            <w:pPr>
              <w:jc w:val="both"/>
              <w:rPr>
                <w:rFonts w:eastAsia="MS Mincho" w:cs="Times New Roman"/>
                <w:noProof/>
                <w:szCs w:val="32"/>
                <w:lang w:val="fr-FR"/>
              </w:rPr>
            </w:pPr>
          </w:p>
          <w:p w:rsidR="00F45CCC" w:rsidRPr="00F967B2" w:rsidRDefault="00F45CCC" w:rsidP="00F45CCC">
            <w:pPr>
              <w:pStyle w:val="ListParagraph"/>
              <w:numPr>
                <w:ilvl w:val="0"/>
                <w:numId w:val="13"/>
              </w:numPr>
              <w:jc w:val="both"/>
              <w:rPr>
                <w:rFonts w:eastAsia="MS Mincho" w:cs="Times New Roman"/>
                <w:b/>
                <w:noProof/>
                <w:szCs w:val="32"/>
                <w:lang w:val="fr-FR"/>
              </w:rPr>
            </w:pPr>
            <w:r w:rsidRPr="001D2CEE">
              <w:rPr>
                <w:rFonts w:eastAsia="MS Mincho" w:cs="Times New Roman"/>
                <w:b/>
                <w:noProof/>
                <w:szCs w:val="32"/>
                <w:lang w:val="fr-FR"/>
              </w:rPr>
              <w:t>Documentation Euroclear</w:t>
            </w:r>
            <w:r w:rsidRPr="00F967B2">
              <w:rPr>
                <w:rFonts w:eastAsia="MS Mincho" w:cs="Times New Roman"/>
                <w:b/>
                <w:noProof/>
                <w:szCs w:val="32"/>
                <w:lang w:val="fr-FR"/>
              </w:rPr>
              <w:t> :</w:t>
            </w:r>
          </w:p>
          <w:p w:rsidR="00F45CCC" w:rsidRDefault="00F45CCC" w:rsidP="00F45CCC">
            <w:pPr>
              <w:jc w:val="both"/>
              <w:rPr>
                <w:rFonts w:eastAsia="MS Mincho" w:cs="Times New Roman"/>
                <w:noProof/>
                <w:szCs w:val="32"/>
                <w:lang w:val="fr-FR"/>
              </w:rPr>
            </w:pPr>
            <w:r>
              <w:rPr>
                <w:rFonts w:eastAsia="MS Mincho" w:cs="Times New Roman"/>
                <w:noProof/>
                <w:szCs w:val="32"/>
                <w:lang w:val="fr-FR"/>
              </w:rPr>
              <w:t>De nouveaux acteurs vont apparaitre qui devront être « formés » à la pratique des BRN. Euroclear a prévu de préparer la documentation nécessaire qui sera transmise aux différents CSD afin que ceux-ci la transmettent à leurs propres affiliés.</w:t>
            </w:r>
          </w:p>
          <w:p w:rsidR="00F45CCC" w:rsidRDefault="00F45CCC" w:rsidP="00F45CCC">
            <w:pPr>
              <w:jc w:val="both"/>
              <w:rPr>
                <w:rFonts w:eastAsia="MS Mincho" w:cs="Times New Roman"/>
                <w:noProof/>
                <w:szCs w:val="32"/>
                <w:lang w:val="fr-FR"/>
              </w:rPr>
            </w:pPr>
            <w:r>
              <w:rPr>
                <w:rFonts w:eastAsia="MS Mincho" w:cs="Times New Roman"/>
                <w:noProof/>
                <w:szCs w:val="32"/>
                <w:lang w:val="fr-FR"/>
              </w:rPr>
              <w:t>Cette documentation serait sans doute utilement être mise à la disposition des établissements qui pourraient l’utiliser dans le cadre de leurs relations avec leurs contreparties.</w:t>
            </w:r>
          </w:p>
          <w:p w:rsidR="00F45CCC" w:rsidRDefault="00F45CCC" w:rsidP="00F45CCC">
            <w:pPr>
              <w:jc w:val="both"/>
              <w:rPr>
                <w:rFonts w:eastAsia="MS Mincho" w:cs="Times New Roman"/>
                <w:noProof/>
                <w:szCs w:val="32"/>
                <w:lang w:val="fr-FR"/>
              </w:rPr>
            </w:pPr>
            <w:r>
              <w:rPr>
                <w:rFonts w:eastAsia="MS Mincho" w:cs="Times New Roman"/>
                <w:noProof/>
                <w:szCs w:val="32"/>
                <w:lang w:val="fr-FR"/>
              </w:rPr>
              <w:t>Euroclear donne son accord pour la mettre en consultation le moment venu.</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p>
          <w:p w:rsidR="00F45CCC" w:rsidRDefault="00F45CCC" w:rsidP="00F45CCC">
            <w:pPr>
              <w:pStyle w:val="ListParagraph"/>
              <w:numPr>
                <w:ilvl w:val="0"/>
                <w:numId w:val="14"/>
              </w:numPr>
              <w:jc w:val="both"/>
              <w:rPr>
                <w:rFonts w:eastAsia="MS Mincho" w:cs="Times New Roman"/>
                <w:b/>
                <w:noProof/>
                <w:szCs w:val="32"/>
                <w:lang w:val="fr-FR"/>
              </w:rPr>
            </w:pPr>
            <w:r w:rsidRPr="001D2CEE">
              <w:rPr>
                <w:rFonts w:eastAsia="MS Mincho" w:cs="Times New Roman"/>
                <w:b/>
                <w:noProof/>
                <w:szCs w:val="32"/>
                <w:lang w:val="fr-FR"/>
              </w:rPr>
              <w:t xml:space="preserve">Préparation des tests : </w:t>
            </w:r>
          </w:p>
          <w:p w:rsidR="00F45CCC" w:rsidRPr="001D2CEE" w:rsidRDefault="00F45CCC" w:rsidP="00F45CCC">
            <w:pPr>
              <w:pStyle w:val="ListParagraph"/>
              <w:ind w:left="360"/>
              <w:jc w:val="both"/>
              <w:rPr>
                <w:rFonts w:eastAsia="MS Mincho" w:cs="Times New Roman"/>
                <w:b/>
                <w:noProof/>
                <w:szCs w:val="32"/>
                <w:lang w:val="fr-FR"/>
              </w:rPr>
            </w:pPr>
          </w:p>
          <w:p w:rsidR="00F45CCC" w:rsidRPr="00B925B2" w:rsidRDefault="00F45CCC" w:rsidP="00F45CCC">
            <w:pPr>
              <w:jc w:val="both"/>
              <w:rPr>
                <w:rFonts w:eastAsia="MS Mincho" w:cs="Times New Roman"/>
                <w:noProof/>
                <w:szCs w:val="32"/>
                <w:lang w:val="fr-FR"/>
              </w:rPr>
            </w:pPr>
            <w:r>
              <w:rPr>
                <w:rFonts w:eastAsia="MS Mincho" w:cs="Times New Roman"/>
                <w:noProof/>
                <w:szCs w:val="32"/>
                <w:lang w:val="fr-FR"/>
              </w:rPr>
              <w:t xml:space="preserve">L’environnement de test PM avec règles de contrôle sera disponible dès </w:t>
            </w:r>
            <w:r w:rsidRPr="00F967B2">
              <w:rPr>
                <w:rFonts w:eastAsia="MS Mincho" w:cs="Times New Roman"/>
                <w:noProof/>
                <w:szCs w:val="32"/>
                <w:lang w:val="fr-FR"/>
              </w:rPr>
              <w:t xml:space="preserve">le </w:t>
            </w:r>
            <w:r w:rsidRPr="00B925B2">
              <w:rPr>
                <w:rFonts w:eastAsia="MS Mincho" w:cs="Times New Roman"/>
                <w:noProof/>
                <w:szCs w:val="32"/>
                <w:lang w:val="fr-FR"/>
              </w:rPr>
              <w:t>9 mai 2016</w:t>
            </w:r>
            <w:r>
              <w:rPr>
                <w:rFonts w:eastAsia="MS Mincho" w:cs="Times New Roman"/>
                <w:noProof/>
                <w:szCs w:val="32"/>
                <w:lang w:val="fr-FR"/>
              </w:rPr>
              <w:t xml:space="preserve"> (lot 3)</w:t>
            </w:r>
            <w:r w:rsidRPr="00F967B2">
              <w:rPr>
                <w:rFonts w:eastAsia="MS Mincho" w:cs="Times New Roman"/>
                <w:i/>
                <w:noProof/>
                <w:szCs w:val="32"/>
                <w:lang w:val="fr-FR"/>
              </w:rPr>
              <w:t>.</w:t>
            </w:r>
          </w:p>
          <w:p w:rsidR="00F45CCC" w:rsidRPr="008E2254" w:rsidRDefault="00F45CCC" w:rsidP="00F45CCC">
            <w:pPr>
              <w:jc w:val="both"/>
              <w:rPr>
                <w:rFonts w:eastAsia="MS Mincho" w:cs="Times New Roman"/>
                <w:i/>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BRN de conversion vers pur avec référence mouvement titre associé (référence livreur), cette référence sera bien reportée dans T2S (Pty1\PrcgID\).</w:t>
            </w:r>
          </w:p>
          <w:p w:rsidR="00F45CCC" w:rsidRDefault="00F45CCC" w:rsidP="00F45CCC">
            <w:pPr>
              <w:jc w:val="both"/>
              <w:rPr>
                <w:rFonts w:eastAsia="MS Mincho" w:cs="Times New Roman"/>
                <w:noProof/>
                <w:szCs w:val="32"/>
                <w:lang w:val="fr-FR"/>
              </w:rPr>
            </w:pPr>
          </w:p>
          <w:p w:rsidR="00F45CCC" w:rsidRPr="001C58DD" w:rsidRDefault="00F45CCC" w:rsidP="00F45CCC">
            <w:pPr>
              <w:jc w:val="both"/>
              <w:rPr>
                <w:rFonts w:eastAsia="MS Mincho" w:cs="Times New Roman"/>
                <w:noProof/>
                <w:szCs w:val="32"/>
                <w:lang w:val="fr-FR"/>
              </w:rPr>
            </w:pPr>
            <w:r w:rsidRPr="001C58DD">
              <w:rPr>
                <w:rFonts w:eastAsia="MS Mincho" w:cs="Times New Roman"/>
                <w:noProof/>
                <w:szCs w:val="32"/>
                <w:lang w:val="fr-FR"/>
              </w:rPr>
              <w:t xml:space="preserve">Les TCC doivent adapter leurs flux pour instruire la référence livreur dans le FOP (Pty1\PrcgID\) ainsi que dans le BRN afin de permettre au teneur de registre de faire le lien entre le BRN et le FOP. </w:t>
            </w:r>
          </w:p>
          <w:p w:rsidR="00F45CCC" w:rsidRDefault="00F45CCC" w:rsidP="00F45CCC">
            <w:pPr>
              <w:rPr>
                <w:rFonts w:eastAsia="MS Mincho" w:cs="Times New Roman"/>
                <w:noProof/>
                <w:szCs w:val="32"/>
                <w:lang w:val="fr-FR"/>
              </w:rPr>
            </w:pPr>
          </w:p>
          <w:p w:rsidR="00F45CCC" w:rsidRPr="008E2254" w:rsidRDefault="00F45CCC" w:rsidP="00F45CCC">
            <w:pPr>
              <w:jc w:val="both"/>
              <w:rPr>
                <w:rFonts w:eastAsia="MS Mincho" w:cs="Times New Roman"/>
                <w:i/>
                <w:noProof/>
                <w:szCs w:val="32"/>
                <w:lang w:val="fr-FR"/>
              </w:rPr>
            </w:pPr>
            <w:r w:rsidRPr="00B925B2">
              <w:rPr>
                <w:rFonts w:eastAsia="MS Mincho" w:cs="Times New Roman"/>
                <w:noProof/>
                <w:szCs w:val="32"/>
                <w:lang w:val="fr-FR"/>
              </w:rPr>
              <w:t xml:space="preserve">Les CTO pourront être saisis sur Eurocler connect ou transmis par fichier par les DCP à T2S  mais ne pourront pas être saisis dans le GUI de T2S. Ils seront visualisables sur le poste Euroclear Connect, </w:t>
            </w:r>
            <w:r>
              <w:rPr>
                <w:rFonts w:eastAsia="MS Mincho" w:cs="Times New Roman"/>
                <w:noProof/>
                <w:szCs w:val="32"/>
                <w:lang w:val="fr-FR"/>
              </w:rPr>
              <w:t>disponible en tests livré en lot1 le 14 mars 2016.</w:t>
            </w:r>
          </w:p>
          <w:p w:rsidR="00F45CCC" w:rsidRPr="001C58DD"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Les BRN générateurs de franco sont maintenus, il faudra prévoir la mise à jour de la zone commentaire du BRN. Les francos créés seront des franco already matched.</w:t>
            </w:r>
          </w:p>
          <w:p w:rsidR="00140482" w:rsidRPr="00113071" w:rsidRDefault="00140482" w:rsidP="00776CD9">
            <w:pPr>
              <w:spacing w:before="120"/>
              <w:jc w:val="both"/>
              <w:rPr>
                <w:rFonts w:eastAsia="MS Mincho" w:cs="Times New Roman"/>
                <w:noProof/>
                <w:szCs w:val="32"/>
                <w:lang w:val="fr-FR"/>
              </w:rPr>
            </w:pPr>
          </w:p>
        </w:tc>
      </w:tr>
      <w:tr w:rsidR="0081511D" w:rsidRPr="00F45CCC"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F45CCC"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 xml:space="preserve">Description de la problématique </w:t>
            </w:r>
            <w:r>
              <w:rPr>
                <w:rFonts w:eastAsia="MS Mincho" w:cs="Times New Roman"/>
                <w:b/>
                <w:noProof/>
                <w:szCs w:val="32"/>
                <w:lang w:val="fr-FR"/>
              </w:rPr>
              <w:lastRenderedPageBreak/>
              <w:t>majeure</w:t>
            </w:r>
          </w:p>
        </w:tc>
        <w:tc>
          <w:tcPr>
            <w:tcW w:w="7513" w:type="dxa"/>
          </w:tcPr>
          <w:p w:rsidR="0081511D" w:rsidRPr="00113071" w:rsidRDefault="00F45CCC" w:rsidP="00776CD9">
            <w:pPr>
              <w:spacing w:before="120"/>
              <w:jc w:val="both"/>
              <w:rPr>
                <w:rFonts w:eastAsia="MS Mincho" w:cs="Times New Roman"/>
                <w:noProof/>
                <w:szCs w:val="32"/>
                <w:lang w:val="fr-FR"/>
              </w:rPr>
            </w:pPr>
            <w:r w:rsidRPr="00F45CCC">
              <w:rPr>
                <w:rFonts w:cs="Tahoma"/>
                <w:szCs w:val="21"/>
                <w:lang w:val="fr-FR" w:eastAsia="fr-FR"/>
              </w:rPr>
              <w:lastRenderedPageBreak/>
              <w:t xml:space="preserve">Les établissements souhaitent pouvoir gérer les opérations sur titres nominatifs </w:t>
            </w:r>
            <w:r w:rsidRPr="00F45CCC">
              <w:rPr>
                <w:rFonts w:cs="Tahoma"/>
                <w:szCs w:val="21"/>
                <w:lang w:val="fr-FR" w:eastAsia="fr-FR"/>
              </w:rPr>
              <w:lastRenderedPageBreak/>
              <w:t>conformément à la règlementation en vigueur et sans régression.</w:t>
            </w:r>
          </w:p>
        </w:tc>
      </w:tr>
      <w:tr w:rsidR="0081511D" w:rsidRPr="00F45CCC"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F45CCC"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F45CCC" w:rsidRDefault="00F45CCC" w:rsidP="00F45CCC">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MS-SETTL-FRANCO 03 Conversions</w:t>
            </w:r>
          </w:p>
          <w:p w:rsidR="0081511D" w:rsidRPr="00F45CCC" w:rsidRDefault="00F45CCC" w:rsidP="00F45CCC">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MS-SETTL-FRANCO 02 Transfert de portefeuille</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F45CCC"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F45CCC" w:rsidRDefault="00F45CCC" w:rsidP="00F45CCC">
            <w:pPr>
              <w:jc w:val="both"/>
              <w:rPr>
                <w:rFonts w:eastAsia="MS Mincho" w:cs="Times New Roman"/>
                <w:b/>
                <w:noProof/>
                <w:szCs w:val="32"/>
                <w:lang w:val="fr-FR"/>
              </w:rPr>
            </w:pPr>
            <w:r>
              <w:rPr>
                <w:rFonts w:eastAsia="MS Mincho" w:cs="Times New Roman"/>
                <w:b/>
                <w:noProof/>
                <w:szCs w:val="32"/>
                <w:lang w:val="fr-FR"/>
              </w:rPr>
              <w:t>1 - Transferts de titres nominatifs administrés entre adhérents d’Euroclear France</w:t>
            </w:r>
          </w:p>
          <w:p w:rsidR="00F45CCC" w:rsidRDefault="00F45CCC" w:rsidP="00F45CCC">
            <w:pPr>
              <w:jc w:val="both"/>
              <w:rPr>
                <w:rFonts w:eastAsia="MS Mincho" w:cs="Times New Roman"/>
                <w:b/>
                <w:noProof/>
                <w:szCs w:val="32"/>
                <w:lang w:val="fr-FR"/>
              </w:rPr>
            </w:pPr>
          </w:p>
          <w:p w:rsidR="00F45CCC" w:rsidRPr="00B925B2" w:rsidRDefault="00F45CCC" w:rsidP="00F45CCC">
            <w:pPr>
              <w:jc w:val="both"/>
              <w:rPr>
                <w:rFonts w:eastAsia="MS Mincho" w:cs="Times New Roman"/>
                <w:noProof/>
                <w:szCs w:val="32"/>
                <w:lang w:val="fr-FR"/>
              </w:rPr>
            </w:pPr>
            <w:r w:rsidRPr="00B925B2">
              <w:rPr>
                <w:rFonts w:eastAsia="MS Mincho" w:cs="Times New Roman"/>
                <w:noProof/>
                <w:szCs w:val="32"/>
                <w:lang w:val="fr-FR"/>
              </w:rPr>
              <w:t xml:space="preserve">Il est recommandé de prendre connaissance et d’appliquer les nouvelles règles de gestion décrites dans la partie </w:t>
            </w:r>
            <w:r>
              <w:rPr>
                <w:rFonts w:eastAsia="MS Mincho" w:cs="Times New Roman"/>
                <w:noProof/>
                <w:szCs w:val="32"/>
                <w:lang w:val="fr-FR"/>
              </w:rPr>
              <w:t>Description de l’impact</w:t>
            </w:r>
            <w:r w:rsidRPr="00B925B2">
              <w:rPr>
                <w:rFonts w:eastAsia="MS Mincho" w:cs="Times New Roman"/>
                <w:noProof/>
                <w:szCs w:val="32"/>
                <w:lang w:val="fr-FR"/>
              </w:rPr>
              <w:t xml:space="preserve"> T2S</w:t>
            </w:r>
            <w:r>
              <w:rPr>
                <w:rFonts w:eastAsia="MS Mincho" w:cs="Times New Roman"/>
                <w:noProof/>
                <w:szCs w:val="32"/>
                <w:lang w:val="fr-FR"/>
              </w:rPr>
              <w:t xml:space="preserve"> de cette fiche</w:t>
            </w:r>
            <w:r w:rsidRPr="00B925B2">
              <w:rPr>
                <w:rFonts w:eastAsia="MS Mincho" w:cs="Times New Roman"/>
                <w:noProof/>
                <w:szCs w:val="32"/>
                <w:lang w:val="fr-FR"/>
              </w:rPr>
              <w:t>.</w:t>
            </w:r>
          </w:p>
          <w:p w:rsidR="00F45CCC" w:rsidRDefault="00F45CCC" w:rsidP="00F45CCC">
            <w:pPr>
              <w:jc w:val="both"/>
              <w:rPr>
                <w:rFonts w:eastAsia="MS Mincho" w:cs="Times New Roman"/>
                <w:b/>
                <w:noProof/>
                <w:szCs w:val="32"/>
                <w:lang w:val="fr-FR"/>
              </w:rPr>
            </w:pPr>
          </w:p>
          <w:p w:rsidR="00F45CCC" w:rsidRDefault="00F45CCC" w:rsidP="00F45CCC">
            <w:pPr>
              <w:jc w:val="both"/>
              <w:rPr>
                <w:rFonts w:eastAsia="MS Mincho" w:cs="Times New Roman"/>
                <w:b/>
                <w:noProof/>
                <w:szCs w:val="32"/>
                <w:lang w:val="fr-FR"/>
              </w:rPr>
            </w:pPr>
            <w:r>
              <w:rPr>
                <w:rFonts w:eastAsia="MS Mincho" w:cs="Times New Roman"/>
                <w:b/>
                <w:noProof/>
                <w:szCs w:val="32"/>
                <w:lang w:val="fr-FR"/>
              </w:rPr>
              <w:t xml:space="preserve">2 - </w:t>
            </w:r>
            <w:r w:rsidRPr="008E2254">
              <w:rPr>
                <w:rFonts w:eastAsia="MS Mincho" w:cs="Times New Roman"/>
                <w:b/>
                <w:noProof/>
                <w:szCs w:val="32"/>
                <w:lang w:val="fr-FR"/>
              </w:rPr>
              <w:t xml:space="preserve">Transfert de titres nominatifs </w:t>
            </w:r>
            <w:r>
              <w:rPr>
                <w:rFonts w:eastAsia="MS Mincho" w:cs="Times New Roman"/>
                <w:b/>
                <w:noProof/>
                <w:szCs w:val="32"/>
                <w:lang w:val="fr-FR"/>
              </w:rPr>
              <w:t xml:space="preserve">administrés entre </w:t>
            </w:r>
            <w:r w:rsidRPr="008E2254">
              <w:rPr>
                <w:rFonts w:eastAsia="MS Mincho" w:cs="Times New Roman"/>
                <w:b/>
                <w:noProof/>
                <w:szCs w:val="32"/>
                <w:lang w:val="fr-FR"/>
              </w:rPr>
              <w:t>CSD</w:t>
            </w:r>
          </w:p>
          <w:p w:rsidR="00F45CCC" w:rsidRDefault="00F45CCC" w:rsidP="00F45CCC">
            <w:pPr>
              <w:jc w:val="both"/>
              <w:rPr>
                <w:rFonts w:eastAsia="MS Mincho" w:cs="Times New Roman"/>
                <w:b/>
                <w:noProof/>
                <w:szCs w:val="32"/>
                <w:lang w:val="fr-FR"/>
              </w:rPr>
            </w:pPr>
          </w:p>
          <w:p w:rsidR="00F45CCC" w:rsidRDefault="00F45CCC" w:rsidP="00F45CCC">
            <w:pPr>
              <w:jc w:val="both"/>
              <w:rPr>
                <w:rFonts w:eastAsia="MS Mincho" w:cs="Times New Roman"/>
                <w:b/>
                <w:noProof/>
                <w:szCs w:val="32"/>
                <w:lang w:val="fr-FR"/>
              </w:rPr>
            </w:pPr>
            <w:r>
              <w:rPr>
                <w:rFonts w:eastAsia="MS Mincho" w:cs="Times New Roman"/>
                <w:b/>
                <w:noProof/>
                <w:szCs w:val="32"/>
                <w:lang w:val="fr-FR"/>
              </w:rPr>
              <w:t>Pour rappel, les codes type opérations à utiliser selon les instructions reçues du client concerné doivent correspondre aux principes suivants :</w:t>
            </w:r>
          </w:p>
          <w:p w:rsidR="00F45CCC" w:rsidRDefault="00F45CCC" w:rsidP="00F45CCC">
            <w:pPr>
              <w:jc w:val="both"/>
              <w:rPr>
                <w:rFonts w:eastAsia="MS Mincho" w:cs="Times New Roman"/>
                <w:b/>
                <w:noProof/>
                <w:szCs w:val="32"/>
                <w:lang w:val="fr-FR"/>
              </w:rPr>
            </w:pPr>
          </w:p>
          <w:p w:rsidR="00F45CCC" w:rsidRDefault="00F45CCC" w:rsidP="00F45CCC">
            <w:pPr>
              <w:pStyle w:val="ListParagraph"/>
              <w:numPr>
                <w:ilvl w:val="0"/>
                <w:numId w:val="11"/>
              </w:numPr>
              <w:jc w:val="both"/>
              <w:rPr>
                <w:rFonts w:eastAsia="MS Mincho" w:cs="Times New Roman"/>
                <w:b/>
                <w:noProof/>
                <w:szCs w:val="32"/>
                <w:lang w:val="fr-FR"/>
              </w:rPr>
            </w:pPr>
            <w:r>
              <w:rPr>
                <w:rFonts w:eastAsia="MS Mincho" w:cs="Times New Roman"/>
                <w:b/>
                <w:noProof/>
                <w:szCs w:val="32"/>
                <w:lang w:val="fr-FR"/>
              </w:rPr>
              <w:t xml:space="preserve">Changement d’intitulé « CI » ou « MI » lorsqu’il s’agit de modifier un intitulé sans changement de TCC ni de CSD </w:t>
            </w:r>
            <w:r w:rsidRPr="00363800">
              <w:rPr>
                <w:rFonts w:eastAsia="MS Mincho" w:cs="Times New Roman"/>
                <w:noProof/>
                <w:szCs w:val="32"/>
                <w:lang w:val="fr-FR"/>
              </w:rPr>
              <w:t>(A</w:t>
            </w:r>
            <w:r w:rsidRPr="00F967B2">
              <w:rPr>
                <w:rFonts w:eastAsia="MS Mincho" w:cs="Times New Roman"/>
                <w:noProof/>
                <w:szCs w:val="32"/>
                <w:lang w:val="fr-FR"/>
              </w:rPr>
              <w:t>ttention pour les actionnaires non résidents</w:t>
            </w:r>
            <w:r>
              <w:rPr>
                <w:rFonts w:eastAsia="MS Mincho" w:cs="Times New Roman"/>
                <w:noProof/>
                <w:szCs w:val="32"/>
                <w:lang w:val="fr-FR"/>
              </w:rPr>
              <w:t>, a</w:t>
            </w:r>
            <w:r w:rsidRPr="00F967B2">
              <w:rPr>
                <w:rFonts w:eastAsia="MS Mincho" w:cs="Times New Roman"/>
                <w:noProof/>
                <w:szCs w:val="32"/>
                <w:lang w:val="fr-FR"/>
              </w:rPr>
              <w:t>vec un MI, ce sont toutes les valeurs d’un même émetteur présentes dans un CCN qui sont concernées par la modification</w:t>
            </w:r>
            <w:r>
              <w:rPr>
                <w:rFonts w:eastAsia="MS Mincho" w:cs="Times New Roman"/>
                <w:noProof/>
                <w:szCs w:val="32"/>
                <w:lang w:val="fr-FR"/>
              </w:rPr>
              <w:t>)</w:t>
            </w:r>
            <w:r w:rsidRPr="00F967B2">
              <w:rPr>
                <w:rFonts w:eastAsia="MS Mincho" w:cs="Times New Roman"/>
                <w:noProof/>
                <w:szCs w:val="32"/>
                <w:lang w:val="fr-FR"/>
              </w:rPr>
              <w:t>.</w:t>
            </w:r>
          </w:p>
          <w:p w:rsidR="00F45CCC" w:rsidRPr="00B925B2" w:rsidRDefault="00F45CCC" w:rsidP="00F45CCC">
            <w:pPr>
              <w:jc w:val="both"/>
              <w:rPr>
                <w:rFonts w:eastAsia="MS Mincho" w:cs="Times New Roman"/>
                <w:b/>
                <w:noProof/>
                <w:szCs w:val="32"/>
                <w:lang w:val="fr-FR"/>
              </w:rPr>
            </w:pPr>
          </w:p>
          <w:p w:rsidR="00F45CCC" w:rsidRDefault="00F45CCC" w:rsidP="00F45CCC">
            <w:pPr>
              <w:pStyle w:val="ListParagraph"/>
              <w:numPr>
                <w:ilvl w:val="0"/>
                <w:numId w:val="11"/>
              </w:numPr>
              <w:jc w:val="both"/>
              <w:rPr>
                <w:rFonts w:eastAsia="MS Mincho" w:cs="Times New Roman"/>
                <w:b/>
                <w:noProof/>
                <w:szCs w:val="32"/>
                <w:lang w:val="fr-FR"/>
              </w:rPr>
            </w:pPr>
            <w:r>
              <w:rPr>
                <w:rFonts w:eastAsia="MS Mincho" w:cs="Times New Roman"/>
                <w:b/>
                <w:noProof/>
                <w:szCs w:val="32"/>
                <w:lang w:val="fr-FR"/>
              </w:rPr>
              <w:t>Changement de TCC et de CSD mais souhait exprimé par l’investisseur de maintien de son n° d’identifiant et de son  historique de détention dans le registre de l’émetteur</w:t>
            </w:r>
          </w:p>
          <w:p w:rsidR="00F45CCC" w:rsidRPr="00B925B2" w:rsidRDefault="00F45CCC" w:rsidP="00F45CCC">
            <w:pPr>
              <w:pStyle w:val="ListParagraph"/>
              <w:numPr>
                <w:ilvl w:val="1"/>
                <w:numId w:val="11"/>
              </w:numPr>
              <w:jc w:val="both"/>
              <w:rPr>
                <w:rFonts w:eastAsia="MS Mincho" w:cs="Times New Roman"/>
                <w:noProof/>
                <w:szCs w:val="32"/>
                <w:lang w:val="fr-FR"/>
              </w:rPr>
            </w:pPr>
            <w:r>
              <w:rPr>
                <w:rFonts w:eastAsia="MS Mincho" w:cs="Times New Roman"/>
                <w:noProof/>
                <w:szCs w:val="32"/>
                <w:lang w:val="fr-FR"/>
              </w:rPr>
              <w:t>FOP avec code TO dans l’instruction T2S et dans le BRN ce qui permet de maintenir l’identifiant du titulaire et amène à inscrire le nouvel intermédiaire dans le registre</w:t>
            </w:r>
          </w:p>
          <w:p w:rsidR="00F45CCC" w:rsidRDefault="00F45CCC" w:rsidP="00F45CCC">
            <w:pPr>
              <w:jc w:val="both"/>
              <w:rPr>
                <w:rFonts w:eastAsia="MS Mincho" w:cs="Times New Roman"/>
                <w:noProof/>
                <w:szCs w:val="32"/>
                <w:lang w:val="fr-FR"/>
              </w:rPr>
            </w:pPr>
          </w:p>
          <w:p w:rsidR="00F45CCC" w:rsidRPr="00B925B2" w:rsidRDefault="00F45CCC" w:rsidP="00F45CCC">
            <w:pPr>
              <w:pStyle w:val="ListParagraph"/>
              <w:numPr>
                <w:ilvl w:val="0"/>
                <w:numId w:val="11"/>
              </w:numPr>
              <w:jc w:val="both"/>
              <w:rPr>
                <w:rFonts w:eastAsia="MS Mincho" w:cs="Times New Roman"/>
                <w:b/>
                <w:noProof/>
                <w:szCs w:val="32"/>
                <w:lang w:val="fr-FR"/>
              </w:rPr>
            </w:pPr>
            <w:r w:rsidRPr="00B925B2">
              <w:rPr>
                <w:rFonts w:eastAsia="MS Mincho" w:cs="Times New Roman"/>
                <w:b/>
                <w:noProof/>
                <w:szCs w:val="32"/>
                <w:lang w:val="fr-FR"/>
              </w:rPr>
              <w:t>Changement de titulaire, de TCC et de CSD</w:t>
            </w:r>
          </w:p>
          <w:p w:rsidR="00F45CCC" w:rsidRDefault="00F45CCC" w:rsidP="00F45CCC">
            <w:pPr>
              <w:pStyle w:val="ListParagraph"/>
              <w:numPr>
                <w:ilvl w:val="1"/>
                <w:numId w:val="11"/>
              </w:numPr>
              <w:jc w:val="both"/>
              <w:rPr>
                <w:rFonts w:eastAsia="MS Mincho" w:cs="Times New Roman"/>
                <w:noProof/>
                <w:szCs w:val="32"/>
                <w:lang w:val="fr-FR"/>
              </w:rPr>
            </w:pPr>
            <w:r>
              <w:rPr>
                <w:rFonts w:eastAsia="MS Mincho" w:cs="Times New Roman"/>
                <w:noProof/>
                <w:szCs w:val="32"/>
                <w:lang w:val="fr-FR"/>
              </w:rPr>
              <w:t>DVP avec code GO car transfert de propriété ce qui amène à radier l’ancien actionnaire et le nouveau CSD doit s’inscrire dans le registre ou faire inscrire l’intermédiaire concerné  ou bien encore l’investisseur.</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La recommandation a appliquer dans les deux derniers cas implique qu’une communication soit réalisée à l’attention des CSD T2S et des TCC des autres marchés afin que la connaissance de la pratique relative au traitement du nominatif « à la française » soit plus répandue.</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 xml:space="preserve">En effet, en cas de transfert d’un titre nominatif administré vers un établissement qui a son compte dans un autre CSD du monde T2S, il faudrait en principe faire un FOP avec matching et indication du code </w:t>
            </w:r>
            <w:r>
              <w:rPr>
                <w:rFonts w:eastAsia="MS Mincho" w:cs="Times New Roman"/>
                <w:b/>
                <w:bCs/>
                <w:noProof/>
                <w:szCs w:val="32"/>
                <w:lang w:val="fr-FR"/>
              </w:rPr>
              <w:t>TO pour une valeur occasionnellement ou essentiellement nominative</w:t>
            </w:r>
            <w:r>
              <w:rPr>
                <w:rFonts w:eastAsia="MS Mincho" w:cs="Times New Roman"/>
                <w:noProof/>
                <w:szCs w:val="32"/>
                <w:lang w:val="fr-FR"/>
              </w:rPr>
              <w:t>) lorsque le titulaire reste le même.</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Pr>
                <w:rFonts w:eastAsia="MS Mincho" w:cs="Times New Roman"/>
                <w:noProof/>
                <w:szCs w:val="32"/>
                <w:lang w:val="fr-FR"/>
              </w:rPr>
              <w:t>Il est interdit de faire un DVP avec code autre que GO (par exemple TO) car cela conduirait à un dénouement par T2S mais en comptabilité auxiliaire l’instruction serait mise en compte erreur par ESES. A noter que le code GO conduit à radier l’ancien investisseur et à devoir inscrire le nouveau ou bien son TCC ou bien encore son CSD.</w:t>
            </w:r>
          </w:p>
          <w:p w:rsidR="00F45CCC" w:rsidRDefault="00F45CCC" w:rsidP="00F45CCC">
            <w:pPr>
              <w:jc w:val="both"/>
              <w:rPr>
                <w:rFonts w:eastAsia="MS Mincho" w:cs="Times New Roman"/>
                <w:noProof/>
                <w:szCs w:val="32"/>
                <w:lang w:val="fr-FR"/>
              </w:rPr>
            </w:pPr>
          </w:p>
          <w:p w:rsidR="00F45CCC" w:rsidRDefault="00F45CCC" w:rsidP="00F45CCC">
            <w:pPr>
              <w:jc w:val="both"/>
              <w:rPr>
                <w:rFonts w:eastAsia="MS Mincho" w:cs="Times New Roman"/>
                <w:noProof/>
                <w:szCs w:val="32"/>
                <w:lang w:val="fr-FR"/>
              </w:rPr>
            </w:pPr>
            <w:r w:rsidRPr="00B925B2">
              <w:rPr>
                <w:rFonts w:eastAsia="MS Mincho" w:cs="Times New Roman"/>
                <w:b/>
                <w:noProof/>
                <w:szCs w:val="32"/>
                <w:lang w:val="fr-FR"/>
              </w:rPr>
              <w:t>Attention à l’impact en matière de perte de droit de vote double</w:t>
            </w:r>
            <w:r>
              <w:rPr>
                <w:rFonts w:eastAsia="MS Mincho" w:cs="Times New Roman"/>
                <w:noProof/>
                <w:szCs w:val="32"/>
                <w:lang w:val="fr-FR"/>
              </w:rPr>
              <w:t> pour finaliser la recommandation sur cet aspect :</w:t>
            </w:r>
          </w:p>
          <w:p w:rsidR="00F45CCC" w:rsidRDefault="00F45CCC" w:rsidP="00F45CCC">
            <w:pPr>
              <w:pStyle w:val="ListParagraph"/>
              <w:numPr>
                <w:ilvl w:val="0"/>
                <w:numId w:val="11"/>
              </w:numPr>
              <w:jc w:val="both"/>
              <w:rPr>
                <w:rFonts w:eastAsia="MS Mincho" w:cs="Times New Roman"/>
                <w:noProof/>
                <w:szCs w:val="32"/>
                <w:lang w:val="fr-FR"/>
              </w:rPr>
            </w:pPr>
            <w:r w:rsidRPr="001726B7">
              <w:rPr>
                <w:rFonts w:eastAsia="MS Mincho" w:cs="Times New Roman"/>
                <w:noProof/>
                <w:szCs w:val="32"/>
                <w:lang w:val="fr-FR"/>
              </w:rPr>
              <w:t>si utilisation du CTO GO</w:t>
            </w:r>
            <w:r>
              <w:rPr>
                <w:rFonts w:eastAsia="MS Mincho" w:cs="Times New Roman"/>
                <w:noProof/>
                <w:szCs w:val="32"/>
                <w:lang w:val="fr-FR"/>
              </w:rPr>
              <w:t> : perte de l’ancienneté et du droit de vote double éventuel de plus dans le cas où le CTO n’est pas renseigné, c’est GO qui est renseigné d’office</w:t>
            </w:r>
            <w:r w:rsidRPr="001726B7">
              <w:rPr>
                <w:rFonts w:eastAsia="MS Mincho" w:cs="Times New Roman"/>
                <w:noProof/>
                <w:szCs w:val="32"/>
                <w:lang w:val="fr-FR"/>
              </w:rPr>
              <w:t>.</w:t>
            </w:r>
          </w:p>
          <w:p w:rsidR="00F45CCC" w:rsidRDefault="00F45CCC" w:rsidP="00F45CCC">
            <w:pPr>
              <w:pStyle w:val="ListParagraph"/>
              <w:numPr>
                <w:ilvl w:val="0"/>
                <w:numId w:val="11"/>
              </w:numPr>
              <w:jc w:val="both"/>
              <w:rPr>
                <w:rFonts w:eastAsia="MS Mincho" w:cs="Times New Roman"/>
                <w:noProof/>
                <w:szCs w:val="32"/>
                <w:lang w:val="fr-FR"/>
              </w:rPr>
            </w:pPr>
            <w:r w:rsidRPr="001726B7">
              <w:rPr>
                <w:rFonts w:eastAsia="MS Mincho" w:cs="Times New Roman"/>
                <w:noProof/>
                <w:szCs w:val="32"/>
                <w:lang w:val="fr-FR"/>
              </w:rPr>
              <w:t xml:space="preserve">si le mouvement est fait en TO </w:t>
            </w:r>
            <w:r>
              <w:rPr>
                <w:rFonts w:eastAsia="MS Mincho" w:cs="Times New Roman"/>
                <w:noProof/>
                <w:szCs w:val="32"/>
                <w:lang w:val="fr-FR"/>
              </w:rPr>
              <w:t>on peut</w:t>
            </w:r>
            <w:r w:rsidRPr="001726B7">
              <w:rPr>
                <w:rFonts w:eastAsia="MS Mincho" w:cs="Times New Roman"/>
                <w:noProof/>
                <w:szCs w:val="32"/>
                <w:lang w:val="fr-FR"/>
              </w:rPr>
              <w:t xml:space="preserve"> garder l’ancienneté et in</w:t>
            </w:r>
            <w:r>
              <w:rPr>
                <w:rFonts w:eastAsia="MS Mincho" w:cs="Times New Roman"/>
                <w:noProof/>
                <w:szCs w:val="32"/>
                <w:lang w:val="fr-FR"/>
              </w:rPr>
              <w:t>scrire un nouvel intermédiaire mais cela implique que le CSD et le TCC connaissent le fonctionnement du nominatif français et acceptent d’inscrire l’investisseur final dans le registre</w:t>
            </w:r>
          </w:p>
          <w:p w:rsidR="00F45CCC" w:rsidRDefault="00F45CCC" w:rsidP="00F45CCC">
            <w:pPr>
              <w:jc w:val="both"/>
              <w:rPr>
                <w:rFonts w:eastAsia="MS Mincho" w:cs="Times New Roman"/>
                <w:noProof/>
                <w:szCs w:val="32"/>
                <w:lang w:val="fr-FR"/>
              </w:rPr>
            </w:pPr>
          </w:p>
          <w:p w:rsidR="00F45CCC" w:rsidRPr="00B925B2" w:rsidRDefault="00F45CCC" w:rsidP="00F45CCC">
            <w:pPr>
              <w:jc w:val="both"/>
              <w:rPr>
                <w:rFonts w:eastAsia="MS Mincho" w:cs="Times New Roman"/>
                <w:noProof/>
                <w:szCs w:val="32"/>
                <w:lang w:val="fr-FR"/>
              </w:rPr>
            </w:pPr>
            <w:r w:rsidRPr="00B925B2">
              <w:rPr>
                <w:rFonts w:eastAsia="MS Mincho" w:cs="Times New Roman"/>
                <w:noProof/>
                <w:szCs w:val="32"/>
                <w:lang w:val="fr-FR"/>
              </w:rPr>
              <w:t xml:space="preserve">En pratique, </w:t>
            </w:r>
            <w:r>
              <w:rPr>
                <w:rFonts w:eastAsia="MS Mincho" w:cs="Times New Roman"/>
                <w:noProof/>
                <w:szCs w:val="32"/>
                <w:lang w:val="fr-FR"/>
              </w:rPr>
              <w:t xml:space="preserve">du fait des usages internationaux, </w:t>
            </w:r>
            <w:r w:rsidRPr="00B925B2">
              <w:rPr>
                <w:rFonts w:eastAsia="MS Mincho" w:cs="Times New Roman"/>
                <w:noProof/>
                <w:szCs w:val="32"/>
                <w:lang w:val="fr-FR"/>
              </w:rPr>
              <w:t>il y aura vraissemblablement radiation de l’ancien investisseur dans le registre de l’émetteur et inscription en nomine du CSD du nouvel investisseur. Il conviendrait d’utiliser un code CI pour changement d’intitulé avec conservation de droits pour inscrire le CSD en nomine au lieu de l’investisseur final.</w:t>
            </w:r>
          </w:p>
          <w:p w:rsidR="00F45CCC" w:rsidRDefault="00F45CCC" w:rsidP="00F45CCC">
            <w:pPr>
              <w:jc w:val="both"/>
              <w:rPr>
                <w:rFonts w:eastAsia="MS Mincho" w:cs="Times New Roman"/>
                <w:noProof/>
                <w:szCs w:val="32"/>
                <w:lang w:val="fr-FR"/>
              </w:rPr>
            </w:pPr>
          </w:p>
          <w:p w:rsidR="00F45CCC" w:rsidRPr="00B925B2" w:rsidRDefault="00F45CCC" w:rsidP="00F45CCC">
            <w:pPr>
              <w:jc w:val="both"/>
              <w:rPr>
                <w:rFonts w:eastAsia="MS Mincho" w:cs="Times New Roman"/>
                <w:noProof/>
                <w:szCs w:val="32"/>
                <w:lang w:val="fr-FR"/>
              </w:rPr>
            </w:pPr>
            <w:r>
              <w:rPr>
                <w:rFonts w:eastAsia="MS Mincho" w:cs="Times New Roman"/>
                <w:noProof/>
                <w:szCs w:val="32"/>
                <w:lang w:val="fr-FR"/>
              </w:rPr>
              <w:t>La r</w:t>
            </w:r>
            <w:r w:rsidRPr="00B925B2">
              <w:rPr>
                <w:rFonts w:eastAsia="MS Mincho" w:cs="Times New Roman"/>
                <w:noProof/>
                <w:szCs w:val="32"/>
                <w:lang w:val="fr-FR"/>
              </w:rPr>
              <w:t>ecommandation </w:t>
            </w:r>
            <w:r>
              <w:rPr>
                <w:rFonts w:eastAsia="MS Mincho" w:cs="Times New Roman"/>
                <w:noProof/>
                <w:szCs w:val="32"/>
                <w:lang w:val="fr-FR"/>
              </w:rPr>
              <w:t>visant à maintenir l’ancienneté de détention au nominatif et préserver ainsi les droits de l’actionnaire final lors d’un transfert de titres nominatif administré vers un TCC dont les titres sont déposés dans un autre CSD de la zone T2S est la cible mais suppose la bonne pratique des règles du nominatif à la française, en effet, elle implique le respect de la procédure suivante :</w:t>
            </w:r>
          </w:p>
          <w:p w:rsidR="00F45CCC" w:rsidRPr="00B925B2" w:rsidRDefault="00F45CCC" w:rsidP="00F45CCC">
            <w:pPr>
              <w:jc w:val="both"/>
              <w:rPr>
                <w:rFonts w:eastAsia="MS Mincho" w:cs="Times New Roman"/>
                <w:noProof/>
                <w:szCs w:val="32"/>
                <w:lang w:val="fr-FR"/>
              </w:rPr>
            </w:pPr>
          </w:p>
          <w:p w:rsidR="00F45CCC" w:rsidRPr="00B925B2" w:rsidRDefault="00F45CCC" w:rsidP="00F45CCC">
            <w:pPr>
              <w:jc w:val="both"/>
              <w:rPr>
                <w:rFonts w:eastAsia="MS Mincho" w:cs="Times New Roman"/>
                <w:noProof/>
                <w:szCs w:val="32"/>
                <w:lang w:val="fr-FR"/>
              </w:rPr>
            </w:pPr>
            <w:r w:rsidRPr="00B925B2">
              <w:rPr>
                <w:rFonts w:eastAsia="MS Mincho" w:cs="Times New Roman"/>
                <w:noProof/>
                <w:szCs w:val="32"/>
                <w:lang w:val="fr-FR"/>
              </w:rPr>
              <w:t xml:space="preserve">Utiliser des FOP </w:t>
            </w:r>
            <w:r w:rsidRPr="0007246A">
              <w:rPr>
                <w:rFonts w:eastAsia="MS Mincho" w:cs="Times New Roman"/>
                <w:noProof/>
                <w:szCs w:val="32"/>
                <w:lang w:val="fr-FR"/>
              </w:rPr>
              <w:t>avec matching puisqu</w:t>
            </w:r>
            <w:r>
              <w:rPr>
                <w:rFonts w:eastAsia="MS Mincho" w:cs="Times New Roman"/>
                <w:noProof/>
                <w:szCs w:val="32"/>
                <w:lang w:val="fr-FR"/>
              </w:rPr>
              <w:t>’il s’agit d’</w:t>
            </w:r>
            <w:r w:rsidRPr="00B925B2">
              <w:rPr>
                <w:rFonts w:eastAsia="MS Mincho" w:cs="Times New Roman"/>
                <w:noProof/>
                <w:szCs w:val="32"/>
                <w:lang w:val="fr-FR"/>
              </w:rPr>
              <w:t>une instruction cross CSD:</w:t>
            </w:r>
          </w:p>
          <w:p w:rsidR="00F45CCC" w:rsidRPr="00B925B2" w:rsidRDefault="00F45CCC" w:rsidP="00F45CCC">
            <w:pPr>
              <w:jc w:val="both"/>
              <w:rPr>
                <w:rFonts w:eastAsia="MS Mincho" w:cs="Times New Roman"/>
                <w:noProof/>
                <w:szCs w:val="32"/>
                <w:lang w:val="fr-FR"/>
              </w:rPr>
            </w:pPr>
          </w:p>
          <w:p w:rsidR="00F45CCC" w:rsidRDefault="00F45CCC" w:rsidP="00F45CCC">
            <w:pPr>
              <w:pStyle w:val="ListParagraph"/>
              <w:numPr>
                <w:ilvl w:val="0"/>
                <w:numId w:val="11"/>
              </w:numPr>
              <w:jc w:val="both"/>
              <w:rPr>
                <w:rFonts w:eastAsia="MS Mincho" w:cs="Times New Roman"/>
                <w:noProof/>
                <w:szCs w:val="32"/>
                <w:lang w:val="fr-FR"/>
              </w:rPr>
            </w:pPr>
            <w:r>
              <w:rPr>
                <w:rFonts w:eastAsia="MS Mincho" w:cs="Times New Roman"/>
                <w:noProof/>
                <w:szCs w:val="32"/>
                <w:lang w:val="fr-FR"/>
              </w:rPr>
              <w:t xml:space="preserve">Le TCC client d’Euroclear France émetteur du transfert doit indiquer le </w:t>
            </w:r>
            <w:r w:rsidRPr="00B925B2">
              <w:rPr>
                <w:rFonts w:eastAsia="MS Mincho" w:cs="Times New Roman"/>
                <w:noProof/>
                <w:szCs w:val="32"/>
                <w:lang w:val="fr-FR"/>
              </w:rPr>
              <w:t xml:space="preserve">Code TO </w:t>
            </w:r>
            <w:r>
              <w:rPr>
                <w:rFonts w:eastAsia="MS Mincho" w:cs="Times New Roman"/>
                <w:noProof/>
                <w:szCs w:val="32"/>
                <w:lang w:val="fr-FR"/>
              </w:rPr>
              <w:t xml:space="preserve">dans son franco (non inclus dans le matching) et dans le </w:t>
            </w:r>
            <w:r>
              <w:rPr>
                <w:rFonts w:eastAsia="MS Mincho" w:cs="Times New Roman"/>
                <w:noProof/>
                <w:szCs w:val="32"/>
                <w:lang w:val="fr-FR"/>
              </w:rPr>
              <w:lastRenderedPageBreak/>
              <w:t xml:space="preserve">BRN </w:t>
            </w:r>
            <w:r w:rsidRPr="00B925B2">
              <w:rPr>
                <w:rFonts w:eastAsia="MS Mincho" w:cs="Times New Roman"/>
                <w:noProof/>
                <w:szCs w:val="32"/>
                <w:lang w:val="fr-FR"/>
              </w:rPr>
              <w:t xml:space="preserve">pour </w:t>
            </w:r>
            <w:r w:rsidRPr="006C0ABC">
              <w:rPr>
                <w:rFonts w:eastAsia="MS Mincho" w:cs="Times New Roman"/>
                <w:noProof/>
                <w:szCs w:val="32"/>
                <w:lang w:val="fr-FR"/>
              </w:rPr>
              <w:t>changer l’intermédiaire teneur de compte</w:t>
            </w:r>
            <w:r w:rsidRPr="0007246A">
              <w:rPr>
                <w:rFonts w:eastAsia="MS Mincho" w:cs="Times New Roman"/>
                <w:noProof/>
                <w:szCs w:val="32"/>
                <w:lang w:val="fr-FR"/>
              </w:rPr>
              <w:t xml:space="preserve"> </w:t>
            </w:r>
            <w:r>
              <w:rPr>
                <w:rFonts w:eastAsia="MS Mincho" w:cs="Times New Roman"/>
                <w:noProof/>
                <w:szCs w:val="32"/>
                <w:lang w:val="fr-FR"/>
              </w:rPr>
              <w:t xml:space="preserve">mais </w:t>
            </w:r>
            <w:r w:rsidRPr="00B925B2">
              <w:rPr>
                <w:rFonts w:eastAsia="MS Mincho" w:cs="Times New Roman"/>
                <w:noProof/>
                <w:szCs w:val="32"/>
                <w:lang w:val="fr-FR"/>
              </w:rPr>
              <w:t>conserver le CCN</w:t>
            </w:r>
            <w:r>
              <w:rPr>
                <w:rFonts w:eastAsia="MS Mincho" w:cs="Times New Roman"/>
                <w:noProof/>
                <w:szCs w:val="32"/>
                <w:lang w:val="fr-FR"/>
              </w:rPr>
              <w:t>.</w:t>
            </w:r>
            <w:r w:rsidRPr="00B925B2">
              <w:rPr>
                <w:rFonts w:eastAsia="MS Mincho" w:cs="Times New Roman"/>
                <w:noProof/>
                <w:szCs w:val="32"/>
                <w:lang w:val="fr-FR"/>
              </w:rPr>
              <w:t xml:space="preserve"> </w:t>
            </w:r>
          </w:p>
          <w:p w:rsidR="00F45CCC" w:rsidRPr="00B925B2" w:rsidRDefault="00F45CCC" w:rsidP="00F45CCC">
            <w:pPr>
              <w:jc w:val="both"/>
              <w:rPr>
                <w:rFonts w:eastAsia="MS Mincho" w:cs="Times New Roman"/>
                <w:noProof/>
                <w:szCs w:val="32"/>
                <w:lang w:val="fr-FR"/>
              </w:rPr>
            </w:pPr>
          </w:p>
          <w:p w:rsidR="00F45CCC" w:rsidRDefault="00F45CCC" w:rsidP="00F45CCC">
            <w:pPr>
              <w:pStyle w:val="ListParagraph"/>
              <w:numPr>
                <w:ilvl w:val="0"/>
                <w:numId w:val="11"/>
              </w:numPr>
              <w:jc w:val="both"/>
              <w:rPr>
                <w:rFonts w:eastAsia="MS Mincho" w:cs="Times New Roman"/>
                <w:noProof/>
                <w:szCs w:val="32"/>
                <w:lang w:val="fr-FR"/>
              </w:rPr>
            </w:pPr>
            <w:r>
              <w:rPr>
                <w:rFonts w:eastAsia="MS Mincho" w:cs="Times New Roman"/>
                <w:noProof/>
                <w:szCs w:val="32"/>
                <w:lang w:val="fr-FR"/>
              </w:rPr>
              <w:t xml:space="preserve">Le TCC de l’investisseur final receveur des titres doit demander au CSD étranger d’émettre un BRN au nom du bénéficiaire final avec </w:t>
            </w:r>
            <w:r w:rsidRPr="00B925B2">
              <w:rPr>
                <w:rFonts w:eastAsia="MS Mincho" w:cs="Times New Roman"/>
                <w:noProof/>
                <w:szCs w:val="32"/>
                <w:lang w:val="fr-FR"/>
              </w:rPr>
              <w:t xml:space="preserve">Code CI </w:t>
            </w:r>
            <w:r>
              <w:rPr>
                <w:rFonts w:eastAsia="MS Mincho" w:cs="Times New Roman"/>
                <w:noProof/>
                <w:szCs w:val="32"/>
                <w:lang w:val="fr-FR"/>
              </w:rPr>
              <w:t xml:space="preserve">et </w:t>
            </w:r>
            <w:r w:rsidRPr="00B925B2">
              <w:rPr>
                <w:rFonts w:eastAsia="MS Mincho" w:cs="Times New Roman"/>
                <w:noProof/>
                <w:szCs w:val="32"/>
                <w:lang w:val="fr-FR"/>
              </w:rPr>
              <w:t xml:space="preserve">avec commentaire « loi NRE » pour maintien des droits pour un </w:t>
            </w:r>
            <w:r>
              <w:rPr>
                <w:rFonts w:eastAsia="MS Mincho" w:cs="Times New Roman"/>
                <w:noProof/>
                <w:szCs w:val="32"/>
                <w:lang w:val="fr-FR"/>
              </w:rPr>
              <w:t xml:space="preserve">investisseur étranger dont les titres sont gérés par un </w:t>
            </w:r>
            <w:r w:rsidRPr="00B925B2">
              <w:rPr>
                <w:rFonts w:eastAsia="MS Mincho" w:cs="Times New Roman"/>
                <w:noProof/>
                <w:szCs w:val="32"/>
                <w:lang w:val="fr-FR"/>
              </w:rPr>
              <w:t>intermédiaire inscrit (BRN traité manuellement)</w:t>
            </w:r>
            <w:r>
              <w:rPr>
                <w:rFonts w:eastAsia="MS Mincho" w:cs="Times New Roman"/>
                <w:noProof/>
                <w:szCs w:val="32"/>
                <w:lang w:val="fr-FR"/>
              </w:rPr>
              <w:t>. C’est l’investisseur final qui doit donner les instructions nécessaires à son nouveau TCC d’un marché local étranger.</w:t>
            </w:r>
          </w:p>
          <w:p w:rsidR="00F45CCC" w:rsidRPr="00B925B2" w:rsidRDefault="00F45CCC" w:rsidP="00F45CCC">
            <w:pPr>
              <w:jc w:val="both"/>
              <w:rPr>
                <w:rFonts w:eastAsia="MS Mincho" w:cs="Times New Roman"/>
                <w:noProof/>
                <w:szCs w:val="32"/>
                <w:lang w:val="fr-FR"/>
              </w:rPr>
            </w:pPr>
          </w:p>
          <w:p w:rsidR="00F45CCC" w:rsidRDefault="00F45CCC" w:rsidP="00F45CCC">
            <w:pPr>
              <w:ind w:left="1080"/>
              <w:jc w:val="both"/>
              <w:rPr>
                <w:rFonts w:eastAsia="MS Mincho" w:cs="Times New Roman"/>
                <w:noProof/>
                <w:szCs w:val="32"/>
                <w:lang w:val="fr-FR"/>
              </w:rPr>
            </w:pPr>
            <w:r>
              <w:rPr>
                <w:rFonts w:eastAsia="MS Mincho" w:cs="Times New Roman"/>
                <w:noProof/>
                <w:szCs w:val="32"/>
                <w:lang w:val="fr-FR"/>
              </w:rPr>
              <w:t>La question se pose de l’attribution des avantages lorsque les avoirs sont enregistrés au nom d’un intermédiaire inscrit. Dans ce cas, l’intermédiaire inscrit serait réputé suivre les dates d’entrée et de sortie des avoirs clients afin d’être en mesure de fournir les justificatifs permettant au bénéficiaire final de disposer des avantages ce qui n’est pas réaliste et n’est pas accepté par les teneurs de registre des valeurs françaises, ceux-ci devant connaîter l’investisseur final pour lui attribuer les dits avantages.</w:t>
            </w:r>
          </w:p>
          <w:p w:rsidR="00F45CCC" w:rsidRDefault="00F45CCC" w:rsidP="00F45CCC">
            <w:pPr>
              <w:jc w:val="both"/>
              <w:rPr>
                <w:rFonts w:eastAsia="MS Mincho" w:cs="Times New Roman"/>
                <w:b/>
                <w:noProof/>
                <w:szCs w:val="32"/>
                <w:lang w:val="fr-FR"/>
              </w:rPr>
            </w:pPr>
          </w:p>
          <w:p w:rsidR="00F45CCC" w:rsidRDefault="00F45CCC" w:rsidP="00F45CCC">
            <w:pPr>
              <w:jc w:val="both"/>
              <w:rPr>
                <w:rFonts w:eastAsia="MS Mincho" w:cs="Times New Roman"/>
                <w:b/>
                <w:noProof/>
                <w:szCs w:val="32"/>
                <w:lang w:val="fr-FR"/>
              </w:rPr>
            </w:pPr>
            <w:r>
              <w:rPr>
                <w:rFonts w:eastAsia="MS Mincho" w:cs="Times New Roman"/>
                <w:b/>
                <w:noProof/>
                <w:szCs w:val="32"/>
                <w:lang w:val="fr-FR"/>
              </w:rPr>
              <w:t>En conclusion, tant qu’une communication détaillée n’est pas faite à destination des autres CSD et que les TCC étrangers ne sont pas prêts à inscrire le bénéficiaire final dans le registre, il est important d’attirer l’attention des clients sur le fait que le maintien des avantages liés à la durée de détention au nominatif ne peut être garanti lors du transfert d’avoirs nominatifs administrés sur un compte chez un TCC étranger dont les avoirs sont déposés sur un CSD autre qu’Euroclear France.</w:t>
            </w:r>
          </w:p>
          <w:p w:rsidR="00F45CCC" w:rsidRDefault="00F45CCC" w:rsidP="00F45CCC">
            <w:pPr>
              <w:jc w:val="both"/>
              <w:rPr>
                <w:rFonts w:eastAsia="MS Mincho" w:cs="Times New Roman"/>
                <w:b/>
                <w:noProof/>
                <w:szCs w:val="32"/>
                <w:lang w:val="fr-FR"/>
              </w:rPr>
            </w:pPr>
          </w:p>
          <w:p w:rsidR="00AA1FDB" w:rsidRPr="00F45CCC" w:rsidRDefault="00F45CCC" w:rsidP="00F45CCC">
            <w:pPr>
              <w:jc w:val="both"/>
              <w:rPr>
                <w:rFonts w:eastAsia="MS Mincho" w:cs="Times New Roman"/>
                <w:b/>
                <w:noProof/>
                <w:szCs w:val="32"/>
                <w:lang w:val="fr-FR"/>
              </w:rPr>
            </w:pPr>
            <w:r>
              <w:rPr>
                <w:rFonts w:eastAsia="MS Mincho" w:cs="Times New Roman"/>
                <w:b/>
                <w:noProof/>
                <w:szCs w:val="32"/>
                <w:lang w:val="fr-FR"/>
              </w:rPr>
              <w:t>Pour Euroclear Belgium et Euroclear Nederland, il semblerait que la pratique soit d’inscrire le bénéficiaire final dans le registre lorsqu’il s’agit d’un client français. Pour un client non résident au regard de la France, la pratique internationale serait que le TCC s’inscrive en tant qu’intermédiaire inscrit ce qui ne permet pas à son client de bénéficier des avantages liés à la durée de détention.</w:t>
            </w:r>
          </w:p>
        </w:tc>
      </w:tr>
      <w:tr w:rsidR="0081511D" w:rsidRPr="00F45CCC"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85743B" w:rsidRDefault="0085743B">
      <w:pPr>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F45CCC"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85743B"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8B1A1E">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D75" w:rsidRDefault="00F81D75" w:rsidP="006D6846">
      <w:pPr>
        <w:spacing w:after="0" w:line="240" w:lineRule="auto"/>
      </w:pPr>
      <w:r>
        <w:separator/>
      </w:r>
    </w:p>
  </w:endnote>
  <w:endnote w:type="continuationSeparator" w:id="0">
    <w:p w:rsidR="00F81D75" w:rsidRDefault="00F81D75"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F45CCC">
          <w:rPr>
            <w:noProof/>
          </w:rPr>
          <w:t>1</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D75" w:rsidRDefault="00F81D75" w:rsidP="006D6846">
      <w:pPr>
        <w:spacing w:after="0" w:line="240" w:lineRule="auto"/>
      </w:pPr>
      <w:r>
        <w:separator/>
      </w:r>
    </w:p>
  </w:footnote>
  <w:footnote w:type="continuationSeparator" w:id="0">
    <w:p w:rsidR="00F81D75" w:rsidRDefault="00F81D75"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3798" w:type="dxa"/>
          <w:vAlign w:val="center"/>
        </w:tcPr>
        <w:p w:rsidR="00EC776F" w:rsidRDefault="00EC776F" w:rsidP="00EC776F">
          <w:pPr>
            <w:pStyle w:val="Header"/>
            <w:jc w:val="center"/>
            <w:rPr>
              <w:b/>
              <w:lang w:val="fr-FR"/>
            </w:rPr>
          </w:pPr>
          <w:r>
            <w:rPr>
              <w:noProof/>
            </w:rPr>
            <w:drawing>
              <wp:inline distT="0" distB="0" distL="0" distR="0" wp14:anchorId="187D4898" wp14:editId="1956AF6F">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F45CCC" w:rsidTr="00EC776F">
      <w:tc>
        <w:tcPr>
          <w:tcW w:w="5778" w:type="dxa"/>
          <w:vAlign w:val="center"/>
        </w:tcPr>
        <w:p w:rsidR="00EC776F" w:rsidRPr="00EC776F" w:rsidRDefault="00EC776F" w:rsidP="00F45CCC">
          <w:pPr>
            <w:pStyle w:val="Header"/>
            <w:rPr>
              <w:i/>
              <w:lang w:val="fr-FR"/>
            </w:rPr>
          </w:pPr>
          <w:r>
            <w:rPr>
              <w:i/>
              <w:lang w:val="fr-FR"/>
            </w:rPr>
            <w:t xml:space="preserve">Référence de la pratique : </w:t>
          </w:r>
          <w:r w:rsidR="00F45CCC">
            <w:rPr>
              <w:i/>
              <w:lang w:val="fr-FR"/>
            </w:rPr>
            <w:t>NE</w:t>
          </w:r>
          <w:r w:rsidR="00776CD9" w:rsidRPr="00776CD9">
            <w:rPr>
              <w:i/>
              <w:lang w:val="fr-FR"/>
            </w:rPr>
            <w:t>-</w:t>
          </w:r>
          <w:r w:rsidR="00F45CCC">
            <w:rPr>
              <w:i/>
              <w:lang w:val="fr-FR"/>
            </w:rPr>
            <w:t>NOMIN</w:t>
          </w:r>
          <w:r w:rsidR="00776CD9" w:rsidRPr="00776CD9">
            <w:rPr>
              <w:i/>
              <w:lang w:val="fr-FR"/>
            </w:rPr>
            <w:t>-</w:t>
          </w:r>
          <w:r w:rsidR="00F45CCC">
            <w:rPr>
              <w:i/>
              <w:lang w:val="fr-FR"/>
            </w:rPr>
            <w:t>SETTL</w:t>
          </w:r>
          <w:r w:rsidR="00776CD9" w:rsidRPr="00776CD9">
            <w:rPr>
              <w:i/>
              <w:lang w:val="fr-FR"/>
            </w:rPr>
            <w:t>-01</w:t>
          </w:r>
        </w:p>
      </w:tc>
      <w:tc>
        <w:tcPr>
          <w:tcW w:w="379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994B39"/>
    <w:multiLevelType w:val="hybridMultilevel"/>
    <w:tmpl w:val="D0386E7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66B4B08"/>
    <w:multiLevelType w:val="hybridMultilevel"/>
    <w:tmpl w:val="6A5A88DE"/>
    <w:lvl w:ilvl="0" w:tplc="CFB6FEAA">
      <w:numFmt w:val="bullet"/>
      <w:lvlText w:val="-"/>
      <w:lvlJc w:val="left"/>
      <w:pPr>
        <w:ind w:left="720" w:hanging="360"/>
      </w:pPr>
      <w:rPr>
        <w:rFonts w:ascii="Calibri" w:eastAsia="MS Mincho"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5C74A4"/>
    <w:multiLevelType w:val="hybridMultilevel"/>
    <w:tmpl w:val="BF20C71E"/>
    <w:lvl w:ilvl="0" w:tplc="7BE8EF6C">
      <w:numFmt w:val="bullet"/>
      <w:lvlText w:val="-"/>
      <w:lvlJc w:val="left"/>
      <w:pPr>
        <w:ind w:left="1080" w:hanging="360"/>
      </w:pPr>
      <w:rPr>
        <w:rFonts w:ascii="Calibri" w:eastAsia="MS Mincho" w:hAnsi="Calibri"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23F22B7"/>
    <w:multiLevelType w:val="hybridMultilevel"/>
    <w:tmpl w:val="3F7CDE4E"/>
    <w:lvl w:ilvl="0" w:tplc="C4269630">
      <w:start w:val="1"/>
      <w:numFmt w:val="bullet"/>
      <w:lvlText w:val=""/>
      <w:lvlJc w:val="left"/>
      <w:pPr>
        <w:ind w:left="72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2"/>
  </w:num>
  <w:num w:numId="4">
    <w:abstractNumId w:val="11"/>
  </w:num>
  <w:num w:numId="5">
    <w:abstractNumId w:val="1"/>
  </w:num>
  <w:num w:numId="6">
    <w:abstractNumId w:val="0"/>
  </w:num>
  <w:num w:numId="7">
    <w:abstractNumId w:val="5"/>
  </w:num>
  <w:num w:numId="8">
    <w:abstractNumId w:val="3"/>
  </w:num>
  <w:num w:numId="9">
    <w:abstractNumId w:val="6"/>
  </w:num>
  <w:num w:numId="10">
    <w:abstractNumId w:val="9"/>
  </w:num>
  <w:num w:numId="11">
    <w:abstractNumId w:val="8"/>
  </w:num>
  <w:num w:numId="12">
    <w:abstractNumId w:val="4"/>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343829"/>
    <w:rsid w:val="00343B9E"/>
    <w:rsid w:val="003631EA"/>
    <w:rsid w:val="00363E89"/>
    <w:rsid w:val="003929BA"/>
    <w:rsid w:val="003A4E76"/>
    <w:rsid w:val="003B3DA4"/>
    <w:rsid w:val="003D5E9F"/>
    <w:rsid w:val="003D7060"/>
    <w:rsid w:val="00464015"/>
    <w:rsid w:val="004818D8"/>
    <w:rsid w:val="00482296"/>
    <w:rsid w:val="004F6025"/>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5560"/>
    <w:rsid w:val="00EB44AB"/>
    <w:rsid w:val="00EC776F"/>
    <w:rsid w:val="00EF2D14"/>
    <w:rsid w:val="00F00BF4"/>
    <w:rsid w:val="00F358FF"/>
    <w:rsid w:val="00F35CCA"/>
    <w:rsid w:val="00F45CCC"/>
    <w:rsid w:val="00F81D75"/>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LightGrid-Accent1">
    <w:name w:val="Light Grid Accent 1"/>
    <w:basedOn w:val="TableNormal"/>
    <w:uiPriority w:val="62"/>
    <w:rsid w:val="00F45CC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LightGrid-Accent1">
    <w:name w:val="Light Grid Accent 1"/>
    <w:basedOn w:val="TableNormal"/>
    <w:uiPriority w:val="62"/>
    <w:rsid w:val="00F45CC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10</Pages>
  <Words>2818</Words>
  <Characters>16068</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20</cp:revision>
  <cp:lastPrinted>2015-10-09T10:36:00Z</cp:lastPrinted>
  <dcterms:created xsi:type="dcterms:W3CDTF">2016-01-07T06:52:00Z</dcterms:created>
  <dcterms:modified xsi:type="dcterms:W3CDTF">2016-08-29T04:35:00Z</dcterms:modified>
</cp:coreProperties>
</file>