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p>
    <w:p w:rsidR="00575F36" w:rsidRPr="00EC776F" w:rsidRDefault="00464015"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464015">
        <w:rPr>
          <w:b/>
          <w:noProof/>
          <w:sz w:val="36"/>
          <w:lang w:val="fr-FR"/>
        </w:rPr>
        <w:t>Traitement post-T2S des cessions temporaires</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140482" w:rsidP="00A5309F">
            <w:pPr>
              <w:tabs>
                <w:tab w:val="left" w:pos="9356"/>
              </w:tabs>
              <w:ind w:right="-279"/>
              <w:rPr>
                <w:lang w:val="fr-FR"/>
              </w:rPr>
            </w:pPr>
            <w:r>
              <w:rPr>
                <w:lang w:val="fr-FR"/>
              </w:rPr>
              <w:t>1.</w:t>
            </w:r>
            <w:r w:rsidR="00A5309F">
              <w:rPr>
                <w:lang w:val="fr-FR"/>
              </w:rPr>
              <w:t>1</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A5309F" w:rsidP="006D6846">
            <w:pPr>
              <w:tabs>
                <w:tab w:val="left" w:pos="9356"/>
              </w:tabs>
              <w:ind w:right="-279"/>
              <w:rPr>
                <w:lang w:val="fr-FR"/>
              </w:rPr>
            </w:pPr>
            <w:r>
              <w:rPr>
                <w:lang w:val="fr-FR"/>
              </w:rPr>
              <w:t xml:space="preserve">29 août </w:t>
            </w:r>
            <w:r w:rsidR="00140482">
              <w:rPr>
                <w:lang w:val="fr-FR"/>
              </w:rPr>
              <w:t>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A5309F"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464015" w:rsidRDefault="00464015" w:rsidP="00464015">
            <w:pPr>
              <w:spacing w:before="120"/>
              <w:rPr>
                <w:rFonts w:eastAsia="MS Mincho" w:cs="Times New Roman"/>
                <w:noProof/>
                <w:szCs w:val="32"/>
                <w:lang w:val="fr-FR"/>
              </w:rPr>
            </w:pPr>
            <w:r>
              <w:rPr>
                <w:rFonts w:eastAsia="MS Mincho" w:cs="Times New Roman"/>
                <w:noProof/>
                <w:szCs w:val="32"/>
                <w:lang w:val="fr-FR"/>
              </w:rPr>
              <w:t xml:space="preserve">Euroclear </w:t>
            </w:r>
            <w:r w:rsidR="003F1BFB">
              <w:rPr>
                <w:rFonts w:eastAsia="MS Mincho" w:cs="Times New Roman"/>
                <w:noProof/>
                <w:szCs w:val="32"/>
                <w:lang w:val="fr-FR"/>
              </w:rPr>
              <w:t xml:space="preserve">France </w:t>
            </w:r>
            <w:r>
              <w:rPr>
                <w:rFonts w:eastAsia="MS Mincho" w:cs="Times New Roman"/>
                <w:noProof/>
                <w:szCs w:val="32"/>
                <w:lang w:val="fr-FR"/>
              </w:rPr>
              <w:t xml:space="preserve">propose aujourd’hui </w:t>
            </w:r>
            <w:r w:rsidRPr="004B3BDA">
              <w:rPr>
                <w:rFonts w:eastAsia="MS Mincho" w:cs="Times New Roman"/>
                <w:noProof/>
                <w:szCs w:val="32"/>
                <w:lang w:val="fr-FR"/>
              </w:rPr>
              <w:t xml:space="preserve">un </w:t>
            </w:r>
            <w:r>
              <w:rPr>
                <w:rFonts w:eastAsia="MS Mincho" w:cs="Times New Roman"/>
                <w:noProof/>
                <w:szCs w:val="32"/>
                <w:lang w:val="fr-FR"/>
              </w:rPr>
              <w:t>module « pension livrée » pour traiter les contrats de cessions temporaires, permettant à ses participants d’instruire une seule fois le contrat, et non deux instructions séparées.</w:t>
            </w:r>
          </w:p>
          <w:p w:rsidR="00464015" w:rsidRDefault="00464015" w:rsidP="00464015">
            <w:pPr>
              <w:spacing w:before="120"/>
              <w:rPr>
                <w:rFonts w:eastAsia="MS Mincho" w:cs="Times New Roman"/>
                <w:noProof/>
                <w:szCs w:val="32"/>
                <w:lang w:val="fr-FR"/>
              </w:rPr>
            </w:pPr>
            <w:r>
              <w:rPr>
                <w:rFonts w:eastAsia="MS Mincho" w:cs="Times New Roman"/>
                <w:noProof/>
                <w:szCs w:val="32"/>
                <w:lang w:val="fr-FR"/>
              </w:rPr>
              <w:t>Ce module permet notamment :</w:t>
            </w:r>
          </w:p>
          <w:p w:rsidR="00464015" w:rsidRDefault="00464015" w:rsidP="003F1BFB">
            <w:pPr>
              <w:pStyle w:val="ListParagraph"/>
              <w:numPr>
                <w:ilvl w:val="0"/>
                <w:numId w:val="3"/>
              </w:numPr>
              <w:ind w:left="318" w:hanging="284"/>
              <w:contextualSpacing w:val="0"/>
              <w:jc w:val="both"/>
              <w:rPr>
                <w:rFonts w:eastAsia="MS Mincho" w:cs="Times New Roman"/>
                <w:noProof/>
                <w:szCs w:val="32"/>
                <w:lang w:val="fr-FR"/>
              </w:rPr>
            </w:pPr>
            <w:r>
              <w:rPr>
                <w:rFonts w:eastAsia="MS Mincho" w:cs="Times New Roman"/>
                <w:noProof/>
                <w:szCs w:val="32"/>
                <w:lang w:val="fr-FR"/>
              </w:rPr>
              <w:t xml:space="preserve">de </w:t>
            </w:r>
            <w:r w:rsidRPr="001A225A">
              <w:rPr>
                <w:rFonts w:eastAsia="MS Mincho" w:cs="Times New Roman"/>
                <w:noProof/>
                <w:szCs w:val="32"/>
                <w:lang w:val="fr-FR"/>
              </w:rPr>
              <w:t>générer la 2ème jambe des cessions temporaires et de la lier à la première</w:t>
            </w:r>
            <w:r>
              <w:rPr>
                <w:rFonts w:eastAsia="MS Mincho" w:cs="Times New Roman"/>
                <w:noProof/>
                <w:szCs w:val="32"/>
                <w:lang w:val="fr-FR"/>
              </w:rPr>
              <w:t> ;</w:t>
            </w:r>
          </w:p>
          <w:p w:rsidR="00464015" w:rsidRDefault="00464015" w:rsidP="003F1BFB">
            <w:pPr>
              <w:pStyle w:val="ListParagraph"/>
              <w:numPr>
                <w:ilvl w:val="0"/>
                <w:numId w:val="3"/>
              </w:numPr>
              <w:ind w:left="318" w:hanging="284"/>
              <w:contextualSpacing w:val="0"/>
              <w:jc w:val="both"/>
              <w:rPr>
                <w:rFonts w:eastAsia="MS Mincho" w:cs="Times New Roman"/>
                <w:noProof/>
                <w:szCs w:val="32"/>
                <w:lang w:val="fr-FR"/>
              </w:rPr>
            </w:pPr>
            <w:r>
              <w:rPr>
                <w:rFonts w:eastAsia="MS Mincho" w:cs="Times New Roman"/>
                <w:noProof/>
                <w:szCs w:val="32"/>
                <w:lang w:val="fr-FR"/>
              </w:rPr>
              <w:t>d’alimenter toutes les données nécessaires au règlement-livraison de la 2</w:t>
            </w:r>
            <w:r w:rsidRPr="001A225A">
              <w:rPr>
                <w:rFonts w:eastAsia="MS Mincho" w:cs="Times New Roman"/>
                <w:noProof/>
                <w:szCs w:val="32"/>
                <w:vertAlign w:val="superscript"/>
                <w:lang w:val="fr-FR"/>
              </w:rPr>
              <w:t>ème</w:t>
            </w:r>
            <w:r>
              <w:rPr>
                <w:rFonts w:eastAsia="MS Mincho" w:cs="Times New Roman"/>
                <w:noProof/>
                <w:szCs w:val="32"/>
                <w:lang w:val="fr-FR"/>
              </w:rPr>
              <w:t xml:space="preserve"> jambe, notamment la date de négociation (trade date) ;</w:t>
            </w:r>
          </w:p>
          <w:p w:rsidR="00464015" w:rsidRPr="001B34D3" w:rsidRDefault="00464015" w:rsidP="003F1BFB">
            <w:pPr>
              <w:pStyle w:val="ListParagraph"/>
              <w:numPr>
                <w:ilvl w:val="0"/>
                <w:numId w:val="3"/>
              </w:numPr>
              <w:ind w:left="318" w:hanging="284"/>
              <w:contextualSpacing w:val="0"/>
              <w:jc w:val="both"/>
              <w:rPr>
                <w:rFonts w:eastAsia="MS Mincho" w:cs="Times New Roman"/>
                <w:noProof/>
                <w:szCs w:val="32"/>
                <w:lang w:val="fr-FR"/>
              </w:rPr>
            </w:pPr>
            <w:r w:rsidRPr="001B34D3">
              <w:rPr>
                <w:rFonts w:eastAsia="MS Mincho" w:cs="Times New Roman"/>
                <w:noProof/>
                <w:szCs w:val="32"/>
                <w:lang w:val="fr-FR"/>
              </w:rPr>
              <w:t>pour les contrats de repos à taux variable, d’assurer une cristallisation à J-1, par Euroclear et non par les participants. A noter que </w:t>
            </w:r>
            <w:r w:rsidR="003F1BFB">
              <w:rPr>
                <w:rFonts w:eastAsia="MS Mincho" w:cs="Times New Roman"/>
                <w:noProof/>
                <w:szCs w:val="32"/>
                <w:lang w:val="fr-FR"/>
              </w:rPr>
              <w:t>l</w:t>
            </w:r>
            <w:r w:rsidRPr="001B34D3">
              <w:rPr>
                <w:rFonts w:eastAsia="MS Mincho" w:cs="Times New Roman"/>
                <w:noProof/>
                <w:szCs w:val="32"/>
                <w:lang w:val="fr-FR"/>
              </w:rPr>
              <w:t>es instructions compensées par LCH.Clearnet font l’objet d’une cristallisation à J-1, opérée par LCH.Clearnet.</w:t>
            </w:r>
          </w:p>
          <w:p w:rsidR="00140482" w:rsidRDefault="00464015" w:rsidP="00464015">
            <w:pPr>
              <w:spacing w:before="60" w:after="60"/>
              <w:rPr>
                <w:rFonts w:eastAsia="MS Mincho" w:cs="Times New Roman"/>
                <w:noProof/>
                <w:szCs w:val="32"/>
                <w:lang w:val="fr-FR"/>
              </w:rPr>
            </w:pPr>
            <w:r w:rsidRPr="001B34D3">
              <w:rPr>
                <w:rFonts w:eastAsia="MS Mincho" w:cs="Times New Roman"/>
                <w:i/>
                <w:noProof/>
                <w:szCs w:val="32"/>
                <w:lang w:val="fr-FR"/>
              </w:rPr>
              <w:t>NB : Dans les contrats de repurchase agreements (ou repos) à taux variable, le calcul de la rémunération s’appuie sur une moyenne arithmétique de taux au jour le jour sur toute la période du contrat. La détermination du dernier taux à intégrer dans le calcul de cette moyenne, soit le taux à appliquer au titre de la veille de la date de maturité, est appelé dans ce processus « cristallisation ».</w:t>
            </w:r>
          </w:p>
        </w:tc>
      </w:tr>
      <w:tr w:rsidR="00D103DA" w:rsidRPr="00A5309F"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A5309F"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464015" w:rsidRDefault="00464015" w:rsidP="00464015">
            <w:pPr>
              <w:spacing w:before="120"/>
              <w:rPr>
                <w:rFonts w:eastAsia="MS Mincho" w:cs="Times New Roman"/>
                <w:noProof/>
                <w:szCs w:val="32"/>
                <w:lang w:val="fr-FR"/>
              </w:rPr>
            </w:pPr>
            <w:r>
              <w:rPr>
                <w:rFonts w:eastAsia="MS Mincho" w:cs="Times New Roman"/>
                <w:noProof/>
                <w:szCs w:val="32"/>
                <w:lang w:val="fr-FR"/>
              </w:rPr>
              <w:t xml:space="preserve">Le module </w:t>
            </w:r>
            <w:r w:rsidR="003F1BFB">
              <w:rPr>
                <w:rFonts w:eastAsia="MS Mincho" w:cs="Times New Roman"/>
                <w:noProof/>
                <w:szCs w:val="32"/>
                <w:lang w:val="fr-FR"/>
              </w:rPr>
              <w:t>« p</w:t>
            </w:r>
            <w:r>
              <w:rPr>
                <w:rFonts w:eastAsia="MS Mincho" w:cs="Times New Roman"/>
                <w:noProof/>
                <w:szCs w:val="32"/>
                <w:lang w:val="fr-FR"/>
              </w:rPr>
              <w:t xml:space="preserve">ension </w:t>
            </w:r>
            <w:r w:rsidR="003F1BFB">
              <w:rPr>
                <w:rFonts w:eastAsia="MS Mincho" w:cs="Times New Roman"/>
                <w:noProof/>
                <w:szCs w:val="32"/>
                <w:lang w:val="fr-FR"/>
              </w:rPr>
              <w:t>l</w:t>
            </w:r>
            <w:r>
              <w:rPr>
                <w:rFonts w:eastAsia="MS Mincho" w:cs="Times New Roman"/>
                <w:noProof/>
                <w:szCs w:val="32"/>
                <w:lang w:val="fr-FR"/>
              </w:rPr>
              <w:t>ivrée</w:t>
            </w:r>
            <w:r w:rsidR="003F1BFB">
              <w:rPr>
                <w:rFonts w:eastAsia="MS Mincho" w:cs="Times New Roman"/>
                <w:noProof/>
                <w:szCs w:val="32"/>
                <w:lang w:val="fr-FR"/>
              </w:rPr>
              <w:t> »</w:t>
            </w:r>
            <w:r>
              <w:rPr>
                <w:rFonts w:eastAsia="MS Mincho" w:cs="Times New Roman"/>
                <w:noProof/>
                <w:szCs w:val="32"/>
                <w:lang w:val="fr-FR"/>
              </w:rPr>
              <w:t xml:space="preserve"> disparaît au profit d’un traitement en mode achat/vente.</w:t>
            </w:r>
          </w:p>
          <w:p w:rsidR="00464015" w:rsidRDefault="00464015" w:rsidP="00464015">
            <w:pPr>
              <w:spacing w:before="120"/>
              <w:rPr>
                <w:rFonts w:eastAsia="MS Mincho" w:cs="Times New Roman"/>
                <w:noProof/>
                <w:szCs w:val="32"/>
                <w:lang w:val="fr-FR"/>
              </w:rPr>
            </w:pPr>
            <w:r>
              <w:rPr>
                <w:rFonts w:eastAsia="MS Mincho" w:cs="Times New Roman"/>
                <w:noProof/>
                <w:szCs w:val="32"/>
                <w:lang w:val="fr-FR"/>
              </w:rPr>
              <w:t>A ce titre :</w:t>
            </w:r>
          </w:p>
          <w:p w:rsidR="00464015" w:rsidRDefault="00464015" w:rsidP="003F1BFB">
            <w:pPr>
              <w:pStyle w:val="ListParagraph"/>
              <w:numPr>
                <w:ilvl w:val="0"/>
                <w:numId w:val="3"/>
              </w:numPr>
              <w:ind w:left="318" w:hanging="284"/>
              <w:contextualSpacing w:val="0"/>
              <w:jc w:val="both"/>
              <w:rPr>
                <w:rFonts w:eastAsia="MS Mincho" w:cs="Times New Roman"/>
                <w:noProof/>
                <w:szCs w:val="32"/>
                <w:lang w:val="fr-FR"/>
              </w:rPr>
            </w:pPr>
            <w:r>
              <w:rPr>
                <w:rFonts w:eastAsia="MS Mincho" w:cs="Times New Roman"/>
                <w:noProof/>
                <w:szCs w:val="32"/>
                <w:lang w:val="fr-FR"/>
              </w:rPr>
              <w:t>La 2</w:t>
            </w:r>
            <w:r w:rsidRPr="001A225A">
              <w:rPr>
                <w:rFonts w:eastAsia="MS Mincho" w:cs="Times New Roman"/>
                <w:noProof/>
                <w:szCs w:val="32"/>
                <w:vertAlign w:val="superscript"/>
                <w:lang w:val="fr-FR"/>
              </w:rPr>
              <w:t>ème</w:t>
            </w:r>
            <w:r>
              <w:rPr>
                <w:rFonts w:eastAsia="MS Mincho" w:cs="Times New Roman"/>
                <w:noProof/>
                <w:szCs w:val="32"/>
                <w:lang w:val="fr-FR"/>
              </w:rPr>
              <w:t xml:space="preserve"> jambe ne sera plus générée automatiquement ;</w:t>
            </w:r>
          </w:p>
          <w:p w:rsidR="00464015" w:rsidRDefault="00464015" w:rsidP="003F1BFB">
            <w:pPr>
              <w:pStyle w:val="ListParagraph"/>
              <w:numPr>
                <w:ilvl w:val="0"/>
                <w:numId w:val="3"/>
              </w:numPr>
              <w:ind w:left="318" w:hanging="284"/>
              <w:contextualSpacing w:val="0"/>
              <w:jc w:val="both"/>
              <w:rPr>
                <w:rFonts w:eastAsia="MS Mincho" w:cs="Times New Roman"/>
                <w:noProof/>
                <w:szCs w:val="32"/>
                <w:lang w:val="fr-FR"/>
              </w:rPr>
            </w:pPr>
            <w:r>
              <w:rPr>
                <w:rFonts w:eastAsia="MS Mincho" w:cs="Times New Roman"/>
                <w:noProof/>
                <w:szCs w:val="32"/>
                <w:lang w:val="fr-FR"/>
              </w:rPr>
              <w:t>La date de négociation (trade date) de la 2</w:t>
            </w:r>
            <w:r w:rsidRPr="001B34D3">
              <w:rPr>
                <w:rFonts w:eastAsia="MS Mincho" w:cs="Times New Roman"/>
                <w:noProof/>
                <w:szCs w:val="32"/>
                <w:vertAlign w:val="superscript"/>
                <w:lang w:val="fr-FR"/>
              </w:rPr>
              <w:t>ème</w:t>
            </w:r>
            <w:r>
              <w:rPr>
                <w:rFonts w:eastAsia="MS Mincho" w:cs="Times New Roman"/>
                <w:noProof/>
                <w:szCs w:val="32"/>
                <w:lang w:val="fr-FR"/>
              </w:rPr>
              <w:t xml:space="preserve"> jambe ne sera plus alimentée par Euroclear</w:t>
            </w:r>
            <w:r w:rsidR="00D47F87">
              <w:rPr>
                <w:rFonts w:eastAsia="MS Mincho" w:cs="Times New Roman"/>
                <w:noProof/>
                <w:szCs w:val="32"/>
                <w:lang w:val="fr-FR"/>
              </w:rPr>
              <w:t xml:space="preserve"> – la trade date devenant un critère de matching en T2S</w:t>
            </w:r>
            <w:r>
              <w:rPr>
                <w:rFonts w:eastAsia="MS Mincho" w:cs="Times New Roman"/>
                <w:noProof/>
                <w:szCs w:val="32"/>
                <w:lang w:val="fr-FR"/>
              </w:rPr>
              <w:t> ;</w:t>
            </w:r>
          </w:p>
          <w:p w:rsidR="00140482" w:rsidRPr="00464015" w:rsidRDefault="00464015" w:rsidP="003F1BFB">
            <w:pPr>
              <w:pStyle w:val="ListParagraph"/>
              <w:numPr>
                <w:ilvl w:val="0"/>
                <w:numId w:val="3"/>
              </w:numPr>
              <w:ind w:left="318" w:hanging="284"/>
              <w:contextualSpacing w:val="0"/>
              <w:jc w:val="both"/>
              <w:rPr>
                <w:rFonts w:eastAsia="MS Mincho" w:cs="Times New Roman"/>
                <w:noProof/>
                <w:szCs w:val="32"/>
                <w:lang w:val="fr-FR"/>
              </w:rPr>
            </w:pPr>
            <w:r w:rsidRPr="00464015">
              <w:rPr>
                <w:rFonts w:eastAsia="MS Mincho" w:cs="Times New Roman"/>
                <w:noProof/>
                <w:szCs w:val="32"/>
                <w:lang w:val="fr-FR"/>
              </w:rPr>
              <w:t>La cristallisation ne sera plus opérée par Euroclear</w:t>
            </w:r>
            <w:r w:rsidR="003F1BFB">
              <w:rPr>
                <w:rFonts w:eastAsia="MS Mincho" w:cs="Times New Roman"/>
                <w:noProof/>
                <w:szCs w:val="32"/>
                <w:lang w:val="fr-FR"/>
              </w:rPr>
              <w:t xml:space="preserve"> France</w:t>
            </w:r>
            <w:r w:rsidRPr="00464015">
              <w:rPr>
                <w:rFonts w:eastAsia="MS Mincho" w:cs="Times New Roman"/>
                <w:noProof/>
                <w:szCs w:val="32"/>
                <w:lang w:val="fr-FR"/>
              </w:rPr>
              <w:t>.</w:t>
            </w:r>
          </w:p>
        </w:tc>
      </w:tr>
      <w:tr w:rsidR="0081511D" w:rsidRPr="00A5309F"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A5309F"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lastRenderedPageBreak/>
              <w:t>Description de la problématique majeure</w:t>
            </w:r>
          </w:p>
        </w:tc>
        <w:tc>
          <w:tcPr>
            <w:tcW w:w="7513" w:type="dxa"/>
          </w:tcPr>
          <w:p w:rsidR="00464015" w:rsidRDefault="00464015" w:rsidP="003F1BFB">
            <w:pPr>
              <w:jc w:val="both"/>
              <w:rPr>
                <w:rFonts w:eastAsia="MS Mincho" w:cs="Times New Roman"/>
                <w:noProof/>
                <w:szCs w:val="32"/>
                <w:lang w:val="fr-FR"/>
              </w:rPr>
            </w:pPr>
            <w:r>
              <w:rPr>
                <w:rFonts w:eastAsia="MS Mincho" w:cs="Times New Roman"/>
                <w:noProof/>
                <w:szCs w:val="32"/>
                <w:lang w:val="fr-FR"/>
              </w:rPr>
              <w:t xml:space="preserve">Le traitement des </w:t>
            </w:r>
            <w:r w:rsidR="00D05521">
              <w:rPr>
                <w:rFonts w:eastAsia="MS Mincho" w:cs="Times New Roman"/>
                <w:noProof/>
                <w:szCs w:val="32"/>
                <w:lang w:val="fr-FR"/>
              </w:rPr>
              <w:t xml:space="preserve">cessions temporaires </w:t>
            </w:r>
            <w:r>
              <w:rPr>
                <w:rFonts w:eastAsia="MS Mincho" w:cs="Times New Roman"/>
                <w:noProof/>
                <w:szCs w:val="32"/>
                <w:lang w:val="fr-FR"/>
              </w:rPr>
              <w:t>en mode achat / vente en cible, post-migration vers T2S, doit être adressé, afin de préciser :</w:t>
            </w:r>
          </w:p>
          <w:p w:rsidR="003F1BFB" w:rsidRDefault="00464015" w:rsidP="003F1BFB">
            <w:pPr>
              <w:pStyle w:val="ListParagraph"/>
              <w:numPr>
                <w:ilvl w:val="0"/>
                <w:numId w:val="3"/>
              </w:numPr>
              <w:ind w:left="318" w:hanging="284"/>
              <w:contextualSpacing w:val="0"/>
              <w:jc w:val="both"/>
              <w:rPr>
                <w:rFonts w:eastAsia="MS Mincho" w:cs="Times New Roman"/>
                <w:noProof/>
                <w:szCs w:val="32"/>
                <w:lang w:val="fr-FR"/>
              </w:rPr>
            </w:pPr>
            <w:r>
              <w:rPr>
                <w:rFonts w:eastAsia="MS Mincho" w:cs="Times New Roman"/>
                <w:noProof/>
                <w:szCs w:val="32"/>
                <w:lang w:val="fr-FR"/>
              </w:rPr>
              <w:t>Les modalités d’instruction ;</w:t>
            </w:r>
          </w:p>
          <w:p w:rsidR="00464015" w:rsidRPr="003F1BFB" w:rsidRDefault="00464015" w:rsidP="003F1BFB">
            <w:pPr>
              <w:pStyle w:val="ListParagraph"/>
              <w:numPr>
                <w:ilvl w:val="0"/>
                <w:numId w:val="3"/>
              </w:numPr>
              <w:ind w:left="318" w:hanging="284"/>
              <w:contextualSpacing w:val="0"/>
              <w:jc w:val="both"/>
              <w:rPr>
                <w:rFonts w:eastAsia="MS Mincho" w:cs="Times New Roman"/>
                <w:noProof/>
                <w:szCs w:val="32"/>
                <w:lang w:val="fr-FR"/>
              </w:rPr>
            </w:pPr>
            <w:r w:rsidRPr="003F1BFB">
              <w:rPr>
                <w:rFonts w:eastAsia="MS Mincho" w:cs="Times New Roman"/>
                <w:noProof/>
                <w:szCs w:val="32"/>
                <w:lang w:val="fr-FR"/>
              </w:rPr>
              <w:t>Le traitement de la cristallisation sur les repos à taux variable.</w:t>
            </w:r>
          </w:p>
          <w:p w:rsidR="003F1BFB" w:rsidRDefault="003F1BFB" w:rsidP="003F1BFB">
            <w:pPr>
              <w:pStyle w:val="ListParagraph"/>
              <w:ind w:left="318"/>
              <w:contextualSpacing w:val="0"/>
              <w:jc w:val="both"/>
              <w:rPr>
                <w:rFonts w:eastAsia="MS Mincho" w:cs="Times New Roman"/>
                <w:noProof/>
                <w:szCs w:val="32"/>
                <w:lang w:val="fr-FR"/>
              </w:rPr>
            </w:pPr>
          </w:p>
          <w:p w:rsidR="00464015" w:rsidRDefault="00464015" w:rsidP="003F1BFB">
            <w:pPr>
              <w:jc w:val="both"/>
              <w:rPr>
                <w:rFonts w:eastAsia="MS Mincho" w:cs="Times New Roman"/>
                <w:noProof/>
                <w:szCs w:val="32"/>
                <w:lang w:val="fr-FR"/>
              </w:rPr>
            </w:pPr>
            <w:r>
              <w:rPr>
                <w:rFonts w:eastAsia="MS Mincho" w:cs="Times New Roman"/>
                <w:noProof/>
                <w:szCs w:val="32"/>
                <w:lang w:val="fr-FR"/>
              </w:rPr>
              <w:t>Concernant les repos à taux variable et la cristallisation :</w:t>
            </w:r>
          </w:p>
          <w:p w:rsidR="00464015" w:rsidRDefault="00464015" w:rsidP="003F1BFB">
            <w:pPr>
              <w:pStyle w:val="ListParagraph"/>
              <w:numPr>
                <w:ilvl w:val="0"/>
                <w:numId w:val="3"/>
              </w:numPr>
              <w:ind w:left="318" w:hanging="284"/>
              <w:contextualSpacing w:val="0"/>
              <w:jc w:val="both"/>
              <w:rPr>
                <w:rFonts w:eastAsia="MS Mincho" w:cs="Times New Roman"/>
                <w:noProof/>
                <w:szCs w:val="32"/>
                <w:lang w:val="fr-FR"/>
              </w:rPr>
            </w:pPr>
            <w:r w:rsidRPr="00056190">
              <w:rPr>
                <w:rFonts w:eastAsia="MS Mincho" w:cs="Times New Roman"/>
                <w:noProof/>
                <w:szCs w:val="32"/>
                <w:lang w:val="fr-FR"/>
              </w:rPr>
              <w:t>L’instruction de retour de repos est une instruction de livraison contre paiement, le montant cash renseigné sur l’instruction intègrant le calcul de la rémunération.</w:t>
            </w:r>
          </w:p>
          <w:p w:rsidR="0081511D" w:rsidRPr="00140482" w:rsidRDefault="00464015" w:rsidP="003F1BFB">
            <w:pPr>
              <w:pStyle w:val="ListParagraph"/>
              <w:numPr>
                <w:ilvl w:val="0"/>
                <w:numId w:val="3"/>
              </w:numPr>
              <w:ind w:left="318" w:hanging="284"/>
              <w:contextualSpacing w:val="0"/>
              <w:jc w:val="both"/>
              <w:rPr>
                <w:rFonts w:eastAsia="MS Mincho" w:cs="Times New Roman"/>
                <w:noProof/>
                <w:szCs w:val="32"/>
                <w:lang w:val="fr-FR"/>
              </w:rPr>
            </w:pPr>
            <w:r w:rsidRPr="00387CC9">
              <w:rPr>
                <w:rFonts w:eastAsia="MS Mincho" w:cs="Times New Roman"/>
                <w:noProof/>
                <w:szCs w:val="32"/>
                <w:lang w:val="fr-FR"/>
              </w:rPr>
              <w:t>Le montant cash sur une instruction de livraison contre paiement étant un critère de matching obligatoire, le risque lié à l’absence de pratique de marché commune à toutes les contreparties, est que les montants cash soient renseignés de façon différente par les deux contreparties et que l’instruction ne matche pas, entraînant un risque de suspens.</w:t>
            </w:r>
          </w:p>
        </w:tc>
      </w:tr>
      <w:tr w:rsidR="0081511D" w:rsidRPr="00A5309F"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A5309F"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81511D" w:rsidRDefault="00140482" w:rsidP="00464015">
            <w:pPr>
              <w:spacing w:before="60" w:after="60"/>
              <w:jc w:val="both"/>
              <w:rPr>
                <w:rFonts w:eastAsia="MS Mincho" w:cs="Times New Roman"/>
                <w:noProof/>
                <w:szCs w:val="32"/>
                <w:lang w:val="fr-FR"/>
              </w:rPr>
            </w:pPr>
            <w:r w:rsidRPr="00FE1BB5">
              <w:rPr>
                <w:rFonts w:eastAsia="MS Mincho" w:cs="Times New Roman"/>
                <w:noProof/>
                <w:szCs w:val="32"/>
                <w:lang w:val="fr-FR"/>
              </w:rPr>
              <w:t>MS-SETTL-</w:t>
            </w:r>
            <w:r>
              <w:rPr>
                <w:rFonts w:eastAsia="MS Mincho" w:cs="Times New Roman"/>
                <w:noProof/>
                <w:szCs w:val="32"/>
                <w:lang w:val="fr-FR"/>
              </w:rPr>
              <w:t>CESSIONSTEMP</w:t>
            </w:r>
            <w:r w:rsidRPr="00FE1BB5">
              <w:rPr>
                <w:rFonts w:eastAsia="MS Mincho" w:cs="Times New Roman"/>
                <w:noProof/>
                <w:szCs w:val="32"/>
                <w:lang w:val="fr-FR"/>
              </w:rPr>
              <w:t>-0</w:t>
            </w:r>
            <w:r w:rsidR="00464015">
              <w:rPr>
                <w:rFonts w:eastAsia="MS Mincho" w:cs="Times New Roman"/>
                <w:noProof/>
                <w:szCs w:val="32"/>
                <w:lang w:val="fr-FR"/>
              </w:rPr>
              <w:t>1</w:t>
            </w:r>
            <w:r w:rsidR="00FF4717">
              <w:rPr>
                <w:rFonts w:eastAsia="MS Mincho" w:cs="Times New Roman"/>
                <w:noProof/>
                <w:szCs w:val="32"/>
                <w:lang w:val="fr-FR"/>
              </w:rPr>
              <w:t xml:space="preserve"> : </w:t>
            </w:r>
            <w:r w:rsidR="00FF4717" w:rsidRPr="00FF4717">
              <w:rPr>
                <w:rFonts w:eastAsia="MS Mincho" w:cs="Times New Roman"/>
                <w:noProof/>
                <w:szCs w:val="32"/>
                <w:lang w:val="fr-FR"/>
              </w:rPr>
              <w:t>Bascule du mode d’instruction des cessions temporaires en mode Achat / Vente et traitement en période transitoire</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A5309F"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464015" w:rsidRDefault="00464015" w:rsidP="00464015">
            <w:pPr>
              <w:spacing w:before="120"/>
              <w:jc w:val="both"/>
              <w:rPr>
                <w:rFonts w:eastAsia="MS Mincho" w:cs="Times New Roman"/>
                <w:i/>
                <w:noProof/>
                <w:szCs w:val="32"/>
                <w:lang w:val="fr-FR"/>
              </w:rPr>
            </w:pPr>
            <w:r w:rsidRPr="00EF1203">
              <w:rPr>
                <w:rFonts w:eastAsia="MS Mincho" w:cs="Times New Roman"/>
                <w:i/>
                <w:noProof/>
                <w:szCs w:val="32"/>
                <w:lang w:val="fr-FR"/>
              </w:rPr>
              <w:t>NB</w:t>
            </w:r>
            <w:r w:rsidR="003F1BFB">
              <w:rPr>
                <w:rFonts w:eastAsia="MS Mincho" w:cs="Times New Roman"/>
                <w:i/>
                <w:noProof/>
                <w:szCs w:val="32"/>
                <w:lang w:val="fr-FR"/>
              </w:rPr>
              <w:t>1</w:t>
            </w:r>
            <w:r w:rsidRPr="00EF1203">
              <w:rPr>
                <w:rFonts w:eastAsia="MS Mincho" w:cs="Times New Roman"/>
                <w:i/>
                <w:noProof/>
                <w:szCs w:val="32"/>
                <w:lang w:val="fr-FR"/>
              </w:rPr>
              <w:t xml:space="preserve"> : Pour des facilités de présentation, la notion de ‘bascule’ dans la présente fiche fait référence au passage des </w:t>
            </w:r>
            <w:r>
              <w:rPr>
                <w:rFonts w:eastAsia="MS Mincho" w:cs="Times New Roman"/>
                <w:i/>
                <w:noProof/>
                <w:szCs w:val="32"/>
                <w:lang w:val="fr-FR"/>
              </w:rPr>
              <w:t xml:space="preserve">cessions temporaires </w:t>
            </w:r>
            <w:r w:rsidRPr="00EF1203">
              <w:rPr>
                <w:rFonts w:eastAsia="MS Mincho" w:cs="Times New Roman"/>
                <w:i/>
                <w:noProof/>
                <w:szCs w:val="32"/>
                <w:lang w:val="fr-FR"/>
              </w:rPr>
              <w:t xml:space="preserve">en mode </w:t>
            </w:r>
            <w:r>
              <w:rPr>
                <w:rFonts w:eastAsia="MS Mincho" w:cs="Times New Roman"/>
                <w:i/>
                <w:noProof/>
                <w:szCs w:val="32"/>
                <w:lang w:val="fr-FR"/>
              </w:rPr>
              <w:t>achat / vente</w:t>
            </w:r>
            <w:r w:rsidRPr="00EF1203">
              <w:rPr>
                <w:rFonts w:eastAsia="MS Mincho" w:cs="Times New Roman"/>
                <w:i/>
                <w:noProof/>
                <w:szCs w:val="32"/>
                <w:lang w:val="fr-FR"/>
              </w:rPr>
              <w:t xml:space="preserve">, et la notion de ‘migration’ fait référence à la migration d’Euroclear France </w:t>
            </w:r>
            <w:r>
              <w:rPr>
                <w:rFonts w:eastAsia="MS Mincho" w:cs="Times New Roman"/>
                <w:i/>
                <w:noProof/>
                <w:szCs w:val="32"/>
                <w:lang w:val="fr-FR"/>
              </w:rPr>
              <w:t>ve</w:t>
            </w:r>
            <w:r w:rsidRPr="00EF1203">
              <w:rPr>
                <w:rFonts w:eastAsia="MS Mincho" w:cs="Times New Roman"/>
                <w:i/>
                <w:noProof/>
                <w:szCs w:val="32"/>
                <w:lang w:val="fr-FR"/>
              </w:rPr>
              <w:t>r</w:t>
            </w:r>
            <w:r>
              <w:rPr>
                <w:rFonts w:eastAsia="MS Mincho" w:cs="Times New Roman"/>
                <w:i/>
                <w:noProof/>
                <w:szCs w:val="32"/>
                <w:lang w:val="fr-FR"/>
              </w:rPr>
              <w:t>s</w:t>
            </w:r>
            <w:r w:rsidRPr="00EF1203">
              <w:rPr>
                <w:rFonts w:eastAsia="MS Mincho" w:cs="Times New Roman"/>
                <w:i/>
                <w:noProof/>
                <w:szCs w:val="32"/>
                <w:lang w:val="fr-FR"/>
              </w:rPr>
              <w:t xml:space="preserve"> T2S.</w:t>
            </w:r>
          </w:p>
          <w:p w:rsidR="00C313FD" w:rsidRDefault="00C313FD" w:rsidP="00C313FD">
            <w:pPr>
              <w:spacing w:before="120"/>
              <w:jc w:val="both"/>
              <w:rPr>
                <w:rFonts w:eastAsia="MS Mincho" w:cs="Times New Roman"/>
                <w:i/>
                <w:noProof/>
                <w:szCs w:val="32"/>
                <w:lang w:val="fr-FR"/>
              </w:rPr>
            </w:pPr>
            <w:r>
              <w:rPr>
                <w:rFonts w:eastAsia="MS Mincho" w:cs="Times New Roman"/>
                <w:i/>
                <w:noProof/>
                <w:szCs w:val="32"/>
                <w:lang w:val="fr-FR"/>
              </w:rPr>
              <w:t>NB2 : La présente version de la pratique ne traite pas des contrats négociés en Buy &amp; Sell-Back, dont le cas est à l’étude.</w:t>
            </w:r>
          </w:p>
          <w:p w:rsidR="00464015" w:rsidRDefault="00464015" w:rsidP="00464015">
            <w:pPr>
              <w:spacing w:before="120"/>
              <w:jc w:val="both"/>
              <w:rPr>
                <w:rFonts w:eastAsia="MS Mincho" w:cs="Times New Roman"/>
                <w:b/>
                <w:noProof/>
                <w:szCs w:val="32"/>
                <w:lang w:val="fr-FR"/>
              </w:rPr>
            </w:pPr>
            <w:r w:rsidRPr="00B9646C">
              <w:rPr>
                <w:rFonts w:eastAsia="MS Mincho" w:cs="Times New Roman"/>
                <w:b/>
                <w:noProof/>
                <w:szCs w:val="32"/>
                <w:lang w:val="fr-FR"/>
              </w:rPr>
              <w:t xml:space="preserve">Modalités d’instructions </w:t>
            </w:r>
            <w:r>
              <w:rPr>
                <w:rFonts w:eastAsia="MS Mincho" w:cs="Times New Roman"/>
                <w:b/>
                <w:noProof/>
                <w:szCs w:val="32"/>
                <w:lang w:val="fr-FR"/>
              </w:rPr>
              <w:t>pour les contrats négociés à partir de la migration vers T2S (instruction client comme instruction marché)</w:t>
            </w:r>
            <w:r w:rsidRPr="00B9646C">
              <w:rPr>
                <w:rFonts w:eastAsia="MS Mincho" w:cs="Times New Roman"/>
                <w:b/>
                <w:noProof/>
                <w:szCs w:val="32"/>
                <w:lang w:val="fr-FR"/>
              </w:rPr>
              <w:t> :</w:t>
            </w:r>
          </w:p>
          <w:p w:rsidR="00464015" w:rsidRDefault="00464015" w:rsidP="003F1BFB">
            <w:pPr>
              <w:pStyle w:val="ListParagraph"/>
              <w:numPr>
                <w:ilvl w:val="0"/>
                <w:numId w:val="3"/>
              </w:numPr>
              <w:spacing w:before="120"/>
              <w:ind w:left="346" w:hanging="284"/>
              <w:contextualSpacing w:val="0"/>
              <w:jc w:val="both"/>
              <w:rPr>
                <w:rFonts w:eastAsia="MS Mincho" w:cs="Times New Roman"/>
                <w:noProof/>
                <w:szCs w:val="32"/>
                <w:lang w:val="fr-FR"/>
              </w:rPr>
            </w:pPr>
            <w:r w:rsidRPr="002A1489">
              <w:rPr>
                <w:rFonts w:eastAsia="MS Mincho" w:cs="Times New Roman"/>
                <w:noProof/>
                <w:szCs w:val="32"/>
                <w:lang w:val="fr-FR"/>
              </w:rPr>
              <w:t>Les instructions aller et retour du contrat sont instruites comme des achats ou des ventes de titres classiques – pas de spécificité, ni en termes de type d’instruction, ni en termes de garnissage des champs.</w:t>
            </w:r>
          </w:p>
          <w:p w:rsidR="00464015" w:rsidRPr="00387CC9" w:rsidRDefault="00464015" w:rsidP="003F1BFB">
            <w:pPr>
              <w:pStyle w:val="ListParagraph"/>
              <w:numPr>
                <w:ilvl w:val="0"/>
                <w:numId w:val="3"/>
              </w:numPr>
              <w:spacing w:before="120"/>
              <w:ind w:left="346" w:hanging="284"/>
              <w:contextualSpacing w:val="0"/>
              <w:jc w:val="both"/>
              <w:rPr>
                <w:rFonts w:eastAsia="MS Mincho" w:cs="Times New Roman"/>
                <w:noProof/>
                <w:szCs w:val="32"/>
                <w:lang w:val="fr-FR"/>
              </w:rPr>
            </w:pPr>
            <w:r w:rsidRPr="00387CC9">
              <w:rPr>
                <w:rFonts w:eastAsia="MS Mincho" w:cs="Times New Roman"/>
                <w:noProof/>
                <w:szCs w:val="32"/>
                <w:lang w:val="fr-FR"/>
              </w:rPr>
              <w:lastRenderedPageBreak/>
              <w:t xml:space="preserve">T2S n’imposant pas de restriction sur l’antériorité de la trade date par rapport à la date de dénouement théorique contrairement à la pratique </w:t>
            </w:r>
            <w:r>
              <w:rPr>
                <w:rFonts w:eastAsia="MS Mincho" w:cs="Times New Roman"/>
                <w:noProof/>
                <w:szCs w:val="32"/>
                <w:lang w:val="fr-FR"/>
              </w:rPr>
              <w:t xml:space="preserve">actuelle </w:t>
            </w:r>
            <w:r w:rsidRPr="00387CC9">
              <w:rPr>
                <w:rFonts w:eastAsia="MS Mincho" w:cs="Times New Roman"/>
                <w:noProof/>
                <w:szCs w:val="32"/>
                <w:lang w:val="fr-FR"/>
              </w:rPr>
              <w:t>en Euroclear France, il est souhaitable que la trade date sur la jambe retour soit la trade date originelle du contrat tel que négocié.</w:t>
            </w:r>
          </w:p>
          <w:p w:rsidR="00464015" w:rsidRPr="002A1489" w:rsidRDefault="00464015" w:rsidP="003F1BFB">
            <w:pPr>
              <w:pStyle w:val="ListParagraph"/>
              <w:numPr>
                <w:ilvl w:val="0"/>
                <w:numId w:val="3"/>
              </w:numPr>
              <w:spacing w:before="120"/>
              <w:ind w:left="346" w:hanging="284"/>
              <w:contextualSpacing w:val="0"/>
              <w:jc w:val="both"/>
              <w:rPr>
                <w:rFonts w:eastAsia="MS Mincho" w:cs="Times New Roman"/>
                <w:noProof/>
                <w:szCs w:val="32"/>
                <w:lang w:val="fr-FR"/>
              </w:rPr>
            </w:pPr>
            <w:r w:rsidRPr="002A1489">
              <w:rPr>
                <w:rFonts w:eastAsia="MS Mincho" w:cs="Times New Roman"/>
                <w:noProof/>
                <w:szCs w:val="32"/>
                <w:lang w:val="fr-FR"/>
              </w:rPr>
              <w:t>En cas de non appariement, de non dénouement, ou de non rapprochement, les participants du CSD procèderont comme pour les instructions d’achat et de vente aujourd’hui, en se rapprochant des contreparties de marché et de leurs clients afin de trouver un accord.</w:t>
            </w:r>
          </w:p>
          <w:p w:rsidR="00464015" w:rsidRDefault="00464015" w:rsidP="003F1BFB">
            <w:pPr>
              <w:pStyle w:val="ListParagraph"/>
              <w:numPr>
                <w:ilvl w:val="0"/>
                <w:numId w:val="3"/>
              </w:numPr>
              <w:spacing w:before="120"/>
              <w:ind w:left="346" w:hanging="284"/>
              <w:contextualSpacing w:val="0"/>
              <w:jc w:val="both"/>
              <w:rPr>
                <w:rFonts w:eastAsia="MS Mincho" w:cs="Times New Roman"/>
                <w:noProof/>
                <w:szCs w:val="32"/>
                <w:lang w:val="fr-FR"/>
              </w:rPr>
            </w:pPr>
            <w:r>
              <w:rPr>
                <w:rFonts w:eastAsia="MS Mincho" w:cs="Times New Roman"/>
                <w:noProof/>
                <w:szCs w:val="32"/>
                <w:lang w:val="fr-FR"/>
              </w:rPr>
              <w:t>Les instructions retour doivent être instruites dès que possible, afin d’assurer un matching au plus tôt.</w:t>
            </w:r>
          </w:p>
          <w:p w:rsidR="00464015" w:rsidRDefault="00464015" w:rsidP="003F1BFB">
            <w:pPr>
              <w:pStyle w:val="ListParagraph"/>
              <w:numPr>
                <w:ilvl w:val="0"/>
                <w:numId w:val="3"/>
              </w:numPr>
              <w:spacing w:before="120"/>
              <w:ind w:left="346" w:hanging="284"/>
              <w:contextualSpacing w:val="0"/>
              <w:jc w:val="both"/>
              <w:rPr>
                <w:rFonts w:eastAsia="MS Mincho" w:cs="Times New Roman"/>
                <w:noProof/>
                <w:szCs w:val="32"/>
                <w:lang w:val="fr-FR"/>
              </w:rPr>
            </w:pPr>
            <w:r w:rsidRPr="00C63246">
              <w:rPr>
                <w:rFonts w:eastAsia="MS Mincho" w:cs="Times New Roman"/>
                <w:noProof/>
                <w:szCs w:val="32"/>
                <w:lang w:val="fr-FR"/>
              </w:rPr>
              <w:t>Le calcul des intérêts est du ressort des contreparties de marché</w:t>
            </w:r>
            <w:r>
              <w:rPr>
                <w:rFonts w:eastAsia="MS Mincho" w:cs="Times New Roman"/>
                <w:noProof/>
                <w:szCs w:val="32"/>
                <w:lang w:val="fr-FR"/>
              </w:rPr>
              <w:t xml:space="preserve"> </w:t>
            </w:r>
            <w:r w:rsidRPr="003F1BFB">
              <w:rPr>
                <w:rFonts w:eastAsia="MS Mincho" w:cs="Times New Roman"/>
                <w:i/>
                <w:noProof/>
                <w:szCs w:val="32"/>
                <w:lang w:val="fr-FR"/>
              </w:rPr>
              <w:t>[Pratique cible sur la cristallisation en cours de définition. NB : sur les transactions compensées, LCH.Clearnet continuera à pratiquer une cristallisation à J-1 pour le compte de ses membres</w:t>
            </w:r>
            <w:r w:rsidRPr="003F1BFB">
              <w:rPr>
                <w:rFonts w:eastAsia="MS Mincho" w:cs="Times New Roman"/>
                <w:noProof/>
                <w:szCs w:val="32"/>
                <w:lang w:val="fr-FR"/>
              </w:rPr>
              <w:t>]</w:t>
            </w:r>
            <w:r>
              <w:rPr>
                <w:rFonts w:eastAsia="MS Mincho" w:cs="Times New Roman"/>
                <w:noProof/>
                <w:szCs w:val="32"/>
                <w:lang w:val="fr-FR"/>
              </w:rPr>
              <w:t>.</w:t>
            </w:r>
          </w:p>
          <w:p w:rsidR="00464015" w:rsidRDefault="00464015" w:rsidP="003F1BFB">
            <w:pPr>
              <w:pStyle w:val="ListParagraph"/>
              <w:numPr>
                <w:ilvl w:val="0"/>
                <w:numId w:val="3"/>
              </w:numPr>
              <w:spacing w:before="120"/>
              <w:ind w:left="346" w:hanging="284"/>
              <w:contextualSpacing w:val="0"/>
              <w:jc w:val="both"/>
              <w:rPr>
                <w:rFonts w:eastAsia="MS Mincho" w:cs="Times New Roman"/>
                <w:noProof/>
                <w:szCs w:val="32"/>
                <w:lang w:val="fr-FR"/>
              </w:rPr>
            </w:pPr>
            <w:r>
              <w:rPr>
                <w:rFonts w:eastAsia="MS Mincho" w:cs="Times New Roman"/>
                <w:noProof/>
                <w:szCs w:val="32"/>
                <w:lang w:val="fr-FR"/>
              </w:rPr>
              <w:t>Ces instructions doivent être déclarées auprès de la Banque de France dans le cadre du déclaratif Protide, néanmoins aucun traitement spécifique n’est demandé par la Banque de France, ce déclaratif intégrant déjà aujourd’hui des transactions instruites en mode achat / vente, par exemple pour les contrats de cessions temporaires instruits chez les ICSD.</w:t>
            </w:r>
          </w:p>
          <w:p w:rsidR="00464015" w:rsidRDefault="00464015" w:rsidP="003F1BFB">
            <w:pPr>
              <w:pStyle w:val="ListParagraph"/>
              <w:numPr>
                <w:ilvl w:val="0"/>
                <w:numId w:val="3"/>
              </w:numPr>
              <w:spacing w:before="120"/>
              <w:ind w:left="346" w:hanging="284"/>
              <w:contextualSpacing w:val="0"/>
              <w:jc w:val="both"/>
              <w:rPr>
                <w:rFonts w:eastAsia="MS Mincho" w:cs="Times New Roman"/>
                <w:noProof/>
                <w:szCs w:val="32"/>
                <w:lang w:val="fr-FR"/>
              </w:rPr>
            </w:pPr>
            <w:r w:rsidRPr="00387CC9">
              <w:rPr>
                <w:rFonts w:eastAsia="MS Mincho" w:cs="Times New Roman"/>
                <w:noProof/>
                <w:szCs w:val="32"/>
                <w:lang w:val="fr-FR"/>
              </w:rPr>
              <w:t xml:space="preserve">En cas de mauvaise allocation du produit des coupons au regard de la propriété des titres, les établissements devront gérer eux-mêmes la rétrocession des coupons en bonne date de paiement, et s’assurer qu’aucune rétrocession de coupon ne soit générée automatiquement par Euroclear </w:t>
            </w:r>
            <w:r w:rsidR="003F1BFB">
              <w:rPr>
                <w:rFonts w:eastAsia="MS Mincho" w:cs="Times New Roman"/>
                <w:noProof/>
                <w:szCs w:val="32"/>
                <w:lang w:val="fr-FR"/>
              </w:rPr>
              <w:t xml:space="preserve">France </w:t>
            </w:r>
            <w:r w:rsidRPr="00387CC9">
              <w:rPr>
                <w:rFonts w:eastAsia="MS Mincho" w:cs="Times New Roman"/>
                <w:noProof/>
                <w:szCs w:val="32"/>
                <w:lang w:val="fr-FR"/>
              </w:rPr>
              <w:t>en fin de contrat (NB : si des rétrocessions étaient générées en fin de contrat par Euroclear</w:t>
            </w:r>
            <w:r w:rsidR="003F1BFB">
              <w:rPr>
                <w:rFonts w:eastAsia="MS Mincho" w:cs="Times New Roman"/>
                <w:noProof/>
                <w:szCs w:val="32"/>
                <w:lang w:val="fr-FR"/>
              </w:rPr>
              <w:t xml:space="preserve"> France</w:t>
            </w:r>
            <w:r w:rsidRPr="00387CC9">
              <w:rPr>
                <w:rFonts w:eastAsia="MS Mincho" w:cs="Times New Roman"/>
                <w:noProof/>
                <w:szCs w:val="32"/>
                <w:lang w:val="fr-FR"/>
              </w:rPr>
              <w:t>, elles devraient être neutralisées). Cette pratique est identique à celle existant sur les contrats internationaux.</w:t>
            </w:r>
          </w:p>
          <w:p w:rsidR="00464015" w:rsidRPr="00EF1203" w:rsidRDefault="00464015" w:rsidP="00464015">
            <w:pPr>
              <w:spacing w:before="120"/>
              <w:jc w:val="both"/>
              <w:rPr>
                <w:rFonts w:eastAsia="MS Mincho" w:cs="Times New Roman"/>
                <w:i/>
                <w:noProof/>
                <w:szCs w:val="32"/>
                <w:lang w:val="fr-FR"/>
              </w:rPr>
            </w:pPr>
            <w:r w:rsidRPr="00EF1203">
              <w:rPr>
                <w:rFonts w:eastAsia="MS Mincho" w:cs="Times New Roman"/>
                <w:i/>
                <w:noProof/>
                <w:szCs w:val="32"/>
                <w:lang w:val="fr-FR"/>
              </w:rPr>
              <w:t xml:space="preserve">[Modalités de traitement des OST sur flux : </w:t>
            </w:r>
            <w:r>
              <w:rPr>
                <w:rFonts w:eastAsia="MS Mincho" w:cs="Times New Roman"/>
                <w:i/>
                <w:noProof/>
                <w:szCs w:val="32"/>
                <w:lang w:val="fr-FR"/>
              </w:rPr>
              <w:t>en cours de définition par le Groupe Expert OST</w:t>
            </w:r>
            <w:r w:rsidRPr="00EF1203">
              <w:rPr>
                <w:rFonts w:eastAsia="MS Mincho" w:cs="Times New Roman"/>
                <w:i/>
                <w:noProof/>
                <w:szCs w:val="32"/>
                <w:lang w:val="fr-FR"/>
              </w:rPr>
              <w:t>]</w:t>
            </w:r>
          </w:p>
          <w:p w:rsidR="00464015" w:rsidRPr="002A1489" w:rsidRDefault="00464015" w:rsidP="00464015">
            <w:pPr>
              <w:spacing w:before="120"/>
              <w:jc w:val="both"/>
              <w:rPr>
                <w:rFonts w:eastAsia="MS Mincho" w:cs="Times New Roman"/>
                <w:noProof/>
                <w:szCs w:val="32"/>
                <w:lang w:val="fr-FR"/>
              </w:rPr>
            </w:pPr>
          </w:p>
          <w:p w:rsidR="00464015" w:rsidRPr="003E6298" w:rsidRDefault="00464015" w:rsidP="00464015">
            <w:pPr>
              <w:spacing w:before="120"/>
              <w:rPr>
                <w:rFonts w:eastAsia="MS Mincho" w:cs="Times New Roman"/>
                <w:b/>
                <w:noProof/>
                <w:szCs w:val="32"/>
                <w:lang w:val="fr-FR"/>
              </w:rPr>
            </w:pPr>
            <w:r w:rsidRPr="003E6298">
              <w:rPr>
                <w:rFonts w:eastAsia="MS Mincho" w:cs="Times New Roman"/>
                <w:b/>
                <w:noProof/>
                <w:szCs w:val="32"/>
                <w:lang w:val="fr-FR"/>
              </w:rPr>
              <w:t>Cas particulier des contrats open-ended</w:t>
            </w:r>
          </w:p>
          <w:p w:rsidR="00AA1FDB" w:rsidRPr="00C33595" w:rsidRDefault="00464015" w:rsidP="00A86A07">
            <w:pPr>
              <w:spacing w:before="120"/>
              <w:jc w:val="both"/>
              <w:rPr>
                <w:rFonts w:eastAsia="MS Mincho" w:cs="Times New Roman"/>
                <w:noProof/>
                <w:szCs w:val="32"/>
                <w:lang w:val="fr-FR"/>
              </w:rPr>
            </w:pPr>
            <w:r>
              <w:rPr>
                <w:rFonts w:eastAsia="MS Mincho" w:cs="Times New Roman"/>
                <w:noProof/>
                <w:szCs w:val="32"/>
                <w:lang w:val="fr-FR"/>
              </w:rPr>
              <w:t>L</w:t>
            </w:r>
            <w:r w:rsidRPr="003E6298">
              <w:rPr>
                <w:rFonts w:eastAsia="MS Mincho" w:cs="Times New Roman"/>
                <w:noProof/>
                <w:szCs w:val="32"/>
                <w:lang w:val="fr-FR"/>
              </w:rPr>
              <w:t>e traitement des ré-émissions des jambes retour des open repos est identique à celui des repos à taux variable</w:t>
            </w:r>
            <w:r w:rsidR="00A86A07">
              <w:rPr>
                <w:rFonts w:eastAsia="MS Mincho" w:cs="Times New Roman"/>
                <w:noProof/>
                <w:szCs w:val="32"/>
                <w:lang w:val="fr-FR"/>
              </w:rPr>
              <w:t>. L</w:t>
            </w:r>
            <w:r w:rsidRPr="003E6298">
              <w:rPr>
                <w:rFonts w:eastAsia="MS Mincho" w:cs="Times New Roman"/>
                <w:noProof/>
                <w:szCs w:val="32"/>
                <w:lang w:val="fr-FR"/>
              </w:rPr>
              <w:t xml:space="preserve">a date de maturité n’étant pas connue, les jambes retour ne pourront être instruites par les participants. Une fois le module </w:t>
            </w:r>
            <w:r w:rsidR="00A86A07">
              <w:rPr>
                <w:rFonts w:eastAsia="MS Mincho" w:cs="Times New Roman"/>
                <w:noProof/>
                <w:szCs w:val="32"/>
                <w:lang w:val="fr-FR"/>
              </w:rPr>
              <w:t>« p</w:t>
            </w:r>
            <w:r w:rsidRPr="003E6298">
              <w:rPr>
                <w:rFonts w:eastAsia="MS Mincho" w:cs="Times New Roman"/>
                <w:noProof/>
                <w:szCs w:val="32"/>
                <w:lang w:val="fr-FR"/>
              </w:rPr>
              <w:t xml:space="preserve">ensions </w:t>
            </w:r>
            <w:r w:rsidR="00A86A07">
              <w:rPr>
                <w:rFonts w:eastAsia="MS Mincho" w:cs="Times New Roman"/>
                <w:noProof/>
                <w:szCs w:val="32"/>
                <w:lang w:val="fr-FR"/>
              </w:rPr>
              <w:t>l</w:t>
            </w:r>
            <w:r w:rsidRPr="003E6298">
              <w:rPr>
                <w:rFonts w:eastAsia="MS Mincho" w:cs="Times New Roman"/>
                <w:noProof/>
                <w:szCs w:val="32"/>
                <w:lang w:val="fr-FR"/>
              </w:rPr>
              <w:t>ivrées</w:t>
            </w:r>
            <w:r w:rsidR="00A86A07">
              <w:rPr>
                <w:rFonts w:eastAsia="MS Mincho" w:cs="Times New Roman"/>
                <w:noProof/>
                <w:szCs w:val="32"/>
                <w:lang w:val="fr-FR"/>
              </w:rPr>
              <w:t> »</w:t>
            </w:r>
            <w:r w:rsidRPr="003E6298">
              <w:rPr>
                <w:rFonts w:eastAsia="MS Mincho" w:cs="Times New Roman"/>
                <w:noProof/>
                <w:szCs w:val="32"/>
                <w:lang w:val="fr-FR"/>
              </w:rPr>
              <w:t xml:space="preserve"> désactivé, les jambes retour sur les </w:t>
            </w:r>
            <w:r>
              <w:rPr>
                <w:rFonts w:eastAsia="MS Mincho" w:cs="Times New Roman"/>
                <w:noProof/>
                <w:szCs w:val="32"/>
                <w:lang w:val="fr-FR"/>
              </w:rPr>
              <w:t xml:space="preserve">contrats </w:t>
            </w:r>
            <w:r w:rsidRPr="003E6298">
              <w:rPr>
                <w:rFonts w:eastAsia="MS Mincho" w:cs="Times New Roman"/>
                <w:noProof/>
                <w:szCs w:val="32"/>
                <w:lang w:val="fr-FR"/>
              </w:rPr>
              <w:t>open</w:t>
            </w:r>
            <w:r>
              <w:rPr>
                <w:rFonts w:eastAsia="MS Mincho" w:cs="Times New Roman"/>
                <w:noProof/>
                <w:szCs w:val="32"/>
                <w:lang w:val="fr-FR"/>
              </w:rPr>
              <w:t>-ended</w:t>
            </w:r>
            <w:r w:rsidRPr="003E6298">
              <w:rPr>
                <w:rFonts w:eastAsia="MS Mincho" w:cs="Times New Roman"/>
                <w:noProof/>
                <w:szCs w:val="32"/>
                <w:lang w:val="fr-FR"/>
              </w:rPr>
              <w:t xml:space="preserve"> ne seront donc pas visibles sur le marché.</w:t>
            </w:r>
          </w:p>
        </w:tc>
      </w:tr>
      <w:tr w:rsidR="0081511D" w:rsidRPr="00A5309F"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BA6B0A" w:rsidRDefault="00BA6B0A"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465093" w:rsidRPr="004F6025" w:rsidRDefault="00465093" w:rsidP="00465093">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465093" w:rsidRDefault="00465093" w:rsidP="00465093">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465093" w:rsidRPr="00A5309F" w:rsidTr="000E651B">
        <w:trPr>
          <w:trHeight w:val="338"/>
        </w:trPr>
        <w:tc>
          <w:tcPr>
            <w:tcW w:w="2302" w:type="dxa"/>
            <w:vMerge w:val="restart"/>
            <w:shd w:val="clear" w:color="auto" w:fill="BFBFBF" w:themeFill="background1" w:themeFillShade="BF"/>
          </w:tcPr>
          <w:p w:rsidR="00465093" w:rsidRPr="00D103DA" w:rsidRDefault="00465093"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465093" w:rsidRPr="00785264" w:rsidRDefault="00465093"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465093" w:rsidRPr="009637E5" w:rsidRDefault="00465093"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465093" w:rsidRPr="009637E5" w:rsidRDefault="00465093"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465093" w:rsidTr="000E651B">
        <w:trPr>
          <w:trHeight w:val="337"/>
        </w:trPr>
        <w:tc>
          <w:tcPr>
            <w:tcW w:w="2302" w:type="dxa"/>
            <w:vMerge/>
            <w:tcBorders>
              <w:bottom w:val="single" w:sz="4" w:space="0" w:color="auto"/>
            </w:tcBorders>
            <w:shd w:val="clear" w:color="auto" w:fill="BFBFBF" w:themeFill="background1" w:themeFillShade="BF"/>
          </w:tcPr>
          <w:p w:rsidR="00465093" w:rsidRDefault="00465093"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465093" w:rsidRDefault="00465093" w:rsidP="000E651B">
            <w:pPr>
              <w:jc w:val="center"/>
              <w:rPr>
                <w:rFonts w:ascii="Wingdings" w:hAnsi="Wingdings" w:cs="Wingdings"/>
                <w:sz w:val="26"/>
                <w:szCs w:val="26"/>
              </w:rPr>
            </w:pPr>
            <w:r>
              <w:rPr>
                <w:rFonts w:ascii="Wingdings" w:hAnsi="Wingdings" w:cs="Wingdings"/>
                <w:sz w:val="26"/>
                <w:szCs w:val="26"/>
              </w:rPr>
              <w:t></w:t>
            </w:r>
          </w:p>
          <w:p w:rsidR="00465093" w:rsidRPr="00785264" w:rsidRDefault="00465093" w:rsidP="000E651B">
            <w:pPr>
              <w:jc w:val="center"/>
              <w:rPr>
                <w:rFonts w:cs="Wingdings"/>
                <w:szCs w:val="26"/>
              </w:rPr>
            </w:pPr>
            <w:r w:rsidRPr="00785264">
              <w:rPr>
                <w:rFonts w:cs="Wingdings"/>
                <w:szCs w:val="26"/>
              </w:rPr>
              <w:t xml:space="preserve">Date: </w:t>
            </w:r>
            <w:r>
              <w:rPr>
                <w:rFonts w:cs="Wingdings"/>
                <w:szCs w:val="26"/>
              </w:rPr>
              <w:t>________</w:t>
            </w:r>
          </w:p>
          <w:p w:rsidR="00465093" w:rsidRDefault="00465093" w:rsidP="000E651B">
            <w:pPr>
              <w:rPr>
                <w:rFonts w:eastAsia="MS Mincho" w:cs="Times New Roman"/>
                <w:noProof/>
                <w:szCs w:val="32"/>
                <w:lang w:val="fr-FR"/>
              </w:rPr>
            </w:pPr>
          </w:p>
        </w:tc>
        <w:tc>
          <w:tcPr>
            <w:tcW w:w="2438" w:type="dxa"/>
            <w:gridSpan w:val="2"/>
            <w:tcBorders>
              <w:bottom w:val="single" w:sz="4" w:space="0" w:color="auto"/>
            </w:tcBorders>
          </w:tcPr>
          <w:p w:rsidR="00465093" w:rsidRDefault="00465093" w:rsidP="000E651B">
            <w:pPr>
              <w:jc w:val="center"/>
              <w:rPr>
                <w:rFonts w:ascii="Wingdings" w:hAnsi="Wingdings" w:cs="Wingdings"/>
                <w:sz w:val="26"/>
                <w:szCs w:val="26"/>
              </w:rPr>
            </w:pPr>
            <w:r>
              <w:rPr>
                <w:rFonts w:ascii="Wingdings" w:hAnsi="Wingdings" w:cs="Wingdings"/>
                <w:sz w:val="26"/>
                <w:szCs w:val="26"/>
              </w:rPr>
              <w:t></w:t>
            </w:r>
          </w:p>
          <w:p w:rsidR="00465093" w:rsidRPr="00785264" w:rsidRDefault="00465093"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465093" w:rsidRDefault="00465093" w:rsidP="000E651B">
            <w:pPr>
              <w:jc w:val="center"/>
              <w:rPr>
                <w:rFonts w:ascii="Wingdings" w:hAnsi="Wingdings" w:cs="Wingdings"/>
                <w:sz w:val="26"/>
                <w:szCs w:val="26"/>
              </w:rPr>
            </w:pPr>
            <w:r>
              <w:rPr>
                <w:rFonts w:ascii="Wingdings" w:hAnsi="Wingdings" w:cs="Wingdings"/>
                <w:sz w:val="26"/>
                <w:szCs w:val="26"/>
              </w:rPr>
              <w:t></w:t>
            </w:r>
          </w:p>
          <w:p w:rsidR="00465093" w:rsidRPr="00785264" w:rsidRDefault="00465093" w:rsidP="000E651B">
            <w:pPr>
              <w:jc w:val="center"/>
              <w:rPr>
                <w:rFonts w:cs="Wingdings"/>
                <w:szCs w:val="26"/>
              </w:rPr>
            </w:pPr>
            <w:r w:rsidRPr="00785264">
              <w:rPr>
                <w:rFonts w:cs="Wingdings"/>
                <w:szCs w:val="26"/>
              </w:rPr>
              <w:t xml:space="preserve">Date: </w:t>
            </w:r>
            <w:r>
              <w:rPr>
                <w:rFonts w:cs="Wingdings"/>
                <w:szCs w:val="26"/>
              </w:rPr>
              <w:t>________</w:t>
            </w:r>
          </w:p>
        </w:tc>
      </w:tr>
      <w:tr w:rsidR="00465093" w:rsidTr="000E651B">
        <w:trPr>
          <w:gridAfter w:val="1"/>
          <w:wAfter w:w="40" w:type="dxa"/>
          <w:trHeight w:val="337"/>
        </w:trPr>
        <w:tc>
          <w:tcPr>
            <w:tcW w:w="2302" w:type="dxa"/>
            <w:tcBorders>
              <w:left w:val="nil"/>
              <w:right w:val="nil"/>
            </w:tcBorders>
            <w:shd w:val="clear" w:color="auto" w:fill="FFFFFF" w:themeFill="background1"/>
          </w:tcPr>
          <w:p w:rsidR="00465093" w:rsidRDefault="00465093"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465093" w:rsidRDefault="00465093"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465093" w:rsidRDefault="00465093"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465093" w:rsidRDefault="00465093"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465093" w:rsidRDefault="00465093" w:rsidP="000E651B">
            <w:pPr>
              <w:rPr>
                <w:rFonts w:eastAsia="MS Mincho" w:cs="Times New Roman"/>
                <w:noProof/>
                <w:szCs w:val="32"/>
                <w:lang w:val="fr-FR"/>
              </w:rPr>
            </w:pPr>
          </w:p>
        </w:tc>
      </w:tr>
      <w:tr w:rsidR="00465093" w:rsidTr="000E651B">
        <w:trPr>
          <w:gridAfter w:val="1"/>
          <w:wAfter w:w="40" w:type="dxa"/>
        </w:trPr>
        <w:tc>
          <w:tcPr>
            <w:tcW w:w="2302" w:type="dxa"/>
            <w:tcBorders>
              <w:bottom w:val="single" w:sz="4" w:space="0" w:color="auto"/>
            </w:tcBorders>
            <w:shd w:val="clear" w:color="auto" w:fill="BFBFBF" w:themeFill="background1" w:themeFillShade="BF"/>
          </w:tcPr>
          <w:p w:rsidR="00465093" w:rsidRDefault="00465093"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465093" w:rsidRPr="00D7031E" w:rsidRDefault="00465093" w:rsidP="000E651B">
            <w:pPr>
              <w:autoSpaceDE w:val="0"/>
              <w:autoSpaceDN w:val="0"/>
              <w:adjustRightInd w:val="0"/>
              <w:jc w:val="center"/>
              <w:rPr>
                <w:rFonts w:ascii="MS Shell Dlg 2" w:hAnsi="MS Shell Dlg 2" w:cs="MS Shell Dlg 2"/>
                <w:sz w:val="16"/>
                <w:szCs w:val="16"/>
                <w:lang w:val="fr-FR"/>
              </w:rPr>
            </w:pPr>
            <w:r>
              <w:rPr>
                <w:lang w:val="fr-FR"/>
              </w:rPr>
              <w:t xml:space="preserve">Oui  </w:t>
            </w:r>
            <w:r>
              <w:rPr>
                <w:rFonts w:ascii="Wingdings" w:hAnsi="Wingdings" w:cs="Wingdings"/>
                <w:sz w:val="26"/>
                <w:szCs w:val="26"/>
              </w:rPr>
              <w:t></w:t>
            </w:r>
          </w:p>
          <w:p w:rsidR="00465093" w:rsidRPr="00E35B86" w:rsidRDefault="00465093"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465093" w:rsidRDefault="00465093" w:rsidP="000E651B">
            <w:pPr>
              <w:tabs>
                <w:tab w:val="left" w:pos="9356"/>
              </w:tabs>
              <w:ind w:right="-279"/>
              <w:jc w:val="center"/>
              <w:rPr>
                <w:lang w:val="fr-FR"/>
              </w:rPr>
            </w:pPr>
            <w:r>
              <w:rPr>
                <w:lang w:val="fr-FR"/>
              </w:rPr>
              <w:t xml:space="preserve">Non  </w:t>
            </w:r>
            <w:r>
              <w:rPr>
                <w:rFonts w:ascii="Wingdings" w:hAnsi="Wingdings" w:cs="Wingdings"/>
                <w:sz w:val="26"/>
                <w:szCs w:val="26"/>
              </w:rPr>
              <w:t></w:t>
            </w:r>
          </w:p>
        </w:tc>
      </w:tr>
    </w:tbl>
    <w:p w:rsidR="00465093" w:rsidRDefault="00465093" w:rsidP="00465093">
      <w:pPr>
        <w:spacing w:after="0" w:line="240" w:lineRule="auto"/>
        <w:rPr>
          <w:rFonts w:eastAsia="MS Mincho" w:cs="Times New Roman"/>
          <w:noProof/>
          <w:szCs w:val="32"/>
          <w:lang w:val="fr-FR"/>
        </w:rPr>
      </w:pPr>
    </w:p>
    <w:p w:rsidR="00A86A07" w:rsidRDefault="00A86A07" w:rsidP="00465093">
      <w:pPr>
        <w:spacing w:after="0" w:line="240" w:lineRule="auto"/>
        <w:rPr>
          <w:rFonts w:eastAsia="MS Mincho" w:cs="Times New Roman"/>
          <w:noProof/>
          <w:szCs w:val="32"/>
          <w:lang w:val="fr-FR"/>
        </w:rPr>
      </w:pPr>
    </w:p>
    <w:p w:rsidR="00A86A07" w:rsidRPr="00A86A07" w:rsidRDefault="00A86A07" w:rsidP="00A86A07">
      <w:pPr>
        <w:rPr>
          <w:rFonts w:eastAsia="MS Mincho" w:cs="Times New Roman"/>
          <w:szCs w:val="32"/>
          <w:lang w:val="fr-FR"/>
        </w:rPr>
      </w:pPr>
    </w:p>
    <w:p w:rsidR="00A86A07" w:rsidRPr="00A86A07" w:rsidRDefault="00A86A07" w:rsidP="00A86A07">
      <w:pPr>
        <w:rPr>
          <w:rFonts w:eastAsia="MS Mincho" w:cs="Times New Roman"/>
          <w:szCs w:val="32"/>
          <w:lang w:val="fr-FR"/>
        </w:rPr>
      </w:pPr>
    </w:p>
    <w:p w:rsidR="00A86A07" w:rsidRDefault="00A86A07" w:rsidP="00A86A07">
      <w:pPr>
        <w:rPr>
          <w:rFonts w:eastAsia="MS Mincho" w:cs="Times New Roman"/>
          <w:szCs w:val="32"/>
          <w:lang w:val="fr-FR"/>
        </w:rPr>
      </w:pPr>
    </w:p>
    <w:bookmarkEnd w:id="0"/>
    <w:p w:rsidR="00BA6B0A" w:rsidRPr="00A86A07" w:rsidRDefault="00BA6B0A" w:rsidP="00A86A07">
      <w:pPr>
        <w:jc w:val="center"/>
        <w:rPr>
          <w:rFonts w:eastAsia="MS Mincho" w:cs="Times New Roman"/>
          <w:szCs w:val="32"/>
          <w:lang w:val="fr-FR"/>
        </w:rPr>
      </w:pPr>
    </w:p>
    <w:sectPr w:rsidR="00BA6B0A" w:rsidRPr="00A86A07"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A6F" w:rsidRDefault="00895A6F" w:rsidP="006D6846">
      <w:pPr>
        <w:spacing w:after="0" w:line="240" w:lineRule="auto"/>
      </w:pPr>
      <w:r>
        <w:separator/>
      </w:r>
    </w:p>
  </w:endnote>
  <w:endnote w:type="continuationSeparator" w:id="0">
    <w:p w:rsidR="00895A6F" w:rsidRDefault="00895A6F"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882943"/>
      <w:docPartObj>
        <w:docPartGallery w:val="Page Numbers (Bottom of Page)"/>
        <w:docPartUnique/>
      </w:docPartObj>
    </w:sdtPr>
    <w:sdtEndPr/>
    <w:sdtContent>
      <w:sdt>
        <w:sdtPr>
          <w:id w:val="-1769616900"/>
          <w:docPartObj>
            <w:docPartGallery w:val="Page Numbers (Top of Page)"/>
            <w:docPartUnique/>
          </w:docPartObj>
        </w:sdtPr>
        <w:sdtEndPr/>
        <w:sdtContent>
          <w:p w:rsidR="00A86A07" w:rsidRDefault="00A86A07">
            <w:pPr>
              <w:pStyle w:val="Footer"/>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A5309F">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A5309F">
              <w:rPr>
                <w:b/>
                <w:bCs/>
                <w:noProof/>
              </w:rPr>
              <w:t>4</w:t>
            </w:r>
            <w:r>
              <w:rPr>
                <w:b/>
                <w:bCs/>
                <w:sz w:val="24"/>
                <w:szCs w:val="24"/>
              </w:rPr>
              <w:fldChar w:fldCharType="end"/>
            </w:r>
          </w:p>
        </w:sdtContent>
      </w:sdt>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A6F" w:rsidRDefault="00895A6F" w:rsidP="006D6846">
      <w:pPr>
        <w:spacing w:after="0" w:line="240" w:lineRule="auto"/>
      </w:pPr>
      <w:r>
        <w:separator/>
      </w:r>
    </w:p>
  </w:footnote>
  <w:footnote w:type="continuationSeparator" w:id="0">
    <w:p w:rsidR="00895A6F" w:rsidRDefault="00895A6F"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1416" w:type="dxa"/>
      <w:tblInd w:w="-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6"/>
      <w:gridCol w:w="3122"/>
      <w:gridCol w:w="2798"/>
    </w:tblGrid>
    <w:tr w:rsidR="003F1BFB" w:rsidTr="00106A52">
      <w:trPr>
        <w:trHeight w:val="573"/>
      </w:trPr>
      <w:tc>
        <w:tcPr>
          <w:tcW w:w="5496" w:type="dxa"/>
          <w:vAlign w:val="center"/>
        </w:tcPr>
        <w:p w:rsidR="003F1BFB" w:rsidRDefault="003F1BFB" w:rsidP="003F1BFB">
          <w:pPr>
            <w:pStyle w:val="Header"/>
            <w:jc w:val="center"/>
            <w:rPr>
              <w:b/>
              <w:lang w:val="fr-FR"/>
            </w:rPr>
          </w:pPr>
          <w:r w:rsidRPr="007F6CFC">
            <w:rPr>
              <w:b/>
              <w:lang w:val="fr-FR"/>
            </w:rPr>
            <w:t>Groupe d’Adaptation des Pratiques de Marché T2S</w:t>
          </w:r>
        </w:p>
        <w:p w:rsidR="003F1BFB" w:rsidRDefault="003F1BFB" w:rsidP="003F1BFB">
          <w:pPr>
            <w:pStyle w:val="Header"/>
            <w:jc w:val="center"/>
            <w:rPr>
              <w:b/>
              <w:lang w:val="fr-FR"/>
            </w:rPr>
          </w:pPr>
          <w:r>
            <w:rPr>
              <w:b/>
              <w:lang w:val="fr-FR"/>
            </w:rPr>
            <w:t>Fiche Pratique de marché</w:t>
          </w:r>
        </w:p>
      </w:tc>
      <w:tc>
        <w:tcPr>
          <w:tcW w:w="3122" w:type="dxa"/>
          <w:vAlign w:val="center"/>
        </w:tcPr>
        <w:p w:rsidR="003F1BFB" w:rsidRDefault="003F1BFB" w:rsidP="003F1BFB">
          <w:pPr>
            <w:pStyle w:val="Header"/>
            <w:tabs>
              <w:tab w:val="clear" w:pos="4680"/>
            </w:tabs>
            <w:rPr>
              <w:b/>
              <w:lang w:val="fr-FR"/>
            </w:rPr>
          </w:pPr>
          <w:r>
            <w:rPr>
              <w:noProof/>
            </w:rPr>
            <w:drawing>
              <wp:inline distT="0" distB="0" distL="0" distR="0" wp14:anchorId="150C72CE" wp14:editId="199CF6D8">
                <wp:extent cx="1032931" cy="516467"/>
                <wp:effectExtent l="0" t="0" r="0" b="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2931" cy="516467"/>
                        </a:xfrm>
                        <a:prstGeom prst="rect">
                          <a:avLst/>
                        </a:prstGeom>
                      </pic:spPr>
                    </pic:pic>
                  </a:graphicData>
                </a:graphic>
              </wp:inline>
            </w:drawing>
          </w:r>
        </w:p>
      </w:tc>
      <w:tc>
        <w:tcPr>
          <w:tcW w:w="2798" w:type="dxa"/>
        </w:tcPr>
        <w:p w:rsidR="003F1BFB" w:rsidRDefault="003F1BFB" w:rsidP="003F1BFB">
          <w:pPr>
            <w:pStyle w:val="Header"/>
            <w:tabs>
              <w:tab w:val="clear" w:pos="4680"/>
            </w:tabs>
            <w:ind w:left="-139" w:firstLine="31"/>
            <w:rPr>
              <w:noProof/>
              <w:lang w:val="fr-FR" w:eastAsia="fr-FR"/>
            </w:rPr>
          </w:pPr>
          <w:r>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55pt;height:54pt" o:ole="">
                <v:imagedata r:id="rId2" o:title=""/>
              </v:shape>
              <o:OLEObject Type="Embed" ProgID="PBrush" ShapeID="_x0000_i1025" DrawAspect="Content" ObjectID="_1533956233" r:id="rId3"/>
            </w:object>
          </w:r>
        </w:p>
      </w:tc>
    </w:tr>
    <w:tr w:rsidR="003F1BFB" w:rsidRPr="00A5309F" w:rsidTr="00106A52">
      <w:trPr>
        <w:trHeight w:val="188"/>
      </w:trPr>
      <w:tc>
        <w:tcPr>
          <w:tcW w:w="5496" w:type="dxa"/>
          <w:vAlign w:val="center"/>
        </w:tcPr>
        <w:p w:rsidR="003F1BFB" w:rsidRPr="00EC776F" w:rsidRDefault="003F1BFB" w:rsidP="003F1BFB">
          <w:pPr>
            <w:pStyle w:val="Header"/>
            <w:jc w:val="center"/>
            <w:rPr>
              <w:i/>
              <w:lang w:val="fr-FR"/>
            </w:rPr>
          </w:pPr>
          <w:r>
            <w:rPr>
              <w:i/>
              <w:lang w:val="fr-FR"/>
            </w:rPr>
            <w:t>Référence de la pratique : MS-SETTL-CESSIONSTEMP-02</w:t>
          </w:r>
        </w:p>
      </w:tc>
      <w:tc>
        <w:tcPr>
          <w:tcW w:w="3122" w:type="dxa"/>
          <w:vAlign w:val="center"/>
        </w:tcPr>
        <w:p w:rsidR="003F1BFB" w:rsidRPr="00EC776F" w:rsidRDefault="003F1BFB" w:rsidP="003F1BFB">
          <w:pPr>
            <w:pStyle w:val="Header"/>
            <w:jc w:val="center"/>
            <w:rPr>
              <w:noProof/>
              <w:lang w:val="fr-FR"/>
            </w:rPr>
          </w:pPr>
        </w:p>
      </w:tc>
      <w:tc>
        <w:tcPr>
          <w:tcW w:w="2798" w:type="dxa"/>
        </w:tcPr>
        <w:p w:rsidR="003F1BFB" w:rsidRPr="00EC776F" w:rsidRDefault="003F1BFB" w:rsidP="003F1BFB">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4"/>
  </w:num>
  <w:num w:numId="5">
    <w:abstractNumId w:val="1"/>
  </w:num>
  <w:num w:numId="6">
    <w:abstractNumId w:val="0"/>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A6C94"/>
    <w:rsid w:val="000C1C9B"/>
    <w:rsid w:val="000D6F4D"/>
    <w:rsid w:val="000F3C24"/>
    <w:rsid w:val="00140482"/>
    <w:rsid w:val="00145ADA"/>
    <w:rsid w:val="001522A5"/>
    <w:rsid w:val="00162BBA"/>
    <w:rsid w:val="00172FFF"/>
    <w:rsid w:val="00183F7A"/>
    <w:rsid w:val="001B0416"/>
    <w:rsid w:val="001B1E38"/>
    <w:rsid w:val="001C4C4C"/>
    <w:rsid w:val="001C7BAF"/>
    <w:rsid w:val="001D7830"/>
    <w:rsid w:val="001E0D83"/>
    <w:rsid w:val="001F3A68"/>
    <w:rsid w:val="00211814"/>
    <w:rsid w:val="00217510"/>
    <w:rsid w:val="00283DDE"/>
    <w:rsid w:val="0028538B"/>
    <w:rsid w:val="00343829"/>
    <w:rsid w:val="00343B9E"/>
    <w:rsid w:val="003631EA"/>
    <w:rsid w:val="00363E89"/>
    <w:rsid w:val="003929BA"/>
    <w:rsid w:val="003A4E76"/>
    <w:rsid w:val="003B3DA4"/>
    <w:rsid w:val="003D5E9F"/>
    <w:rsid w:val="003D7060"/>
    <w:rsid w:val="003F1BFB"/>
    <w:rsid w:val="00464015"/>
    <w:rsid w:val="00465093"/>
    <w:rsid w:val="004818D8"/>
    <w:rsid w:val="00482296"/>
    <w:rsid w:val="004F6025"/>
    <w:rsid w:val="005061BA"/>
    <w:rsid w:val="0051485E"/>
    <w:rsid w:val="00567B1D"/>
    <w:rsid w:val="00575F36"/>
    <w:rsid w:val="005C2ACA"/>
    <w:rsid w:val="00622E8A"/>
    <w:rsid w:val="00625541"/>
    <w:rsid w:val="00652C13"/>
    <w:rsid w:val="0069580E"/>
    <w:rsid w:val="006D6846"/>
    <w:rsid w:val="00701AE2"/>
    <w:rsid w:val="00714CE6"/>
    <w:rsid w:val="00727BF7"/>
    <w:rsid w:val="0074709E"/>
    <w:rsid w:val="00765664"/>
    <w:rsid w:val="00784E87"/>
    <w:rsid w:val="007C7303"/>
    <w:rsid w:val="007F6CFC"/>
    <w:rsid w:val="0080446B"/>
    <w:rsid w:val="0081511D"/>
    <w:rsid w:val="00830B7B"/>
    <w:rsid w:val="00841E84"/>
    <w:rsid w:val="008800A4"/>
    <w:rsid w:val="00893912"/>
    <w:rsid w:val="00895A6F"/>
    <w:rsid w:val="008A30A6"/>
    <w:rsid w:val="008C734C"/>
    <w:rsid w:val="0091257E"/>
    <w:rsid w:val="0092276F"/>
    <w:rsid w:val="00922A8E"/>
    <w:rsid w:val="00933237"/>
    <w:rsid w:val="009606C4"/>
    <w:rsid w:val="00982218"/>
    <w:rsid w:val="00995F65"/>
    <w:rsid w:val="009978DE"/>
    <w:rsid w:val="009A24A6"/>
    <w:rsid w:val="009A2F1A"/>
    <w:rsid w:val="009A64D1"/>
    <w:rsid w:val="00A133A7"/>
    <w:rsid w:val="00A20577"/>
    <w:rsid w:val="00A21489"/>
    <w:rsid w:val="00A40ED4"/>
    <w:rsid w:val="00A45A45"/>
    <w:rsid w:val="00A5309F"/>
    <w:rsid w:val="00A678C0"/>
    <w:rsid w:val="00A746A0"/>
    <w:rsid w:val="00A86A07"/>
    <w:rsid w:val="00A90EEC"/>
    <w:rsid w:val="00A9151A"/>
    <w:rsid w:val="00AA1FDB"/>
    <w:rsid w:val="00AA62D7"/>
    <w:rsid w:val="00AC134F"/>
    <w:rsid w:val="00B26098"/>
    <w:rsid w:val="00B31057"/>
    <w:rsid w:val="00B416B3"/>
    <w:rsid w:val="00B44E11"/>
    <w:rsid w:val="00B540C8"/>
    <w:rsid w:val="00B62B1E"/>
    <w:rsid w:val="00B727D8"/>
    <w:rsid w:val="00B9491F"/>
    <w:rsid w:val="00BA66D3"/>
    <w:rsid w:val="00BA6B0A"/>
    <w:rsid w:val="00BC7577"/>
    <w:rsid w:val="00BE4C60"/>
    <w:rsid w:val="00C070B0"/>
    <w:rsid w:val="00C1000A"/>
    <w:rsid w:val="00C221EA"/>
    <w:rsid w:val="00C313FD"/>
    <w:rsid w:val="00C33595"/>
    <w:rsid w:val="00C3423B"/>
    <w:rsid w:val="00C43D15"/>
    <w:rsid w:val="00C57689"/>
    <w:rsid w:val="00C600FF"/>
    <w:rsid w:val="00C60EC8"/>
    <w:rsid w:val="00C65EB2"/>
    <w:rsid w:val="00C77C0A"/>
    <w:rsid w:val="00CB0F41"/>
    <w:rsid w:val="00CC7462"/>
    <w:rsid w:val="00CE6DA3"/>
    <w:rsid w:val="00CF605A"/>
    <w:rsid w:val="00D05521"/>
    <w:rsid w:val="00D103DA"/>
    <w:rsid w:val="00D12DE8"/>
    <w:rsid w:val="00D252A7"/>
    <w:rsid w:val="00D47F87"/>
    <w:rsid w:val="00D50DB6"/>
    <w:rsid w:val="00D529B3"/>
    <w:rsid w:val="00D53037"/>
    <w:rsid w:val="00D5515F"/>
    <w:rsid w:val="00DB106F"/>
    <w:rsid w:val="00DD071C"/>
    <w:rsid w:val="00DE1443"/>
    <w:rsid w:val="00E351C1"/>
    <w:rsid w:val="00E35B86"/>
    <w:rsid w:val="00E438E3"/>
    <w:rsid w:val="00E52109"/>
    <w:rsid w:val="00E62EAE"/>
    <w:rsid w:val="00EB44AB"/>
    <w:rsid w:val="00EC776F"/>
    <w:rsid w:val="00F00BF4"/>
    <w:rsid w:val="00F2137E"/>
    <w:rsid w:val="00F358FF"/>
    <w:rsid w:val="00F35CCA"/>
    <w:rsid w:val="00F84B2D"/>
    <w:rsid w:val="00F904C9"/>
    <w:rsid w:val="00FC06B7"/>
    <w:rsid w:val="00FC4F18"/>
    <w:rsid w:val="00FE1975"/>
    <w:rsid w:val="00FF47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939</Words>
  <Characters>5353</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4</cp:revision>
  <cp:lastPrinted>2015-10-09T10:36:00Z</cp:lastPrinted>
  <dcterms:created xsi:type="dcterms:W3CDTF">2016-05-16T15:05:00Z</dcterms:created>
  <dcterms:modified xsi:type="dcterms:W3CDTF">2016-08-29T04:11:00Z</dcterms:modified>
</cp:coreProperties>
</file>