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p>
    <w:p w:rsidR="00575F36" w:rsidRPr="00EC776F" w:rsidRDefault="00440808"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440808">
        <w:rPr>
          <w:b/>
          <w:noProof/>
          <w:sz w:val="36"/>
          <w:lang w:val="fr-FR"/>
        </w:rPr>
        <w:t>Marquage optionnel avec un BIC11 du r</w:t>
      </w:r>
      <w:r w:rsidR="004661AD">
        <w:rPr>
          <w:b/>
          <w:noProof/>
          <w:sz w:val="36"/>
          <w:lang w:val="fr-FR"/>
        </w:rPr>
        <w:t>è</w:t>
      </w:r>
      <w:r w:rsidRPr="00440808">
        <w:rPr>
          <w:b/>
          <w:noProof/>
          <w:sz w:val="36"/>
          <w:lang w:val="fr-FR"/>
        </w:rPr>
        <w:t>glement-livraison (Fonds)</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440808" w:rsidP="00776CD9">
            <w:pPr>
              <w:tabs>
                <w:tab w:val="left" w:pos="9356"/>
              </w:tabs>
              <w:ind w:right="-279"/>
              <w:rPr>
                <w:lang w:val="fr-FR"/>
              </w:rPr>
            </w:pPr>
            <w:r>
              <w:rPr>
                <w:lang w:val="fr-FR"/>
              </w:rPr>
              <w:t>1</w:t>
            </w:r>
            <w:r w:rsidR="00140482">
              <w:rPr>
                <w:lang w:val="fr-FR"/>
              </w:rPr>
              <w:t>.</w:t>
            </w:r>
            <w:r w:rsidR="00776CD9">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140482" w:rsidP="006D6846">
            <w:pPr>
              <w:tabs>
                <w:tab w:val="left" w:pos="9356"/>
              </w:tabs>
              <w:ind w:right="-279"/>
              <w:rPr>
                <w:lang w:val="fr-FR"/>
              </w:rPr>
            </w:pPr>
            <w:r>
              <w:rPr>
                <w:lang w:val="fr-FR"/>
              </w:rPr>
              <w:t>6 avril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250696"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La montée en puissance de l’architecture ouverte a rendu plus aigu le besoin d’une normalisation de l’identification des distributeurs.</w:t>
            </w:r>
          </w:p>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Cette normalisation au niveau des flux de transmission d’ordres implique :</w:t>
            </w:r>
          </w:p>
          <w:p w:rsidR="00440808" w:rsidRPr="00440808" w:rsidRDefault="00440808" w:rsidP="00440808">
            <w:pPr>
              <w:pStyle w:val="ListParagraph"/>
              <w:numPr>
                <w:ilvl w:val="0"/>
                <w:numId w:val="11"/>
              </w:numPr>
              <w:tabs>
                <w:tab w:val="clear" w:pos="397"/>
              </w:tabs>
              <w:spacing w:before="120"/>
              <w:ind w:left="318" w:hanging="284"/>
              <w:contextualSpacing w:val="0"/>
              <w:jc w:val="both"/>
              <w:rPr>
                <w:rFonts w:eastAsia="MS Mincho" w:cs="Times New Roman"/>
                <w:noProof/>
                <w:szCs w:val="32"/>
                <w:lang w:val="fr-FR"/>
              </w:rPr>
            </w:pPr>
            <w:r w:rsidRPr="00440808">
              <w:rPr>
                <w:rFonts w:eastAsia="MS Mincho" w:cs="Times New Roman"/>
                <w:noProof/>
                <w:szCs w:val="32"/>
                <w:lang w:val="fr-FR"/>
              </w:rPr>
              <w:t>Une responsabilité pour les centralisateurs dans la reconnaissance et l’application le cas échéant, dans les échanges de flux, des conditions de droits d’entrée/sortie décrites dans les accords de distribution ;</w:t>
            </w:r>
          </w:p>
          <w:p w:rsidR="00440808" w:rsidRPr="00440808" w:rsidRDefault="00440808" w:rsidP="00440808">
            <w:pPr>
              <w:pStyle w:val="ListParagraph"/>
              <w:numPr>
                <w:ilvl w:val="0"/>
                <w:numId w:val="11"/>
              </w:numPr>
              <w:tabs>
                <w:tab w:val="clear" w:pos="397"/>
              </w:tabs>
              <w:spacing w:before="120"/>
              <w:ind w:left="318" w:hanging="284"/>
              <w:contextualSpacing w:val="0"/>
              <w:jc w:val="both"/>
              <w:rPr>
                <w:rFonts w:eastAsia="MS Mincho" w:cs="Times New Roman"/>
                <w:noProof/>
                <w:szCs w:val="32"/>
                <w:lang w:val="fr-FR"/>
              </w:rPr>
            </w:pPr>
            <w:r w:rsidRPr="00440808">
              <w:rPr>
                <w:rFonts w:eastAsia="MS Mincho" w:cs="Times New Roman"/>
                <w:noProof/>
                <w:szCs w:val="32"/>
                <w:lang w:val="fr-FR"/>
              </w:rPr>
              <w:t>Le besoin de véhiculer autant que possible les références du distributeur, à des fins de marquage commercial des ordres.</w:t>
            </w:r>
          </w:p>
          <w:p w:rsidR="00440808" w:rsidRPr="00440808" w:rsidRDefault="00440808" w:rsidP="00440808">
            <w:pPr>
              <w:pStyle w:val="ListParagraph"/>
              <w:numPr>
                <w:ilvl w:val="0"/>
                <w:numId w:val="11"/>
              </w:numPr>
              <w:tabs>
                <w:tab w:val="clear" w:pos="397"/>
              </w:tabs>
              <w:spacing w:before="120"/>
              <w:ind w:left="318" w:hanging="284"/>
              <w:contextualSpacing w:val="0"/>
              <w:jc w:val="both"/>
              <w:rPr>
                <w:rFonts w:eastAsia="MS Mincho" w:cs="Times New Roman"/>
                <w:noProof/>
                <w:szCs w:val="32"/>
                <w:lang w:val="fr-FR"/>
              </w:rPr>
            </w:pPr>
            <w:r w:rsidRPr="00440808">
              <w:rPr>
                <w:rFonts w:eastAsia="MS Mincho" w:cs="Times New Roman"/>
                <w:noProof/>
                <w:szCs w:val="32"/>
                <w:lang w:val="fr-FR"/>
              </w:rPr>
              <w:t>Cette normalisation pourrait, de même, être transmise au niveau des instructions de règlement-livraison, pour tout donneur d’ordres souhaitant véhiculer cette information optionnelle.</w:t>
            </w:r>
          </w:p>
          <w:p w:rsidR="00440808" w:rsidRPr="00440808" w:rsidRDefault="00440808" w:rsidP="00440808">
            <w:pPr>
              <w:spacing w:before="120"/>
              <w:jc w:val="both"/>
              <w:rPr>
                <w:rFonts w:eastAsia="MS Mincho" w:cs="Times New Roman"/>
                <w:b/>
                <w:noProof/>
                <w:szCs w:val="32"/>
                <w:lang w:val="fr-FR"/>
              </w:rPr>
            </w:pPr>
            <w:bookmarkStart w:id="1" w:name="_Toc378854343"/>
            <w:r w:rsidRPr="00440808">
              <w:rPr>
                <w:rFonts w:eastAsia="MS Mincho" w:cs="Times New Roman"/>
                <w:b/>
                <w:noProof/>
                <w:szCs w:val="32"/>
                <w:lang w:val="fr-FR"/>
              </w:rPr>
              <w:t>Définitions relatives au marquage des ordres</w:t>
            </w:r>
            <w:bookmarkEnd w:id="1"/>
          </w:p>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b/>
                <w:noProof/>
                <w:szCs w:val="32"/>
                <w:lang w:val="fr-FR"/>
              </w:rPr>
              <w:t>Le code distributeur</w:t>
            </w:r>
            <w:r w:rsidRPr="00440808">
              <w:rPr>
                <w:rFonts w:eastAsia="MS Mincho" w:cs="Times New Roman"/>
                <w:noProof/>
                <w:szCs w:val="32"/>
                <w:lang w:val="fr-FR"/>
              </w:rPr>
              <w:t xml:space="preserve"> (BIC ; ou BIC One devenant BIC11 en T2S) est une identification de Place, demandée par le distributeur (qui peut sous-traiter cette demande à son teneur de compte conservateur) auprès de S</w:t>
            </w:r>
            <w:r w:rsidR="004661AD">
              <w:rPr>
                <w:rFonts w:eastAsia="MS Mincho" w:cs="Times New Roman"/>
                <w:noProof/>
                <w:szCs w:val="32"/>
                <w:lang w:val="fr-FR"/>
              </w:rPr>
              <w:t>WIFT</w:t>
            </w:r>
            <w:r w:rsidRPr="00440808">
              <w:rPr>
                <w:rFonts w:eastAsia="MS Mincho" w:cs="Times New Roman"/>
                <w:noProof/>
                <w:szCs w:val="32"/>
                <w:lang w:val="fr-FR"/>
              </w:rPr>
              <w:t>. Il peut être utilisé :</w:t>
            </w:r>
          </w:p>
          <w:p w:rsidR="00440808" w:rsidRPr="00440808" w:rsidRDefault="00440808" w:rsidP="00440808">
            <w:pPr>
              <w:pStyle w:val="ListParagraph"/>
              <w:numPr>
                <w:ilvl w:val="0"/>
                <w:numId w:val="11"/>
              </w:numPr>
              <w:tabs>
                <w:tab w:val="clear" w:pos="397"/>
              </w:tabs>
              <w:spacing w:before="120"/>
              <w:ind w:left="318" w:hanging="284"/>
              <w:contextualSpacing w:val="0"/>
              <w:jc w:val="both"/>
              <w:rPr>
                <w:rFonts w:eastAsia="MS Mincho" w:cs="Times New Roman"/>
                <w:noProof/>
                <w:szCs w:val="32"/>
                <w:lang w:val="fr-FR"/>
              </w:rPr>
            </w:pPr>
            <w:r w:rsidRPr="00440808">
              <w:rPr>
                <w:rFonts w:eastAsia="MS Mincho" w:cs="Times New Roman"/>
                <w:noProof/>
                <w:szCs w:val="32"/>
                <w:lang w:val="fr-FR"/>
              </w:rPr>
              <w:t>Pour signifier qu’un accord existe entre le promoteur et le distributeur, donnant droit à des conditions dérogatoires et/ou rétrocession de commissions sur encours ;</w:t>
            </w:r>
          </w:p>
          <w:p w:rsidR="00440808" w:rsidRPr="00440808" w:rsidRDefault="00440808" w:rsidP="00440808">
            <w:pPr>
              <w:pStyle w:val="ListParagraph"/>
              <w:numPr>
                <w:ilvl w:val="0"/>
                <w:numId w:val="11"/>
              </w:numPr>
              <w:tabs>
                <w:tab w:val="clear" w:pos="397"/>
              </w:tabs>
              <w:spacing w:before="120"/>
              <w:ind w:left="318" w:hanging="284"/>
              <w:contextualSpacing w:val="0"/>
              <w:jc w:val="both"/>
              <w:rPr>
                <w:rFonts w:eastAsia="MS Mincho" w:cs="Times New Roman"/>
                <w:noProof/>
                <w:szCs w:val="32"/>
                <w:lang w:val="fr-FR"/>
              </w:rPr>
            </w:pPr>
            <w:r w:rsidRPr="00440808">
              <w:rPr>
                <w:rFonts w:eastAsia="MS Mincho" w:cs="Times New Roman"/>
                <w:noProof/>
                <w:szCs w:val="32"/>
                <w:lang w:val="fr-FR"/>
              </w:rPr>
              <w:t>Pour identifier le distributeur, à titre informatif, à des fins de marquage commercial.</w:t>
            </w:r>
          </w:p>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 xml:space="preserve">A noter que l’utilisation du marquage grâce au BIC11 est à privilégier, afin d’avoir, un identifiant unique par distributeur quelque soit le promoteur. </w:t>
            </w:r>
          </w:p>
          <w:p w:rsidR="00440808" w:rsidRPr="00440808" w:rsidRDefault="00440808" w:rsidP="00440808">
            <w:pPr>
              <w:spacing w:before="120"/>
              <w:jc w:val="both"/>
              <w:rPr>
                <w:rFonts w:eastAsia="MS Mincho" w:cs="Times New Roman"/>
                <w:b/>
                <w:noProof/>
                <w:szCs w:val="32"/>
                <w:lang w:val="fr-FR"/>
              </w:rPr>
            </w:pPr>
          </w:p>
          <w:p w:rsidR="00440808" w:rsidRPr="00440808" w:rsidRDefault="00440808" w:rsidP="00440808">
            <w:pPr>
              <w:spacing w:before="120"/>
              <w:jc w:val="both"/>
              <w:rPr>
                <w:rFonts w:eastAsia="MS Mincho" w:cs="Times New Roman"/>
                <w:b/>
                <w:noProof/>
                <w:szCs w:val="32"/>
                <w:lang w:val="fr-FR"/>
              </w:rPr>
            </w:pPr>
            <w:bookmarkStart w:id="2" w:name="_Toc378854345"/>
            <w:r w:rsidRPr="00440808">
              <w:rPr>
                <w:rFonts w:eastAsia="MS Mincho" w:cs="Times New Roman"/>
                <w:b/>
                <w:noProof/>
                <w:szCs w:val="32"/>
                <w:lang w:val="fr-FR"/>
              </w:rPr>
              <w:t>Engagements du centralisateur pour les accords de distribution</w:t>
            </w:r>
            <w:bookmarkEnd w:id="2"/>
          </w:p>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Dans le cadre de sa fonction de centralisation des ordres, qui l’amène à traiter les instructions des distributeurs identifiés par la société de gestion, le centralisateur doit :</w:t>
            </w:r>
          </w:p>
          <w:p w:rsidR="00440808" w:rsidRPr="00440808" w:rsidRDefault="00440808" w:rsidP="00440808">
            <w:pPr>
              <w:spacing w:before="120"/>
              <w:jc w:val="both"/>
              <w:rPr>
                <w:rFonts w:eastAsia="MS Mincho" w:cs="Times New Roman"/>
                <w:i/>
                <w:noProof/>
                <w:szCs w:val="32"/>
                <w:u w:val="single"/>
                <w:lang w:val="fr-FR"/>
              </w:rPr>
            </w:pPr>
            <w:r w:rsidRPr="00440808">
              <w:rPr>
                <w:rFonts w:eastAsia="MS Mincho" w:cs="Times New Roman"/>
                <w:i/>
                <w:noProof/>
                <w:szCs w:val="32"/>
                <w:u w:val="single"/>
                <w:lang w:val="fr-FR"/>
              </w:rPr>
              <w:t>Appliquer les conditions dérogatoires uniquement aux ordres pour lesquels la société de gestion a communiqué son autorisation.</w:t>
            </w:r>
          </w:p>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 xml:space="preserve">Le centralisateur, à réception d’un ordre contenant une référence distributeur, contrôle cette information et applique les conditions de droits liées à ce marquage, marquage qui sera remonté à la société de gestion. </w:t>
            </w:r>
          </w:p>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Afin d’en assurer la pérennité, la gestion de ce référentiel « distributeurs » a été confiée au CSD E</w:t>
            </w:r>
            <w:r w:rsidR="004661AD">
              <w:rPr>
                <w:rFonts w:eastAsia="MS Mincho" w:cs="Times New Roman"/>
                <w:noProof/>
                <w:szCs w:val="32"/>
                <w:lang w:val="fr-FR"/>
              </w:rPr>
              <w:t>SES</w:t>
            </w:r>
            <w:r w:rsidRPr="00440808">
              <w:rPr>
                <w:rFonts w:eastAsia="MS Mincho" w:cs="Times New Roman"/>
                <w:noProof/>
                <w:szCs w:val="32"/>
                <w:lang w:val="fr-FR"/>
              </w:rPr>
              <w:t>, qui gère les modifications, les ajouts ou suppressions deBIC11.</w:t>
            </w:r>
          </w:p>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Dans le cadre de T2S, où les ordres pourront être transmis sans marquage de la part de donneurs d’ordres, il pourrait être intéressant d’avoir l’opportunité de récupérer ce marquage dans les instructions de règlement-livraison.</w:t>
            </w:r>
          </w:p>
          <w:p w:rsidR="00140482" w:rsidRPr="00776CD9"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Cette donnée de marquage resterait optionnelle.</w:t>
            </w:r>
          </w:p>
        </w:tc>
      </w:tr>
      <w:tr w:rsidR="00D103DA" w:rsidRPr="00250696"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250696"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140482" w:rsidRPr="00113071"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Pratique à mettre en œuvre au niveau des instructions de règlement-livraison, pour tout donneur d’ordres souhaitant véhiculer une information optionnelle de marquage (BIC11). L’objectif serait d’avoir le même marquage qu’au niveau des flux de transmission, ou de communiquer cette information n’ayant pas été faite lors de la transmission. Cette information permettra d’appliquer des taux préférentiels ou d’ajuster les stocks et encours commu</w:t>
            </w:r>
            <w:r>
              <w:rPr>
                <w:rFonts w:eastAsia="MS Mincho" w:cs="Times New Roman"/>
                <w:noProof/>
                <w:szCs w:val="32"/>
                <w:lang w:val="fr-FR"/>
              </w:rPr>
              <w:t>niqués aux sociétés de gestion.</w:t>
            </w:r>
          </w:p>
        </w:tc>
      </w:tr>
      <w:tr w:rsidR="0081511D" w:rsidRPr="00250696"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250696"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440808" w:rsidRDefault="00440808" w:rsidP="00440808">
            <w:pPr>
              <w:spacing w:before="120"/>
              <w:jc w:val="both"/>
              <w:rPr>
                <w:rFonts w:eastAsia="MS Mincho" w:cs="Times New Roman"/>
                <w:noProof/>
                <w:szCs w:val="32"/>
                <w:lang w:val="fr-FR"/>
              </w:rPr>
            </w:pPr>
            <w:r>
              <w:rPr>
                <w:rFonts w:eastAsia="MS Mincho" w:cs="Times New Roman"/>
                <w:noProof/>
                <w:szCs w:val="32"/>
                <w:lang w:val="fr-FR"/>
              </w:rPr>
              <w:t xml:space="preserve">L’absence de mise en place de cette pratique laissera porter l’application des conditions préférentielles ou suivi des encours sur la passation d’ordres. </w:t>
            </w:r>
          </w:p>
          <w:p w:rsidR="0081511D" w:rsidRPr="00113071" w:rsidRDefault="00440808" w:rsidP="00440808">
            <w:pPr>
              <w:spacing w:before="120"/>
              <w:jc w:val="both"/>
              <w:rPr>
                <w:rFonts w:eastAsia="MS Mincho" w:cs="Times New Roman"/>
                <w:noProof/>
                <w:szCs w:val="32"/>
                <w:lang w:val="fr-FR"/>
              </w:rPr>
            </w:pPr>
            <w:r>
              <w:rPr>
                <w:rFonts w:eastAsia="MS Mincho" w:cs="Times New Roman"/>
                <w:noProof/>
                <w:szCs w:val="32"/>
                <w:lang w:val="fr-FR"/>
              </w:rPr>
              <w:t xml:space="preserve">L’objectif : permettre d’avoir un 2e niveau de marquage des flux, facilitant les dénouements d’ordres pour lesquels l’information n’aurait pas été transmise dans le flux de transmission, et donnant lieu à des « mismatching ».  </w:t>
            </w:r>
          </w:p>
        </w:tc>
      </w:tr>
      <w:tr w:rsidR="0081511D" w:rsidRPr="00250696"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p w:rsidR="00FA1E99" w:rsidRDefault="00FA1E99"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250696"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lastRenderedPageBreak/>
              <w:t>Liens avec d’autres pratiques</w:t>
            </w:r>
          </w:p>
        </w:tc>
        <w:tc>
          <w:tcPr>
            <w:tcW w:w="7513" w:type="dxa"/>
            <w:tcBorders>
              <w:bottom w:val="single" w:sz="4" w:space="0" w:color="auto"/>
            </w:tcBorders>
          </w:tcPr>
          <w:p w:rsidR="00C06869" w:rsidRPr="00440808" w:rsidRDefault="00C06869" w:rsidP="00440808">
            <w:pPr>
              <w:jc w:val="both"/>
              <w:rPr>
                <w:rFonts w:eastAsia="MS Mincho" w:cs="Times New Roman"/>
                <w:noProof/>
                <w:szCs w:val="32"/>
                <w:lang w:val="fr-FR"/>
              </w:rPr>
            </w:pPr>
            <w:r w:rsidRPr="00440808">
              <w:rPr>
                <w:rFonts w:eastAsia="MS Mincho" w:cs="Times New Roman"/>
                <w:noProof/>
                <w:szCs w:val="32"/>
                <w:lang w:val="fr-FR"/>
              </w:rPr>
              <w:t xml:space="preserve">MS-MATCH-CRITE-02 : Usage du champs optionnel : client du participant du CSD </w:t>
            </w:r>
            <w:r w:rsidR="00440808">
              <w:rPr>
                <w:rFonts w:eastAsia="MS Mincho" w:cs="Times New Roman"/>
                <w:i/>
                <w:noProof/>
                <w:szCs w:val="32"/>
                <w:lang w:val="fr-FR"/>
              </w:rPr>
              <w:t>(Validée</w:t>
            </w:r>
            <w:r w:rsidRPr="00440808">
              <w:rPr>
                <w:rFonts w:eastAsia="MS Mincho" w:cs="Times New Roman"/>
                <w:i/>
                <w:noProof/>
                <w:szCs w:val="32"/>
                <w:lang w:val="fr-FR"/>
              </w:rPr>
              <w:t xml:space="preserve"> </w:t>
            </w:r>
            <w:r w:rsidR="00440808">
              <w:rPr>
                <w:rFonts w:eastAsia="MS Mincho" w:cs="Times New Roman"/>
                <w:i/>
                <w:noProof/>
                <w:szCs w:val="32"/>
                <w:lang w:val="fr-FR"/>
              </w:rPr>
              <w:t>mais non publiée</w:t>
            </w:r>
            <w:r w:rsidRPr="00440808">
              <w:rPr>
                <w:rFonts w:eastAsia="MS Mincho" w:cs="Times New Roman"/>
                <w:i/>
                <w:noProof/>
                <w:szCs w:val="32"/>
                <w:lang w:val="fr-FR"/>
              </w:rPr>
              <w:t>)</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250696"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La recommandation est de véhiculer le marquage de distributeur (BIC11) dans le champ « client du participant du CSD»,  en lien avec la pratique  de la fiche « MS-MATCH-CRITE-02 ».</w:t>
            </w:r>
          </w:p>
          <w:p w:rsidR="00440808"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Il est important d’étendre cette pratique aux opérations int</w:t>
            </w:r>
            <w:r w:rsidR="00B4684E">
              <w:rPr>
                <w:rFonts w:eastAsia="MS Mincho" w:cs="Times New Roman"/>
                <w:noProof/>
                <w:szCs w:val="32"/>
                <w:lang w:val="fr-FR"/>
              </w:rPr>
              <w:t>er</w:t>
            </w:r>
            <w:r w:rsidRPr="00440808">
              <w:rPr>
                <w:rFonts w:eastAsia="MS Mincho" w:cs="Times New Roman"/>
                <w:noProof/>
                <w:szCs w:val="32"/>
                <w:lang w:val="fr-FR"/>
              </w:rPr>
              <w:t xml:space="preserve">-CSD, soit en tant que routeur d’ordres sur des fonds étrangers, ou en tant que CTA ou LTA d’ordres en provenance d’une clientèle étrangère. </w:t>
            </w:r>
          </w:p>
          <w:p w:rsidR="00AA1FDB" w:rsidRPr="00440808" w:rsidRDefault="00440808" w:rsidP="00440808">
            <w:pPr>
              <w:spacing w:before="120"/>
              <w:jc w:val="both"/>
              <w:rPr>
                <w:rFonts w:eastAsia="MS Mincho" w:cs="Times New Roman"/>
                <w:noProof/>
                <w:szCs w:val="32"/>
                <w:lang w:val="fr-FR"/>
              </w:rPr>
            </w:pPr>
            <w:r w:rsidRPr="00440808">
              <w:rPr>
                <w:rFonts w:eastAsia="MS Mincho" w:cs="Times New Roman"/>
                <w:noProof/>
                <w:szCs w:val="32"/>
                <w:lang w:val="fr-FR"/>
              </w:rPr>
              <w:t>La mise en place de cette pratique à l’échelle internationale permettrait d’avoir une pratique unique de marquage des flux en modèle CSD.</w:t>
            </w:r>
          </w:p>
        </w:tc>
      </w:tr>
      <w:tr w:rsidR="00C90388" w:rsidRPr="00250696" w:rsidTr="0081511D">
        <w:trPr>
          <w:gridAfter w:val="1"/>
          <w:wAfter w:w="30" w:type="dxa"/>
        </w:trPr>
        <w:tc>
          <w:tcPr>
            <w:tcW w:w="2093" w:type="dxa"/>
            <w:shd w:val="clear" w:color="auto" w:fill="BFBFBF" w:themeFill="background1" w:themeFillShade="BF"/>
          </w:tcPr>
          <w:p w:rsidR="00C90388" w:rsidRDefault="00C90388" w:rsidP="00EC776F">
            <w:pPr>
              <w:rPr>
                <w:rFonts w:eastAsia="MS Mincho" w:cs="Times New Roman"/>
                <w:b/>
                <w:noProof/>
                <w:szCs w:val="32"/>
                <w:lang w:val="fr-FR"/>
              </w:rPr>
            </w:pPr>
            <w:r>
              <w:rPr>
                <w:rFonts w:eastAsia="MS Mincho" w:cs="Times New Roman"/>
                <w:b/>
                <w:noProof/>
                <w:szCs w:val="32"/>
                <w:lang w:val="fr-FR"/>
              </w:rPr>
              <w:t>Raisons du choix</w:t>
            </w:r>
          </w:p>
        </w:tc>
        <w:tc>
          <w:tcPr>
            <w:tcW w:w="7483" w:type="dxa"/>
          </w:tcPr>
          <w:p w:rsidR="00C90388" w:rsidRPr="00440808" w:rsidRDefault="00C90388" w:rsidP="00440808">
            <w:pPr>
              <w:spacing w:before="120"/>
              <w:jc w:val="both"/>
              <w:rPr>
                <w:rFonts w:eastAsia="MS Mincho" w:cs="Times New Roman"/>
                <w:noProof/>
                <w:szCs w:val="32"/>
                <w:lang w:val="fr-FR"/>
              </w:rPr>
            </w:pPr>
            <w:r>
              <w:rPr>
                <w:rFonts w:eastAsia="MS Mincho" w:cs="Times New Roman"/>
                <w:noProof/>
                <w:szCs w:val="32"/>
                <w:lang w:val="fr-FR"/>
              </w:rPr>
              <w:t xml:space="preserve">Pratique de Place optionnelle permettant d’avoir un 2e niveau de marquage des flux, facilitant les dénouements d’ordres pour lesquels l’information n’aurait pas été transmise dans le flux de transmission, et donnant lieu à des « mismatching ».  </w:t>
            </w:r>
          </w:p>
        </w:tc>
      </w:tr>
      <w:tr w:rsidR="0081511D" w:rsidRPr="00250696"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890489" w:rsidRDefault="00890489" w:rsidP="00890489">
      <w:pPr>
        <w:pStyle w:val="ListParagraph"/>
        <w:spacing w:after="0" w:line="240" w:lineRule="auto"/>
        <w:ind w:left="284"/>
        <w:rPr>
          <w:rFonts w:eastAsia="MS Mincho" w:cs="Times New Roman"/>
          <w:b/>
          <w:caps/>
          <w:noProof/>
          <w:sz w:val="32"/>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493" w:type="dxa"/>
        <w:tblLook w:val="04A0" w:firstRow="1" w:lastRow="0" w:firstColumn="1" w:lastColumn="0" w:noHBand="0" w:noVBand="1"/>
      </w:tblPr>
      <w:tblGrid>
        <w:gridCol w:w="2302"/>
        <w:gridCol w:w="2166"/>
        <w:gridCol w:w="272"/>
        <w:gridCol w:w="1599"/>
        <w:gridCol w:w="839"/>
        <w:gridCol w:w="842"/>
        <w:gridCol w:w="1473"/>
      </w:tblGrid>
      <w:tr w:rsidR="00140482" w:rsidRPr="00250696" w:rsidTr="00890489">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315"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890489">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85743B"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315" w:type="dxa"/>
            <w:gridSpan w:val="2"/>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890489">
        <w:trPr>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473"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890489">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154"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440808">
              <w:rPr>
                <w:rFonts w:ascii="Wingdings" w:hAnsi="Wingdings" w:cs="Wingdings"/>
                <w:sz w:val="26"/>
                <w:szCs w:val="26"/>
              </w:rPr>
              <w:t></w:t>
            </w:r>
          </w:p>
        </w:tc>
      </w:tr>
      <w:bookmarkEnd w:id="0"/>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A3A" w:rsidRDefault="00DD5A3A" w:rsidP="006D6846">
      <w:pPr>
        <w:spacing w:after="0" w:line="240" w:lineRule="auto"/>
      </w:pPr>
      <w:r>
        <w:separator/>
      </w:r>
    </w:p>
  </w:endnote>
  <w:endnote w:type="continuationSeparator" w:id="0">
    <w:p w:rsidR="00DD5A3A" w:rsidRDefault="00DD5A3A"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2414137"/>
      <w:docPartObj>
        <w:docPartGallery w:val="Page Numbers (Bottom of Page)"/>
        <w:docPartUnique/>
      </w:docPartObj>
    </w:sdtPr>
    <w:sdtEndPr/>
    <w:sdtContent>
      <w:sdt>
        <w:sdtPr>
          <w:id w:val="-1769616900"/>
          <w:docPartObj>
            <w:docPartGallery w:val="Page Numbers (Top of Page)"/>
            <w:docPartUnique/>
          </w:docPartObj>
        </w:sdtPr>
        <w:sdtEndPr/>
        <w:sdtContent>
          <w:p w:rsidR="00890489" w:rsidRDefault="00890489">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250696">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250696">
              <w:rPr>
                <w:b/>
                <w:bCs/>
                <w:noProof/>
              </w:rPr>
              <w:t>3</w:t>
            </w:r>
            <w:r>
              <w:rPr>
                <w:b/>
                <w:bCs/>
                <w:sz w:val="24"/>
                <w:szCs w:val="24"/>
              </w:rPr>
              <w:fldChar w:fldCharType="end"/>
            </w:r>
          </w:p>
        </w:sdtContent>
      </w:sdt>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A3A" w:rsidRDefault="00DD5A3A" w:rsidP="006D6846">
      <w:pPr>
        <w:spacing w:after="0" w:line="240" w:lineRule="auto"/>
      </w:pPr>
      <w:r>
        <w:separator/>
      </w:r>
    </w:p>
  </w:footnote>
  <w:footnote w:type="continuationSeparator" w:id="0">
    <w:p w:rsidR="00DD5A3A" w:rsidRDefault="00DD5A3A"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88"/>
      <w:gridCol w:w="4068"/>
    </w:tblGrid>
    <w:tr w:rsidR="00EC776F" w:rsidTr="004661AD">
      <w:trPr>
        <w:trHeight w:val="814"/>
      </w:trPr>
      <w:tc>
        <w:tcPr>
          <w:tcW w:w="6188"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4068" w:type="dxa"/>
          <w:vAlign w:val="center"/>
        </w:tcPr>
        <w:p w:rsidR="00EC776F" w:rsidRDefault="00EC776F" w:rsidP="004661AD">
          <w:pPr>
            <w:pStyle w:val="Header"/>
            <w:rPr>
              <w:b/>
              <w:lang w:val="fr-FR"/>
            </w:rPr>
          </w:pPr>
          <w:r>
            <w:rPr>
              <w:noProof/>
            </w:rPr>
            <w:drawing>
              <wp:inline distT="0" distB="0" distL="0" distR="0" wp14:anchorId="5F20EA7F" wp14:editId="0CD0FD15">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4661AD">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pt;height:42.45pt" o:ole="">
                <v:imagedata r:id="rId2" o:title=""/>
              </v:shape>
              <o:OLEObject Type="Embed" ProgID="PBrush" ShapeID="_x0000_i1025" DrawAspect="Content" ObjectID="_1534306307" r:id="rId3"/>
            </w:object>
          </w:r>
        </w:p>
      </w:tc>
    </w:tr>
    <w:tr w:rsidR="00EC776F" w:rsidRPr="00250696" w:rsidTr="004661AD">
      <w:trPr>
        <w:trHeight w:val="141"/>
      </w:trPr>
      <w:tc>
        <w:tcPr>
          <w:tcW w:w="6188" w:type="dxa"/>
          <w:vAlign w:val="center"/>
        </w:tcPr>
        <w:p w:rsidR="00EC776F" w:rsidRPr="00EC776F" w:rsidRDefault="00EC776F" w:rsidP="004661AD">
          <w:pPr>
            <w:pStyle w:val="Header"/>
            <w:jc w:val="center"/>
            <w:rPr>
              <w:i/>
              <w:lang w:val="fr-FR"/>
            </w:rPr>
          </w:pPr>
          <w:r>
            <w:rPr>
              <w:i/>
              <w:lang w:val="fr-FR"/>
            </w:rPr>
            <w:t xml:space="preserve">Référence de la pratique : </w:t>
          </w:r>
          <w:r w:rsidR="00440808" w:rsidRPr="00440808">
            <w:rPr>
              <w:i/>
              <w:lang w:val="fr-FR"/>
            </w:rPr>
            <w:t>OP-SETTL-MARQUAGE-01</w:t>
          </w:r>
        </w:p>
      </w:tc>
      <w:tc>
        <w:tcPr>
          <w:tcW w:w="406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973A35"/>
    <w:multiLevelType w:val="hybridMultilevel"/>
    <w:tmpl w:val="9D2C50D4"/>
    <w:lvl w:ilvl="0" w:tplc="05E222C8">
      <w:start w:val="1"/>
      <w:numFmt w:val="bullet"/>
      <w:pStyle w:val="FDPuce"/>
      <w:lvlText w:val=""/>
      <w:lvlJc w:val="left"/>
      <w:pPr>
        <w:tabs>
          <w:tab w:val="num" w:pos="397"/>
        </w:tabs>
        <w:ind w:left="397" w:hanging="397"/>
      </w:pPr>
      <w:rPr>
        <w:rFonts w:ascii="Wingdings" w:hAnsi="Wingdings" w:hint="default"/>
      </w:rPr>
    </w:lvl>
    <w:lvl w:ilvl="1" w:tplc="FB68673C">
      <w:start w:val="1"/>
      <w:numFmt w:val="bullet"/>
      <w:pStyle w:val="FDPuce2"/>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9"/>
  </w:num>
  <w:num w:numId="4">
    <w:abstractNumId w:val="8"/>
  </w:num>
  <w:num w:numId="5">
    <w:abstractNumId w:val="1"/>
  </w:num>
  <w:num w:numId="6">
    <w:abstractNumId w:val="0"/>
  </w:num>
  <w:num w:numId="7">
    <w:abstractNumId w:val="4"/>
  </w:num>
  <w:num w:numId="8">
    <w:abstractNumId w:val="3"/>
  </w:num>
  <w:num w:numId="9">
    <w:abstractNumId w:val="5"/>
  </w:num>
  <w:num w:numId="10">
    <w:abstractNumId w:val="7"/>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9701B"/>
    <w:rsid w:val="000A6C94"/>
    <w:rsid w:val="000C1C9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50696"/>
    <w:rsid w:val="00283DDE"/>
    <w:rsid w:val="0028538B"/>
    <w:rsid w:val="00292599"/>
    <w:rsid w:val="00343829"/>
    <w:rsid w:val="00343B9E"/>
    <w:rsid w:val="003631EA"/>
    <w:rsid w:val="00363E89"/>
    <w:rsid w:val="003929BA"/>
    <w:rsid w:val="003A4E76"/>
    <w:rsid w:val="003B3DA4"/>
    <w:rsid w:val="003D5E9F"/>
    <w:rsid w:val="003D7060"/>
    <w:rsid w:val="00440808"/>
    <w:rsid w:val="00464015"/>
    <w:rsid w:val="004661AD"/>
    <w:rsid w:val="004818D8"/>
    <w:rsid w:val="00482296"/>
    <w:rsid w:val="00487A07"/>
    <w:rsid w:val="004F6025"/>
    <w:rsid w:val="005061BA"/>
    <w:rsid w:val="005067E0"/>
    <w:rsid w:val="0051485E"/>
    <w:rsid w:val="00567B1D"/>
    <w:rsid w:val="00575F36"/>
    <w:rsid w:val="005C2ACA"/>
    <w:rsid w:val="00622E8A"/>
    <w:rsid w:val="00625541"/>
    <w:rsid w:val="00652C13"/>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71A03"/>
    <w:rsid w:val="008800A4"/>
    <w:rsid w:val="00890489"/>
    <w:rsid w:val="00893912"/>
    <w:rsid w:val="008A30A6"/>
    <w:rsid w:val="008C734C"/>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AC5EFC"/>
    <w:rsid w:val="00B26098"/>
    <w:rsid w:val="00B31057"/>
    <w:rsid w:val="00B44E11"/>
    <w:rsid w:val="00B4684E"/>
    <w:rsid w:val="00B540C8"/>
    <w:rsid w:val="00B62B1E"/>
    <w:rsid w:val="00B727D8"/>
    <w:rsid w:val="00B9491F"/>
    <w:rsid w:val="00BA66D3"/>
    <w:rsid w:val="00BA6B0A"/>
    <w:rsid w:val="00BC7577"/>
    <w:rsid w:val="00BE4C60"/>
    <w:rsid w:val="00C06869"/>
    <w:rsid w:val="00C070B0"/>
    <w:rsid w:val="00C1000A"/>
    <w:rsid w:val="00C221EA"/>
    <w:rsid w:val="00C33595"/>
    <w:rsid w:val="00C3423B"/>
    <w:rsid w:val="00C41782"/>
    <w:rsid w:val="00C43D15"/>
    <w:rsid w:val="00C57689"/>
    <w:rsid w:val="00C60EC8"/>
    <w:rsid w:val="00C65EB2"/>
    <w:rsid w:val="00C77C0A"/>
    <w:rsid w:val="00C90388"/>
    <w:rsid w:val="00CB0F41"/>
    <w:rsid w:val="00CC7462"/>
    <w:rsid w:val="00CD3755"/>
    <w:rsid w:val="00CE6DA3"/>
    <w:rsid w:val="00CF605A"/>
    <w:rsid w:val="00D103DA"/>
    <w:rsid w:val="00D12DE8"/>
    <w:rsid w:val="00D252A7"/>
    <w:rsid w:val="00D50DB6"/>
    <w:rsid w:val="00D529B3"/>
    <w:rsid w:val="00D53037"/>
    <w:rsid w:val="00D5515F"/>
    <w:rsid w:val="00DB106F"/>
    <w:rsid w:val="00DD071C"/>
    <w:rsid w:val="00DD5A3A"/>
    <w:rsid w:val="00E351C1"/>
    <w:rsid w:val="00E35B86"/>
    <w:rsid w:val="00E438E3"/>
    <w:rsid w:val="00E52109"/>
    <w:rsid w:val="00E62EAE"/>
    <w:rsid w:val="00EA5560"/>
    <w:rsid w:val="00EB44AB"/>
    <w:rsid w:val="00EC776F"/>
    <w:rsid w:val="00F00BF4"/>
    <w:rsid w:val="00F358FF"/>
    <w:rsid w:val="00F35CCA"/>
    <w:rsid w:val="00F84B2D"/>
    <w:rsid w:val="00F904C9"/>
    <w:rsid w:val="00FA1E9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customStyle="1" w:styleId="FDNormal">
    <w:name w:val="FDNormal"/>
    <w:basedOn w:val="Normal"/>
    <w:link w:val="FDNormalCar"/>
    <w:rsid w:val="00440808"/>
    <w:pPr>
      <w:spacing w:after="120" w:line="240" w:lineRule="auto"/>
      <w:jc w:val="both"/>
    </w:pPr>
    <w:rPr>
      <w:rFonts w:ascii="Verdana" w:eastAsia="Times New Roman" w:hAnsi="Verdana" w:cs="Verdana"/>
      <w:sz w:val="20"/>
      <w:szCs w:val="20"/>
      <w:lang w:val="fr-FR" w:eastAsia="fr-FR"/>
    </w:rPr>
  </w:style>
  <w:style w:type="character" w:customStyle="1" w:styleId="FDNormalCar">
    <w:name w:val="FDNormal Car"/>
    <w:link w:val="FDNormal"/>
    <w:rsid w:val="00440808"/>
    <w:rPr>
      <w:rFonts w:ascii="Verdana" w:eastAsia="Times New Roman" w:hAnsi="Verdana" w:cs="Verdana"/>
      <w:sz w:val="20"/>
      <w:szCs w:val="20"/>
      <w:lang w:val="fr-FR" w:eastAsia="fr-FR"/>
    </w:rPr>
  </w:style>
  <w:style w:type="paragraph" w:customStyle="1" w:styleId="FDPuce2">
    <w:name w:val="FDPuce2"/>
    <w:basedOn w:val="FDPuce"/>
    <w:rsid w:val="00440808"/>
    <w:pPr>
      <w:numPr>
        <w:ilvl w:val="1"/>
      </w:numPr>
      <w:tabs>
        <w:tab w:val="clear" w:pos="1440"/>
      </w:tabs>
      <w:ind w:left="1080"/>
    </w:pPr>
  </w:style>
  <w:style w:type="paragraph" w:customStyle="1" w:styleId="FDTitre3">
    <w:name w:val="FDTitre3"/>
    <w:basedOn w:val="FDNormal"/>
    <w:next w:val="FDNormal"/>
    <w:autoRedefine/>
    <w:rsid w:val="00440808"/>
    <w:pPr>
      <w:tabs>
        <w:tab w:val="left" w:pos="1260"/>
        <w:tab w:val="left" w:pos="1620"/>
      </w:tabs>
      <w:spacing w:before="120" w:after="240"/>
    </w:pPr>
    <w:rPr>
      <w:b/>
      <w:bCs/>
      <w:color w:val="000000"/>
      <w:sz w:val="24"/>
      <w:szCs w:val="28"/>
    </w:rPr>
  </w:style>
  <w:style w:type="paragraph" w:customStyle="1" w:styleId="FDPuce">
    <w:name w:val="FDPuce"/>
    <w:basedOn w:val="FDNormal"/>
    <w:rsid w:val="00440808"/>
    <w:pPr>
      <w:numPr>
        <w:numId w:val="11"/>
      </w:numPr>
      <w:tabs>
        <w:tab w:val="clear" w:pos="397"/>
      </w:tabs>
      <w:spacing w:before="60" w:after="60"/>
      <w:ind w:left="360" w:hanging="360"/>
    </w:pPr>
  </w:style>
  <w:style w:type="paragraph" w:customStyle="1" w:styleId="FDListeGlossaire">
    <w:name w:val="FDListeGlossaire"/>
    <w:basedOn w:val="FDNormal"/>
    <w:next w:val="FDNormal"/>
    <w:link w:val="FDListeGlossaireCar"/>
    <w:rsid w:val="00440808"/>
    <w:rPr>
      <w:b/>
      <w:bCs/>
    </w:rPr>
  </w:style>
  <w:style w:type="character" w:customStyle="1" w:styleId="FDListeGlossaireCar">
    <w:name w:val="FDListeGlossaire Car"/>
    <w:basedOn w:val="FDNormalCar"/>
    <w:link w:val="FDListeGlossaire"/>
    <w:rsid w:val="00440808"/>
    <w:rPr>
      <w:rFonts w:ascii="Verdana" w:eastAsia="Times New Roman" w:hAnsi="Verdana" w:cs="Verdana"/>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customStyle="1" w:styleId="FDNormal">
    <w:name w:val="FDNormal"/>
    <w:basedOn w:val="Normal"/>
    <w:link w:val="FDNormalCar"/>
    <w:rsid w:val="00440808"/>
    <w:pPr>
      <w:spacing w:after="120" w:line="240" w:lineRule="auto"/>
      <w:jc w:val="both"/>
    </w:pPr>
    <w:rPr>
      <w:rFonts w:ascii="Verdana" w:eastAsia="Times New Roman" w:hAnsi="Verdana" w:cs="Verdana"/>
      <w:sz w:val="20"/>
      <w:szCs w:val="20"/>
      <w:lang w:val="fr-FR" w:eastAsia="fr-FR"/>
    </w:rPr>
  </w:style>
  <w:style w:type="character" w:customStyle="1" w:styleId="FDNormalCar">
    <w:name w:val="FDNormal Car"/>
    <w:link w:val="FDNormal"/>
    <w:rsid w:val="00440808"/>
    <w:rPr>
      <w:rFonts w:ascii="Verdana" w:eastAsia="Times New Roman" w:hAnsi="Verdana" w:cs="Verdana"/>
      <w:sz w:val="20"/>
      <w:szCs w:val="20"/>
      <w:lang w:val="fr-FR" w:eastAsia="fr-FR"/>
    </w:rPr>
  </w:style>
  <w:style w:type="paragraph" w:customStyle="1" w:styleId="FDPuce2">
    <w:name w:val="FDPuce2"/>
    <w:basedOn w:val="FDPuce"/>
    <w:rsid w:val="00440808"/>
    <w:pPr>
      <w:numPr>
        <w:ilvl w:val="1"/>
      </w:numPr>
      <w:tabs>
        <w:tab w:val="clear" w:pos="1440"/>
      </w:tabs>
      <w:ind w:left="1080"/>
    </w:pPr>
  </w:style>
  <w:style w:type="paragraph" w:customStyle="1" w:styleId="FDTitre3">
    <w:name w:val="FDTitre3"/>
    <w:basedOn w:val="FDNormal"/>
    <w:next w:val="FDNormal"/>
    <w:autoRedefine/>
    <w:rsid w:val="00440808"/>
    <w:pPr>
      <w:tabs>
        <w:tab w:val="left" w:pos="1260"/>
        <w:tab w:val="left" w:pos="1620"/>
      </w:tabs>
      <w:spacing w:before="120" w:after="240"/>
    </w:pPr>
    <w:rPr>
      <w:b/>
      <w:bCs/>
      <w:color w:val="000000"/>
      <w:sz w:val="24"/>
      <w:szCs w:val="28"/>
    </w:rPr>
  </w:style>
  <w:style w:type="paragraph" w:customStyle="1" w:styleId="FDPuce">
    <w:name w:val="FDPuce"/>
    <w:basedOn w:val="FDNormal"/>
    <w:rsid w:val="00440808"/>
    <w:pPr>
      <w:numPr>
        <w:numId w:val="11"/>
      </w:numPr>
      <w:tabs>
        <w:tab w:val="clear" w:pos="397"/>
      </w:tabs>
      <w:spacing w:before="60" w:after="60"/>
      <w:ind w:left="360" w:hanging="360"/>
    </w:pPr>
  </w:style>
  <w:style w:type="paragraph" w:customStyle="1" w:styleId="FDListeGlossaire">
    <w:name w:val="FDListeGlossaire"/>
    <w:basedOn w:val="FDNormal"/>
    <w:next w:val="FDNormal"/>
    <w:link w:val="FDListeGlossaireCar"/>
    <w:rsid w:val="00440808"/>
    <w:rPr>
      <w:b/>
      <w:bCs/>
    </w:rPr>
  </w:style>
  <w:style w:type="character" w:customStyle="1" w:styleId="FDListeGlossaireCar">
    <w:name w:val="FDListeGlossaire Car"/>
    <w:basedOn w:val="FDNormalCar"/>
    <w:link w:val="FDListeGlossaire"/>
    <w:rsid w:val="00440808"/>
    <w:rPr>
      <w:rFonts w:ascii="Verdana" w:eastAsia="Times New Roman" w:hAnsi="Verdana" w:cs="Verdana"/>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760</Words>
  <Characters>4335</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4</cp:revision>
  <cp:lastPrinted>2015-10-09T10:36:00Z</cp:lastPrinted>
  <dcterms:created xsi:type="dcterms:W3CDTF">2016-05-16T16:38:00Z</dcterms:created>
  <dcterms:modified xsi:type="dcterms:W3CDTF">2016-09-02T05:25:00Z</dcterms:modified>
</cp:coreProperties>
</file>