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bookmarkStart w:id="0" w:name="_GoBack"/>
    </w:p>
    <w:p w:rsidR="00575F36" w:rsidRPr="00A528EF" w:rsidRDefault="00A528EF"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lang w:val="fr-FR"/>
        </w:rPr>
      </w:pPr>
      <w:r w:rsidRPr="00A528EF">
        <w:rPr>
          <w:b/>
          <w:noProof/>
          <w:sz w:val="36"/>
          <w:lang w:val="fr-FR"/>
        </w:rPr>
        <w:t>Modalités de règlement-livraison en cas de retard (Fonds)</w:t>
      </w:r>
    </w:p>
    <w:p w:rsidR="001B1E38" w:rsidRPr="00A528EF" w:rsidRDefault="001B1E38" w:rsidP="006D6846">
      <w:pPr>
        <w:tabs>
          <w:tab w:val="left" w:pos="9356"/>
        </w:tabs>
        <w:ind w:right="-279"/>
        <w:rPr>
          <w:lang w:val="fr-FR"/>
        </w:rPr>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3D75CA" w:rsidP="00776CD9">
            <w:pPr>
              <w:tabs>
                <w:tab w:val="left" w:pos="9356"/>
              </w:tabs>
              <w:ind w:right="-279"/>
              <w:rPr>
                <w:lang w:val="fr-FR"/>
              </w:rPr>
            </w:pPr>
            <w:r>
              <w:rPr>
                <w:lang w:val="fr-FR"/>
              </w:rPr>
              <w:t>1</w:t>
            </w:r>
            <w:r w:rsidR="00140482">
              <w:rPr>
                <w:lang w:val="fr-FR"/>
              </w:rPr>
              <w:t>.</w:t>
            </w:r>
            <w:r w:rsidR="00776CD9">
              <w:rPr>
                <w:lang w:val="fr-FR"/>
              </w:rPr>
              <w:t>0</w:t>
            </w:r>
          </w:p>
        </w:tc>
      </w:tr>
      <w:tr w:rsidR="00A528EF" w:rsidRPr="00AA1FDB" w:rsidTr="0091257E">
        <w:tc>
          <w:tcPr>
            <w:tcW w:w="2093" w:type="dxa"/>
            <w:vMerge/>
            <w:shd w:val="clear" w:color="auto" w:fill="BFBFBF" w:themeFill="background1" w:themeFillShade="BF"/>
          </w:tcPr>
          <w:p w:rsidR="00A528EF" w:rsidRPr="004F6025" w:rsidRDefault="00A528EF" w:rsidP="006D6846">
            <w:pPr>
              <w:tabs>
                <w:tab w:val="left" w:pos="9356"/>
              </w:tabs>
              <w:ind w:right="-279"/>
              <w:rPr>
                <w:b/>
                <w:lang w:val="fr-FR"/>
              </w:rPr>
            </w:pPr>
          </w:p>
        </w:tc>
        <w:tc>
          <w:tcPr>
            <w:tcW w:w="2551" w:type="dxa"/>
            <w:shd w:val="clear" w:color="auto" w:fill="F2F2F2" w:themeFill="background1" w:themeFillShade="F2"/>
          </w:tcPr>
          <w:p w:rsidR="00A528EF" w:rsidRDefault="00A528EF" w:rsidP="000E651B">
            <w:pPr>
              <w:tabs>
                <w:tab w:val="left" w:pos="9356"/>
              </w:tabs>
              <w:ind w:right="-279"/>
              <w:rPr>
                <w:lang w:val="fr-FR"/>
              </w:rPr>
            </w:pPr>
            <w:r>
              <w:rPr>
                <w:lang w:val="fr-FR"/>
              </w:rPr>
              <w:t>Date de publication</w:t>
            </w:r>
          </w:p>
        </w:tc>
        <w:tc>
          <w:tcPr>
            <w:tcW w:w="4932" w:type="dxa"/>
          </w:tcPr>
          <w:p w:rsidR="00A528EF" w:rsidRDefault="00A528EF" w:rsidP="000E651B">
            <w:pPr>
              <w:tabs>
                <w:tab w:val="left" w:pos="9356"/>
              </w:tabs>
              <w:ind w:right="-279"/>
              <w:rPr>
                <w:lang w:val="fr-FR"/>
              </w:rPr>
            </w:pPr>
            <w:r>
              <w:rPr>
                <w:lang w:val="fr-FR"/>
              </w:rPr>
              <w:t>6 avril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A528EF" w:rsidRPr="004F6025" w:rsidRDefault="00A528EF" w:rsidP="00A528EF">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PRESENTATION DE LA PRATIQUE EXISTANTE &amp; description des Impacts</w:t>
      </w:r>
    </w:p>
    <w:p w:rsidR="0081511D" w:rsidRPr="00A528EF" w:rsidRDefault="0081511D" w:rsidP="00B26098">
      <w:pPr>
        <w:spacing w:after="0" w:line="240" w:lineRule="auto"/>
        <w:rPr>
          <w:rFonts w:eastAsia="MS Mincho" w:cs="Times New Roman"/>
          <w:noProof/>
          <w:szCs w:val="32"/>
          <w:lang w:val="fr-FR"/>
        </w:rPr>
      </w:pPr>
    </w:p>
    <w:tbl>
      <w:tblPr>
        <w:tblStyle w:val="TableGrid"/>
        <w:tblW w:w="9606" w:type="dxa"/>
        <w:tblLayout w:type="fixed"/>
        <w:tblLook w:val="04A0" w:firstRow="1" w:lastRow="0" w:firstColumn="1" w:lastColumn="0" w:noHBand="0" w:noVBand="1"/>
      </w:tblPr>
      <w:tblGrid>
        <w:gridCol w:w="2092"/>
        <w:gridCol w:w="7514"/>
      </w:tblGrid>
      <w:tr w:rsidR="007408E6" w:rsidRPr="0004205E" w:rsidTr="008360C5">
        <w:tc>
          <w:tcPr>
            <w:tcW w:w="2092" w:type="dxa"/>
            <w:tcBorders>
              <w:bottom w:val="single" w:sz="4" w:space="0" w:color="auto"/>
            </w:tcBorders>
            <w:shd w:val="clear" w:color="auto" w:fill="BFBFBF" w:themeFill="background1" w:themeFillShade="BF"/>
          </w:tcPr>
          <w:p w:rsidR="007408E6" w:rsidRPr="00A528EF" w:rsidRDefault="00A528EF" w:rsidP="000E651B">
            <w:pPr>
              <w:rPr>
                <w:rFonts w:eastAsia="MS Mincho" w:cs="Times New Roman"/>
                <w:b/>
                <w:noProof/>
                <w:szCs w:val="32"/>
                <w:lang w:val="fr-FR"/>
              </w:rPr>
            </w:pPr>
            <w:r w:rsidRPr="00A528EF">
              <w:rPr>
                <w:rFonts w:eastAsia="MS Mincho" w:cs="Times New Roman"/>
                <w:b/>
                <w:noProof/>
                <w:szCs w:val="32"/>
                <w:lang w:val="fr-FR"/>
              </w:rPr>
              <w:t>Description de la pratique existante</w:t>
            </w:r>
          </w:p>
        </w:tc>
        <w:tc>
          <w:tcPr>
            <w:tcW w:w="7514" w:type="dxa"/>
            <w:tcBorders>
              <w:bottom w:val="single" w:sz="4" w:space="0" w:color="auto"/>
            </w:tcBorders>
          </w:tcPr>
          <w:p w:rsidR="00A528EF" w:rsidRPr="00A528EF" w:rsidRDefault="00A528EF" w:rsidP="00A528EF">
            <w:pPr>
              <w:spacing w:before="120"/>
              <w:jc w:val="both"/>
              <w:rPr>
                <w:rFonts w:eastAsia="MS Mincho" w:cs="Times New Roman"/>
                <w:noProof/>
                <w:szCs w:val="32"/>
                <w:lang w:val="fr-FR"/>
              </w:rPr>
            </w:pPr>
            <w:r w:rsidRPr="00A528EF">
              <w:rPr>
                <w:rFonts w:eastAsia="MS Mincho" w:cs="Times New Roman"/>
                <w:noProof/>
                <w:szCs w:val="32"/>
                <w:lang w:val="fr-FR"/>
              </w:rPr>
              <w:t xml:space="preserve">Le marché français a mis en place une pratique concernant le règlement-livraison </w:t>
            </w:r>
            <w:r w:rsidR="001E5B97">
              <w:rPr>
                <w:rFonts w:eastAsia="MS Mincho" w:cs="Times New Roman"/>
                <w:noProof/>
                <w:szCs w:val="32"/>
                <w:lang w:val="fr-FR"/>
              </w:rPr>
              <w:t xml:space="preserve">(R/L) </w:t>
            </w:r>
            <w:r w:rsidRPr="00A528EF">
              <w:rPr>
                <w:rFonts w:eastAsia="MS Mincho" w:cs="Times New Roman"/>
                <w:noProof/>
                <w:szCs w:val="32"/>
                <w:lang w:val="fr-FR"/>
              </w:rPr>
              <w:t>des opérations sur fonds, dès lors que le centralisateur est dans l’incapacité de communiquer l’instruction de R</w:t>
            </w:r>
            <w:r w:rsidR="001E5B97">
              <w:rPr>
                <w:rFonts w:eastAsia="MS Mincho" w:cs="Times New Roman"/>
                <w:noProof/>
                <w:szCs w:val="32"/>
                <w:lang w:val="fr-FR"/>
              </w:rPr>
              <w:t>/</w:t>
            </w:r>
            <w:r w:rsidRPr="00A528EF">
              <w:rPr>
                <w:rFonts w:eastAsia="MS Mincho" w:cs="Times New Roman"/>
                <w:noProof/>
                <w:szCs w:val="32"/>
                <w:lang w:val="fr-FR"/>
              </w:rPr>
              <w:t>L dans les délais préalablement convenus.</w:t>
            </w:r>
          </w:p>
          <w:p w:rsidR="00A528EF" w:rsidRPr="00A528EF" w:rsidRDefault="00A528EF" w:rsidP="00A528EF">
            <w:pPr>
              <w:spacing w:before="120"/>
              <w:jc w:val="both"/>
              <w:rPr>
                <w:rFonts w:eastAsia="MS Mincho" w:cs="Times New Roman"/>
                <w:noProof/>
                <w:szCs w:val="32"/>
                <w:lang w:val="fr-FR"/>
              </w:rPr>
            </w:pPr>
            <w:r w:rsidRPr="00A528EF">
              <w:rPr>
                <w:rFonts w:eastAsia="MS Mincho" w:cs="Times New Roman"/>
                <w:noProof/>
                <w:szCs w:val="32"/>
                <w:lang w:val="fr-FR"/>
              </w:rPr>
              <w:t>En effet, même si la confirmation de réception de l’ordre transmise lors de la passation d’ordre (MT 509) mentionne une date théorique de R</w:t>
            </w:r>
            <w:r w:rsidR="001E5B97">
              <w:rPr>
                <w:rFonts w:eastAsia="MS Mincho" w:cs="Times New Roman"/>
                <w:noProof/>
                <w:szCs w:val="32"/>
                <w:lang w:val="fr-FR"/>
              </w:rPr>
              <w:t>/</w:t>
            </w:r>
            <w:r w:rsidRPr="00A528EF">
              <w:rPr>
                <w:rFonts w:eastAsia="MS Mincho" w:cs="Times New Roman"/>
                <w:noProof/>
                <w:szCs w:val="32"/>
                <w:lang w:val="fr-FR"/>
              </w:rPr>
              <w:t>L qui pourra être conservée et communiquée au client, l’avis d’exécution (MT515) ainsi que l’instruction de R</w:t>
            </w:r>
            <w:r w:rsidR="001E5B97">
              <w:rPr>
                <w:rFonts w:eastAsia="MS Mincho" w:cs="Times New Roman"/>
                <w:noProof/>
                <w:szCs w:val="32"/>
                <w:lang w:val="fr-FR"/>
              </w:rPr>
              <w:t>/</w:t>
            </w:r>
            <w:r w:rsidRPr="00A528EF">
              <w:rPr>
                <w:rFonts w:eastAsia="MS Mincho" w:cs="Times New Roman"/>
                <w:noProof/>
                <w:szCs w:val="32"/>
                <w:lang w:val="fr-FR"/>
              </w:rPr>
              <w:t>L transmise sur le marché pourront, elles, être modifiées, à l’initiative du centralisateur.</w:t>
            </w:r>
          </w:p>
          <w:p w:rsidR="00A528EF" w:rsidRPr="00A528EF" w:rsidRDefault="00A528EF" w:rsidP="00A528EF">
            <w:pPr>
              <w:spacing w:before="120"/>
              <w:jc w:val="both"/>
              <w:rPr>
                <w:rFonts w:eastAsia="MS Mincho" w:cs="Times New Roman"/>
                <w:noProof/>
                <w:szCs w:val="32"/>
                <w:lang w:val="fr-FR"/>
              </w:rPr>
            </w:pPr>
            <w:r w:rsidRPr="00A528EF">
              <w:rPr>
                <w:rFonts w:eastAsia="MS Mincho" w:cs="Times New Roman"/>
                <w:noProof/>
                <w:szCs w:val="32"/>
                <w:lang w:val="fr-FR"/>
              </w:rPr>
              <w:t>En cas de force majeure (par exemple non-réception de la VL dans les délais), il est recommandé de modifier la date de dénouement théorique préalablement convenue, et de la reporter au prochain jour ouvré suivant, qui sera défini par le centralisateur, selon résolution du fait générateur du retard.</w:t>
            </w:r>
          </w:p>
          <w:p w:rsidR="007408E6" w:rsidRPr="00A528EF" w:rsidRDefault="00A528EF" w:rsidP="008360C5">
            <w:pPr>
              <w:spacing w:before="120"/>
              <w:jc w:val="both"/>
              <w:rPr>
                <w:rFonts w:eastAsia="MS Mincho" w:cs="Times New Roman"/>
                <w:noProof/>
                <w:szCs w:val="32"/>
                <w:lang w:val="fr-FR"/>
              </w:rPr>
            </w:pPr>
            <w:r w:rsidRPr="00A528EF">
              <w:rPr>
                <w:rFonts w:eastAsia="MS Mincho" w:cs="Times New Roman"/>
                <w:noProof/>
                <w:szCs w:val="32"/>
                <w:lang w:val="fr-FR"/>
              </w:rPr>
              <w:t>Dans ce cas, des pénalités de retard pourront être versées par l’une ou l’autre des parties, en fonc</w:t>
            </w:r>
            <w:r>
              <w:rPr>
                <w:rFonts w:eastAsia="MS Mincho" w:cs="Times New Roman"/>
                <w:noProof/>
                <w:szCs w:val="32"/>
                <w:lang w:val="fr-FR"/>
              </w:rPr>
              <w:t xml:space="preserve">tion de leurs responsabilités. </w:t>
            </w:r>
          </w:p>
        </w:tc>
      </w:tr>
      <w:tr w:rsidR="00D103DA" w:rsidRPr="0004205E" w:rsidTr="008360C5">
        <w:tc>
          <w:tcPr>
            <w:tcW w:w="2092" w:type="dxa"/>
            <w:tcBorders>
              <w:left w:val="nil"/>
              <w:right w:val="nil"/>
            </w:tcBorders>
          </w:tcPr>
          <w:p w:rsidR="00EC776F" w:rsidRPr="00A528EF" w:rsidRDefault="00EC776F" w:rsidP="00B26098">
            <w:pPr>
              <w:rPr>
                <w:rFonts w:eastAsia="MS Mincho" w:cs="Times New Roman"/>
                <w:b/>
                <w:noProof/>
                <w:szCs w:val="32"/>
                <w:lang w:val="fr-FR"/>
              </w:rPr>
            </w:pPr>
          </w:p>
        </w:tc>
        <w:tc>
          <w:tcPr>
            <w:tcW w:w="7514" w:type="dxa"/>
            <w:tcBorders>
              <w:left w:val="nil"/>
              <w:right w:val="nil"/>
            </w:tcBorders>
          </w:tcPr>
          <w:p w:rsidR="00D103DA" w:rsidRPr="00A528EF" w:rsidRDefault="00D103DA" w:rsidP="00B26098">
            <w:pPr>
              <w:rPr>
                <w:rFonts w:eastAsia="MS Mincho" w:cs="Times New Roman"/>
                <w:noProof/>
                <w:szCs w:val="32"/>
                <w:lang w:val="fr-FR"/>
              </w:rPr>
            </w:pPr>
          </w:p>
        </w:tc>
      </w:tr>
      <w:tr w:rsidR="00A528EF" w:rsidRPr="0004205E" w:rsidTr="008360C5">
        <w:tc>
          <w:tcPr>
            <w:tcW w:w="2092" w:type="dxa"/>
            <w:tcBorders>
              <w:bottom w:val="single" w:sz="4" w:space="0" w:color="auto"/>
            </w:tcBorders>
            <w:shd w:val="clear" w:color="auto" w:fill="BFBFBF" w:themeFill="background1" w:themeFillShade="BF"/>
          </w:tcPr>
          <w:p w:rsidR="00A528EF" w:rsidRPr="00D103DA" w:rsidRDefault="00A528EF" w:rsidP="000E651B">
            <w:pPr>
              <w:rPr>
                <w:rFonts w:eastAsia="MS Mincho" w:cs="Times New Roman"/>
                <w:b/>
                <w:noProof/>
                <w:szCs w:val="32"/>
                <w:lang w:val="fr-FR"/>
              </w:rPr>
            </w:pPr>
            <w:r>
              <w:rPr>
                <w:rFonts w:eastAsia="MS Mincho" w:cs="Times New Roman"/>
                <w:b/>
                <w:noProof/>
                <w:szCs w:val="32"/>
                <w:lang w:val="fr-FR"/>
              </w:rPr>
              <w:t>Description de l’impact de T2S</w:t>
            </w:r>
          </w:p>
        </w:tc>
        <w:tc>
          <w:tcPr>
            <w:tcW w:w="7514" w:type="dxa"/>
            <w:tcBorders>
              <w:bottom w:val="single" w:sz="4" w:space="0" w:color="auto"/>
            </w:tcBorders>
          </w:tcPr>
          <w:p w:rsidR="00A528EF" w:rsidRPr="00113071" w:rsidRDefault="00A528EF" w:rsidP="00C06869">
            <w:pPr>
              <w:spacing w:before="120"/>
              <w:jc w:val="both"/>
              <w:rPr>
                <w:rFonts w:eastAsia="MS Mincho" w:cs="Times New Roman"/>
                <w:noProof/>
                <w:szCs w:val="32"/>
                <w:lang w:val="fr-FR"/>
              </w:rPr>
            </w:pPr>
            <w:r w:rsidRPr="008360C5">
              <w:rPr>
                <w:rFonts w:eastAsia="MS Mincho" w:cs="Times New Roman"/>
                <w:noProof/>
                <w:szCs w:val="32"/>
                <w:lang w:val="fr-FR"/>
              </w:rPr>
              <w:t>Le marché souhaite conserver cette pratique de Place (cf « Charte de bonnes pratiques ») utilisée aujourd’hui par l’ensemble du marché OPC français, afin d’éviter toute régression, et l’étendre aux opérations intra-CSD, en tant que routeur sur fonds étrangers, ou en tant que CTA ou LTA d’ordres en provenance d’une clientèle étrangère.</w:t>
            </w:r>
          </w:p>
        </w:tc>
      </w:tr>
      <w:tr w:rsidR="00A528EF" w:rsidRPr="0004205E" w:rsidTr="008360C5">
        <w:tc>
          <w:tcPr>
            <w:tcW w:w="2092" w:type="dxa"/>
            <w:tcBorders>
              <w:left w:val="nil"/>
              <w:right w:val="nil"/>
            </w:tcBorders>
            <w:shd w:val="clear" w:color="auto" w:fill="auto"/>
          </w:tcPr>
          <w:p w:rsidR="00A528EF" w:rsidRDefault="00A528EF" w:rsidP="000E651B">
            <w:pPr>
              <w:rPr>
                <w:rFonts w:eastAsia="MS Mincho" w:cs="Times New Roman"/>
                <w:b/>
                <w:noProof/>
                <w:szCs w:val="32"/>
                <w:lang w:val="fr-FR"/>
              </w:rPr>
            </w:pPr>
          </w:p>
        </w:tc>
        <w:tc>
          <w:tcPr>
            <w:tcW w:w="7514" w:type="dxa"/>
            <w:tcBorders>
              <w:left w:val="nil"/>
              <w:right w:val="nil"/>
            </w:tcBorders>
            <w:shd w:val="clear" w:color="auto" w:fill="auto"/>
          </w:tcPr>
          <w:p w:rsidR="00A528EF" w:rsidRPr="0081511D" w:rsidRDefault="00A528EF" w:rsidP="0081511D">
            <w:pPr>
              <w:rPr>
                <w:rFonts w:eastAsia="MS Mincho" w:cs="Times New Roman"/>
                <w:b/>
                <w:noProof/>
                <w:szCs w:val="32"/>
                <w:lang w:val="fr-FR"/>
              </w:rPr>
            </w:pPr>
          </w:p>
        </w:tc>
      </w:tr>
      <w:tr w:rsidR="00A528EF" w:rsidRPr="0004205E" w:rsidTr="008360C5">
        <w:tc>
          <w:tcPr>
            <w:tcW w:w="2092" w:type="dxa"/>
            <w:shd w:val="clear" w:color="auto" w:fill="BFBFBF" w:themeFill="background1" w:themeFillShade="BF"/>
          </w:tcPr>
          <w:p w:rsidR="00A528EF" w:rsidRDefault="00A528EF" w:rsidP="000E651B">
            <w:pPr>
              <w:rPr>
                <w:rFonts w:eastAsia="MS Mincho" w:cs="Times New Roman"/>
                <w:b/>
                <w:noProof/>
                <w:szCs w:val="32"/>
                <w:lang w:val="fr-FR"/>
              </w:rPr>
            </w:pPr>
            <w:r>
              <w:rPr>
                <w:rFonts w:eastAsia="MS Mincho" w:cs="Times New Roman"/>
                <w:b/>
                <w:noProof/>
                <w:szCs w:val="32"/>
                <w:lang w:val="fr-FR"/>
              </w:rPr>
              <w:t>Description de la problématique majeure</w:t>
            </w:r>
          </w:p>
        </w:tc>
        <w:tc>
          <w:tcPr>
            <w:tcW w:w="7514" w:type="dxa"/>
          </w:tcPr>
          <w:p w:rsidR="00A528EF" w:rsidRPr="00113071" w:rsidRDefault="00A528EF" w:rsidP="003D75CA">
            <w:pPr>
              <w:spacing w:before="120"/>
              <w:jc w:val="both"/>
              <w:rPr>
                <w:rFonts w:eastAsia="MS Mincho" w:cs="Times New Roman"/>
                <w:noProof/>
                <w:szCs w:val="32"/>
                <w:lang w:val="fr-FR"/>
              </w:rPr>
            </w:pPr>
            <w:r w:rsidRPr="008360C5">
              <w:rPr>
                <w:rFonts w:eastAsia="MS Mincho" w:cs="Times New Roman"/>
                <w:noProof/>
                <w:szCs w:val="32"/>
                <w:lang w:val="fr-FR"/>
              </w:rPr>
              <w:t>Cette pratique permet d’éviter toute régression, et le paiement de pénalités de règlement-livraison inappropriées, appliquées par le CSD.</w:t>
            </w:r>
          </w:p>
        </w:tc>
      </w:tr>
      <w:tr w:rsidR="00A528EF" w:rsidRPr="0004205E" w:rsidTr="008360C5">
        <w:tc>
          <w:tcPr>
            <w:tcW w:w="2092" w:type="dxa"/>
            <w:tcBorders>
              <w:left w:val="nil"/>
              <w:right w:val="nil"/>
            </w:tcBorders>
            <w:shd w:val="clear" w:color="auto" w:fill="auto"/>
          </w:tcPr>
          <w:p w:rsidR="00A528EF" w:rsidRDefault="00A528EF" w:rsidP="000E651B">
            <w:pPr>
              <w:rPr>
                <w:rFonts w:eastAsia="MS Mincho" w:cs="Times New Roman"/>
                <w:b/>
                <w:noProof/>
                <w:szCs w:val="32"/>
                <w:lang w:val="fr-FR"/>
              </w:rPr>
            </w:pPr>
          </w:p>
        </w:tc>
        <w:tc>
          <w:tcPr>
            <w:tcW w:w="7514" w:type="dxa"/>
            <w:tcBorders>
              <w:left w:val="nil"/>
              <w:right w:val="nil"/>
            </w:tcBorders>
            <w:shd w:val="clear" w:color="auto" w:fill="auto"/>
          </w:tcPr>
          <w:p w:rsidR="00A528EF" w:rsidRPr="0081511D" w:rsidRDefault="00A528EF" w:rsidP="006542ED">
            <w:pPr>
              <w:rPr>
                <w:rFonts w:eastAsia="MS Mincho" w:cs="Times New Roman"/>
                <w:b/>
                <w:noProof/>
                <w:szCs w:val="32"/>
                <w:lang w:val="fr-FR"/>
              </w:rPr>
            </w:pPr>
          </w:p>
        </w:tc>
      </w:tr>
      <w:tr w:rsidR="00A528EF" w:rsidRPr="0081511D" w:rsidTr="008360C5">
        <w:tc>
          <w:tcPr>
            <w:tcW w:w="2092" w:type="dxa"/>
            <w:shd w:val="clear" w:color="auto" w:fill="BFBFBF" w:themeFill="background1" w:themeFillShade="BF"/>
          </w:tcPr>
          <w:p w:rsidR="00A528EF" w:rsidRDefault="00A528EF" w:rsidP="000E651B">
            <w:pPr>
              <w:rPr>
                <w:rFonts w:eastAsia="MS Mincho" w:cs="Times New Roman"/>
                <w:b/>
                <w:noProof/>
                <w:szCs w:val="32"/>
                <w:lang w:val="fr-FR"/>
              </w:rPr>
            </w:pPr>
            <w:r>
              <w:rPr>
                <w:rFonts w:eastAsia="MS Mincho" w:cs="Times New Roman"/>
                <w:b/>
                <w:noProof/>
                <w:szCs w:val="32"/>
                <w:lang w:val="fr-FR"/>
              </w:rPr>
              <w:t xml:space="preserve">Description des rôles de toutes les </w:t>
            </w:r>
            <w:r>
              <w:rPr>
                <w:rFonts w:eastAsia="MS Mincho" w:cs="Times New Roman"/>
                <w:b/>
                <w:noProof/>
                <w:szCs w:val="32"/>
                <w:lang w:val="fr-FR"/>
              </w:rPr>
              <w:lastRenderedPageBreak/>
              <w:t xml:space="preserve">parties prenantes </w:t>
            </w:r>
          </w:p>
          <w:p w:rsidR="00A528EF" w:rsidRPr="00D103DA" w:rsidRDefault="00A528EF" w:rsidP="000E651B">
            <w:pPr>
              <w:rPr>
                <w:rFonts w:eastAsia="MS Mincho" w:cs="Times New Roman"/>
                <w:b/>
                <w:noProof/>
                <w:szCs w:val="32"/>
                <w:lang w:val="fr-FR"/>
              </w:rPr>
            </w:pPr>
            <w:r>
              <w:rPr>
                <w:rFonts w:eastAsia="MS Mincho" w:cs="Times New Roman"/>
                <w:b/>
                <w:noProof/>
                <w:szCs w:val="32"/>
                <w:lang w:val="fr-FR"/>
              </w:rPr>
              <w:t>(FACULTATIF)</w:t>
            </w:r>
          </w:p>
        </w:tc>
        <w:tc>
          <w:tcPr>
            <w:tcW w:w="7514" w:type="dxa"/>
          </w:tcPr>
          <w:p w:rsidR="00A528EF" w:rsidRDefault="00A528EF" w:rsidP="006542ED">
            <w:pPr>
              <w:rPr>
                <w:rFonts w:eastAsia="MS Mincho" w:cs="Times New Roman"/>
                <w:noProof/>
                <w:szCs w:val="32"/>
                <w:lang w:val="fr-FR"/>
              </w:rPr>
            </w:pPr>
          </w:p>
          <w:p w:rsidR="00A528EF" w:rsidRDefault="00A528EF" w:rsidP="006542ED">
            <w:pPr>
              <w:rPr>
                <w:rFonts w:eastAsia="MS Mincho" w:cs="Times New Roman"/>
                <w:noProof/>
                <w:szCs w:val="32"/>
                <w:lang w:val="fr-FR"/>
              </w:rPr>
            </w:pPr>
          </w:p>
          <w:p w:rsidR="00A528EF" w:rsidRDefault="00A528EF" w:rsidP="006542ED">
            <w:pPr>
              <w:rPr>
                <w:rFonts w:eastAsia="MS Mincho" w:cs="Times New Roman"/>
                <w:noProof/>
                <w:szCs w:val="32"/>
                <w:lang w:val="fr-FR"/>
              </w:rPr>
            </w:pPr>
          </w:p>
        </w:tc>
      </w:tr>
      <w:tr w:rsidR="00A528EF" w:rsidRPr="0081511D" w:rsidTr="008360C5">
        <w:tc>
          <w:tcPr>
            <w:tcW w:w="2092" w:type="dxa"/>
            <w:tcBorders>
              <w:left w:val="nil"/>
              <w:right w:val="nil"/>
            </w:tcBorders>
            <w:shd w:val="clear" w:color="auto" w:fill="auto"/>
          </w:tcPr>
          <w:p w:rsidR="00A528EF" w:rsidRDefault="00A528EF" w:rsidP="000E651B">
            <w:pPr>
              <w:rPr>
                <w:rFonts w:eastAsia="MS Mincho" w:cs="Times New Roman"/>
                <w:b/>
                <w:noProof/>
                <w:szCs w:val="32"/>
                <w:lang w:val="fr-FR"/>
              </w:rPr>
            </w:pPr>
          </w:p>
        </w:tc>
        <w:tc>
          <w:tcPr>
            <w:tcW w:w="7514" w:type="dxa"/>
            <w:tcBorders>
              <w:left w:val="nil"/>
              <w:right w:val="nil"/>
            </w:tcBorders>
            <w:shd w:val="clear" w:color="auto" w:fill="auto"/>
          </w:tcPr>
          <w:p w:rsidR="00A528EF" w:rsidRPr="0081511D" w:rsidRDefault="00A528EF" w:rsidP="006542ED">
            <w:pPr>
              <w:rPr>
                <w:rFonts w:eastAsia="MS Mincho" w:cs="Times New Roman"/>
                <w:b/>
                <w:noProof/>
                <w:szCs w:val="32"/>
                <w:lang w:val="fr-FR"/>
              </w:rPr>
            </w:pPr>
          </w:p>
        </w:tc>
      </w:tr>
      <w:tr w:rsidR="00A528EF" w:rsidRPr="0081511D" w:rsidTr="008360C5">
        <w:tc>
          <w:tcPr>
            <w:tcW w:w="2092" w:type="dxa"/>
            <w:shd w:val="clear" w:color="auto" w:fill="BFBFBF" w:themeFill="background1" w:themeFillShade="BF"/>
          </w:tcPr>
          <w:p w:rsidR="00A528EF" w:rsidRDefault="00A528EF" w:rsidP="000E651B">
            <w:pPr>
              <w:rPr>
                <w:rFonts w:eastAsia="MS Mincho" w:cs="Times New Roman"/>
                <w:b/>
                <w:noProof/>
                <w:szCs w:val="32"/>
                <w:lang w:val="fr-FR"/>
              </w:rPr>
            </w:pPr>
            <w:r>
              <w:rPr>
                <w:rFonts w:eastAsia="MS Mincho" w:cs="Times New Roman"/>
                <w:b/>
                <w:noProof/>
                <w:szCs w:val="32"/>
                <w:lang w:val="fr-FR"/>
              </w:rPr>
              <w:t>Schéma des flux</w:t>
            </w:r>
          </w:p>
          <w:p w:rsidR="00A528EF" w:rsidRDefault="00A528EF" w:rsidP="000E651B">
            <w:pPr>
              <w:rPr>
                <w:rFonts w:eastAsia="MS Mincho" w:cs="Times New Roman"/>
                <w:b/>
                <w:noProof/>
                <w:szCs w:val="32"/>
                <w:lang w:val="fr-FR"/>
              </w:rPr>
            </w:pPr>
            <w:r>
              <w:rPr>
                <w:rFonts w:eastAsia="MS Mincho" w:cs="Times New Roman"/>
                <w:b/>
                <w:noProof/>
                <w:szCs w:val="32"/>
                <w:lang w:val="fr-FR"/>
              </w:rPr>
              <w:t>(FACULTATIF)</w:t>
            </w:r>
          </w:p>
        </w:tc>
        <w:tc>
          <w:tcPr>
            <w:tcW w:w="7514" w:type="dxa"/>
          </w:tcPr>
          <w:p w:rsidR="00A528EF" w:rsidRPr="00FD2FD6" w:rsidRDefault="00A528EF" w:rsidP="0081511D">
            <w:pPr>
              <w:rPr>
                <w:rFonts w:eastAsia="MS Mincho" w:cs="Times New Roman"/>
                <w:noProof/>
                <w:szCs w:val="32"/>
                <w:lang w:val="fr-FR"/>
              </w:rPr>
            </w:pPr>
          </w:p>
        </w:tc>
      </w:tr>
      <w:tr w:rsidR="00A528EF" w:rsidRPr="0081511D" w:rsidTr="008360C5">
        <w:tc>
          <w:tcPr>
            <w:tcW w:w="2092" w:type="dxa"/>
            <w:tcBorders>
              <w:left w:val="nil"/>
              <w:right w:val="nil"/>
            </w:tcBorders>
            <w:shd w:val="clear" w:color="auto" w:fill="auto"/>
          </w:tcPr>
          <w:p w:rsidR="00A528EF" w:rsidRDefault="00A528EF" w:rsidP="000E651B">
            <w:pPr>
              <w:rPr>
                <w:rFonts w:eastAsia="MS Mincho" w:cs="Times New Roman"/>
                <w:b/>
                <w:noProof/>
                <w:szCs w:val="32"/>
                <w:lang w:val="fr-FR"/>
              </w:rPr>
            </w:pPr>
          </w:p>
        </w:tc>
        <w:tc>
          <w:tcPr>
            <w:tcW w:w="7514" w:type="dxa"/>
            <w:tcBorders>
              <w:left w:val="nil"/>
              <w:right w:val="nil"/>
            </w:tcBorders>
            <w:shd w:val="clear" w:color="auto" w:fill="auto"/>
          </w:tcPr>
          <w:p w:rsidR="00A528EF" w:rsidRPr="0081511D" w:rsidRDefault="00A528EF" w:rsidP="006542ED">
            <w:pPr>
              <w:rPr>
                <w:rFonts w:eastAsia="MS Mincho" w:cs="Times New Roman"/>
                <w:b/>
                <w:noProof/>
                <w:szCs w:val="32"/>
                <w:lang w:val="fr-FR"/>
              </w:rPr>
            </w:pPr>
          </w:p>
        </w:tc>
      </w:tr>
      <w:tr w:rsidR="00A528EF" w:rsidRPr="008360C5" w:rsidTr="008360C5">
        <w:tc>
          <w:tcPr>
            <w:tcW w:w="2092" w:type="dxa"/>
            <w:tcBorders>
              <w:bottom w:val="single" w:sz="4" w:space="0" w:color="auto"/>
            </w:tcBorders>
            <w:shd w:val="clear" w:color="auto" w:fill="BFBFBF" w:themeFill="background1" w:themeFillShade="BF"/>
          </w:tcPr>
          <w:p w:rsidR="00A528EF" w:rsidRDefault="00A528EF" w:rsidP="000E651B">
            <w:pPr>
              <w:rPr>
                <w:rFonts w:eastAsia="MS Mincho" w:cs="Times New Roman"/>
                <w:b/>
                <w:noProof/>
                <w:szCs w:val="32"/>
                <w:lang w:val="fr-FR"/>
              </w:rPr>
            </w:pPr>
            <w:r>
              <w:rPr>
                <w:rFonts w:eastAsia="MS Mincho" w:cs="Times New Roman"/>
                <w:b/>
                <w:noProof/>
                <w:szCs w:val="32"/>
                <w:lang w:val="fr-FR"/>
              </w:rPr>
              <w:t>Liens avec d’autres pratiques</w:t>
            </w:r>
          </w:p>
        </w:tc>
        <w:tc>
          <w:tcPr>
            <w:tcW w:w="7514" w:type="dxa"/>
            <w:tcBorders>
              <w:bottom w:val="single" w:sz="4" w:space="0" w:color="auto"/>
            </w:tcBorders>
          </w:tcPr>
          <w:p w:rsidR="00A528EF" w:rsidRPr="007408E6" w:rsidRDefault="00A528EF" w:rsidP="003D75CA">
            <w:pPr>
              <w:jc w:val="both"/>
              <w:rPr>
                <w:rFonts w:eastAsia="MS Mincho" w:cs="Times New Roman"/>
                <w:noProof/>
                <w:szCs w:val="32"/>
              </w:rPr>
            </w:pPr>
          </w:p>
        </w:tc>
      </w:tr>
    </w:tbl>
    <w:p w:rsidR="001E0D83" w:rsidRPr="00A528EF" w:rsidRDefault="001E0D83" w:rsidP="00D103DA">
      <w:pPr>
        <w:spacing w:after="0" w:line="240" w:lineRule="auto"/>
        <w:rPr>
          <w:rFonts w:eastAsia="MS Mincho" w:cs="Times New Roman"/>
          <w:noProof/>
          <w:szCs w:val="32"/>
          <w:lang w:val="fr-FR"/>
        </w:rPr>
      </w:pPr>
    </w:p>
    <w:p w:rsidR="0081511D" w:rsidRPr="00A528EF" w:rsidRDefault="0081511D" w:rsidP="00D103DA">
      <w:pPr>
        <w:spacing w:after="0" w:line="240" w:lineRule="auto"/>
        <w:rPr>
          <w:rFonts w:eastAsia="MS Mincho" w:cs="Times New Roman"/>
          <w:noProof/>
          <w:szCs w:val="32"/>
          <w:lang w:val="fr-FR"/>
        </w:rPr>
      </w:pPr>
    </w:p>
    <w:p w:rsidR="00A528EF" w:rsidRPr="004F6025" w:rsidRDefault="00A528EF" w:rsidP="00A528EF">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proposition de pratique de marché</w:t>
      </w:r>
    </w:p>
    <w:p w:rsidR="0081511D" w:rsidRDefault="0081511D" w:rsidP="00D103DA">
      <w:pPr>
        <w:spacing w:after="0" w:line="240" w:lineRule="auto"/>
        <w:rPr>
          <w:rFonts w:eastAsia="MS Mincho" w:cs="Times New Roman"/>
          <w:noProof/>
          <w:szCs w:val="32"/>
          <w:lang w:val="fr-FR"/>
        </w:rPr>
      </w:pPr>
    </w:p>
    <w:tbl>
      <w:tblPr>
        <w:tblStyle w:val="TableGrid"/>
        <w:tblW w:w="9605" w:type="dxa"/>
        <w:tblLook w:val="04A0" w:firstRow="1" w:lastRow="0" w:firstColumn="1" w:lastColumn="0" w:noHBand="0" w:noVBand="1"/>
      </w:tblPr>
      <w:tblGrid>
        <w:gridCol w:w="2092"/>
        <w:gridCol w:w="7513"/>
      </w:tblGrid>
      <w:tr w:rsidR="007408E6" w:rsidRPr="007408E6" w:rsidTr="008360C5">
        <w:tc>
          <w:tcPr>
            <w:tcW w:w="2092" w:type="dxa"/>
            <w:shd w:val="clear" w:color="auto" w:fill="BFBFBF" w:themeFill="background1" w:themeFillShade="BF"/>
          </w:tcPr>
          <w:p w:rsidR="007408E6" w:rsidRPr="00D103DA" w:rsidRDefault="00A528EF" w:rsidP="000E651B">
            <w:pPr>
              <w:rPr>
                <w:rFonts w:eastAsia="MS Mincho" w:cs="Times New Roman"/>
                <w:b/>
                <w:noProof/>
                <w:szCs w:val="32"/>
                <w:lang w:val="fr-FR"/>
              </w:rPr>
            </w:pPr>
            <w:r>
              <w:rPr>
                <w:rFonts w:eastAsia="MS Mincho" w:cs="Times New Roman"/>
                <w:b/>
                <w:noProof/>
                <w:szCs w:val="32"/>
                <w:lang w:val="fr-FR"/>
              </w:rPr>
              <w:t>Pratique recommandée</w:t>
            </w:r>
          </w:p>
        </w:tc>
        <w:tc>
          <w:tcPr>
            <w:tcW w:w="7513" w:type="dxa"/>
          </w:tcPr>
          <w:p w:rsidR="007408E6" w:rsidRDefault="007408E6" w:rsidP="003D75CA">
            <w:pPr>
              <w:jc w:val="both"/>
              <w:rPr>
                <w:rFonts w:eastAsia="MS Mincho" w:cs="Times New Roman"/>
                <w:noProof/>
                <w:szCs w:val="32"/>
                <w:lang w:val="fr-FR"/>
              </w:rPr>
            </w:pPr>
            <w:r>
              <w:rPr>
                <w:rFonts w:eastAsia="MS Mincho" w:cs="Times New Roman"/>
                <w:noProof/>
                <w:szCs w:val="32"/>
                <w:lang w:val="fr-FR"/>
              </w:rPr>
              <w:t>Maintien de la pratique existante</w:t>
            </w:r>
          </w:p>
          <w:p w:rsidR="007408E6" w:rsidRPr="00C06869" w:rsidRDefault="007408E6" w:rsidP="00C06869">
            <w:pPr>
              <w:spacing w:before="120"/>
              <w:jc w:val="both"/>
              <w:rPr>
                <w:rFonts w:eastAsia="MS Mincho" w:cs="Times New Roman"/>
                <w:noProof/>
                <w:szCs w:val="32"/>
                <w:lang w:val="fr-FR"/>
              </w:rPr>
            </w:pPr>
          </w:p>
        </w:tc>
      </w:tr>
      <w:tr w:rsidR="00A528EF" w:rsidRPr="0004205E" w:rsidTr="008360C5">
        <w:tc>
          <w:tcPr>
            <w:tcW w:w="2092" w:type="dxa"/>
            <w:shd w:val="clear" w:color="auto" w:fill="BFBFBF" w:themeFill="background1" w:themeFillShade="BF"/>
          </w:tcPr>
          <w:p w:rsidR="00A528EF" w:rsidRDefault="00A528EF" w:rsidP="000E651B">
            <w:pPr>
              <w:rPr>
                <w:rFonts w:eastAsia="MS Mincho" w:cs="Times New Roman"/>
                <w:b/>
                <w:noProof/>
                <w:szCs w:val="32"/>
                <w:lang w:val="fr-FR"/>
              </w:rPr>
            </w:pPr>
            <w:r>
              <w:rPr>
                <w:rFonts w:eastAsia="MS Mincho" w:cs="Times New Roman"/>
                <w:b/>
                <w:noProof/>
                <w:szCs w:val="32"/>
                <w:lang w:val="fr-FR"/>
              </w:rPr>
              <w:t>Raisons du choix</w:t>
            </w:r>
          </w:p>
        </w:tc>
        <w:tc>
          <w:tcPr>
            <w:tcW w:w="7513" w:type="dxa"/>
          </w:tcPr>
          <w:p w:rsidR="00A528EF" w:rsidRDefault="00A528EF" w:rsidP="003D75CA">
            <w:pPr>
              <w:spacing w:before="120"/>
              <w:jc w:val="both"/>
              <w:rPr>
                <w:rFonts w:eastAsia="MS Mincho" w:cs="Times New Roman"/>
                <w:noProof/>
                <w:szCs w:val="32"/>
                <w:lang w:val="fr-FR"/>
              </w:rPr>
            </w:pPr>
            <w:r w:rsidRPr="008360C5">
              <w:rPr>
                <w:rFonts w:eastAsia="MS Mincho" w:cs="Times New Roman"/>
                <w:noProof/>
                <w:szCs w:val="32"/>
                <w:lang w:val="fr-FR"/>
              </w:rPr>
              <w:t>Eviter les régressions et conserver la pratique de Place déjà existante et l’étendre aux opérations intra-CSD, en tant que routeur sur fonds étrangers, ou en tant que CTA ou LTA d’ordres en provenance d’une clientèle étrangère.</w:t>
            </w:r>
          </w:p>
        </w:tc>
      </w:tr>
      <w:tr w:rsidR="00A528EF" w:rsidRPr="0004205E" w:rsidTr="008360C5">
        <w:tc>
          <w:tcPr>
            <w:tcW w:w="2092" w:type="dxa"/>
            <w:tcBorders>
              <w:left w:val="nil"/>
              <w:right w:val="nil"/>
            </w:tcBorders>
            <w:shd w:val="clear" w:color="auto" w:fill="auto"/>
          </w:tcPr>
          <w:p w:rsidR="00A528EF" w:rsidRDefault="00A528EF" w:rsidP="000E651B">
            <w:pPr>
              <w:rPr>
                <w:rFonts w:eastAsia="MS Mincho" w:cs="Times New Roman"/>
                <w:b/>
                <w:noProof/>
                <w:szCs w:val="32"/>
                <w:lang w:val="fr-FR"/>
              </w:rPr>
            </w:pPr>
          </w:p>
        </w:tc>
        <w:tc>
          <w:tcPr>
            <w:tcW w:w="7513" w:type="dxa"/>
            <w:tcBorders>
              <w:left w:val="nil"/>
              <w:right w:val="nil"/>
            </w:tcBorders>
            <w:shd w:val="clear" w:color="auto" w:fill="auto"/>
          </w:tcPr>
          <w:p w:rsidR="00A528EF" w:rsidRPr="0081511D" w:rsidRDefault="00A528EF" w:rsidP="006542ED">
            <w:pPr>
              <w:rPr>
                <w:rFonts w:eastAsia="MS Mincho" w:cs="Times New Roman"/>
                <w:b/>
                <w:noProof/>
                <w:szCs w:val="32"/>
                <w:lang w:val="fr-FR"/>
              </w:rPr>
            </w:pPr>
          </w:p>
        </w:tc>
      </w:tr>
      <w:tr w:rsidR="00A528EF" w:rsidTr="008360C5">
        <w:tc>
          <w:tcPr>
            <w:tcW w:w="2092" w:type="dxa"/>
            <w:tcBorders>
              <w:bottom w:val="single" w:sz="4" w:space="0" w:color="auto"/>
            </w:tcBorders>
            <w:shd w:val="clear" w:color="auto" w:fill="BFBFBF" w:themeFill="background1" w:themeFillShade="BF"/>
          </w:tcPr>
          <w:p w:rsidR="00A528EF" w:rsidRDefault="00A528EF" w:rsidP="000E651B">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A528EF" w:rsidRPr="00D103DA" w:rsidRDefault="00A528EF" w:rsidP="000E651B">
            <w:pPr>
              <w:rPr>
                <w:rFonts w:eastAsia="MS Mincho" w:cs="Times New Roman"/>
                <w:b/>
                <w:noProof/>
                <w:szCs w:val="32"/>
                <w:lang w:val="fr-FR"/>
              </w:rPr>
            </w:pPr>
            <w:r>
              <w:rPr>
                <w:rFonts w:eastAsia="MS Mincho" w:cs="Times New Roman"/>
                <w:b/>
                <w:noProof/>
                <w:szCs w:val="32"/>
                <w:lang w:val="fr-FR"/>
              </w:rPr>
              <w:t>(FACULTATIF)</w:t>
            </w:r>
          </w:p>
        </w:tc>
        <w:tc>
          <w:tcPr>
            <w:tcW w:w="7513" w:type="dxa"/>
            <w:tcBorders>
              <w:bottom w:val="single" w:sz="4" w:space="0" w:color="auto"/>
            </w:tcBorders>
          </w:tcPr>
          <w:p w:rsidR="00A528EF" w:rsidRDefault="00A528EF" w:rsidP="006542ED">
            <w:pPr>
              <w:rPr>
                <w:rFonts w:eastAsia="MS Mincho" w:cs="Times New Roman"/>
                <w:noProof/>
                <w:szCs w:val="32"/>
                <w:lang w:val="fr-FR"/>
              </w:rPr>
            </w:pPr>
          </w:p>
          <w:p w:rsidR="00A528EF" w:rsidRDefault="00A528EF" w:rsidP="006542ED">
            <w:pPr>
              <w:rPr>
                <w:rFonts w:eastAsia="MS Mincho" w:cs="Times New Roman"/>
                <w:noProof/>
                <w:szCs w:val="32"/>
                <w:lang w:val="fr-FR"/>
              </w:rPr>
            </w:pPr>
          </w:p>
          <w:p w:rsidR="00A528EF" w:rsidRDefault="00A528EF" w:rsidP="006542ED">
            <w:pPr>
              <w:rPr>
                <w:rFonts w:eastAsia="MS Mincho" w:cs="Times New Roman"/>
                <w:noProof/>
                <w:szCs w:val="32"/>
                <w:lang w:val="fr-FR"/>
              </w:rPr>
            </w:pPr>
          </w:p>
          <w:p w:rsidR="00A528EF" w:rsidRDefault="00A528EF" w:rsidP="006542ED">
            <w:pPr>
              <w:rPr>
                <w:rFonts w:eastAsia="MS Mincho" w:cs="Times New Roman"/>
                <w:noProof/>
                <w:szCs w:val="32"/>
                <w:lang w:val="fr-FR"/>
              </w:rPr>
            </w:pPr>
          </w:p>
        </w:tc>
      </w:tr>
      <w:tr w:rsidR="00A528EF" w:rsidTr="008360C5">
        <w:tc>
          <w:tcPr>
            <w:tcW w:w="2092" w:type="dxa"/>
            <w:tcBorders>
              <w:left w:val="nil"/>
              <w:right w:val="nil"/>
            </w:tcBorders>
            <w:shd w:val="clear" w:color="auto" w:fill="FFFFFF" w:themeFill="background1"/>
          </w:tcPr>
          <w:p w:rsidR="00A528EF" w:rsidRDefault="00A528EF" w:rsidP="000E651B">
            <w:pPr>
              <w:rPr>
                <w:rFonts w:eastAsia="MS Mincho" w:cs="Times New Roman"/>
                <w:b/>
                <w:noProof/>
                <w:szCs w:val="32"/>
                <w:lang w:val="fr-FR"/>
              </w:rPr>
            </w:pPr>
          </w:p>
        </w:tc>
        <w:tc>
          <w:tcPr>
            <w:tcW w:w="7513" w:type="dxa"/>
            <w:tcBorders>
              <w:left w:val="nil"/>
              <w:bottom w:val="single" w:sz="4" w:space="0" w:color="auto"/>
              <w:right w:val="nil"/>
            </w:tcBorders>
            <w:shd w:val="clear" w:color="auto" w:fill="FFFFFF" w:themeFill="background1"/>
          </w:tcPr>
          <w:p w:rsidR="00A528EF" w:rsidRDefault="00A528EF" w:rsidP="006542ED">
            <w:pPr>
              <w:rPr>
                <w:rFonts w:eastAsia="MS Mincho" w:cs="Times New Roman"/>
                <w:noProof/>
                <w:szCs w:val="32"/>
                <w:lang w:val="fr-FR"/>
              </w:rPr>
            </w:pPr>
          </w:p>
        </w:tc>
      </w:tr>
      <w:tr w:rsidR="00A528EF" w:rsidTr="008360C5">
        <w:tc>
          <w:tcPr>
            <w:tcW w:w="2092" w:type="dxa"/>
            <w:shd w:val="clear" w:color="auto" w:fill="BFBFBF" w:themeFill="background1" w:themeFillShade="BF"/>
          </w:tcPr>
          <w:p w:rsidR="00A528EF" w:rsidRDefault="00A528EF" w:rsidP="000E651B">
            <w:pPr>
              <w:rPr>
                <w:rFonts w:eastAsia="MS Mincho" w:cs="Times New Roman"/>
                <w:b/>
                <w:noProof/>
                <w:szCs w:val="32"/>
                <w:lang w:val="fr-FR"/>
              </w:rPr>
            </w:pPr>
            <w:r>
              <w:rPr>
                <w:rFonts w:eastAsia="MS Mincho" w:cs="Times New Roman"/>
                <w:b/>
                <w:noProof/>
                <w:szCs w:val="32"/>
                <w:lang w:val="fr-FR"/>
              </w:rPr>
              <w:t>Schéma des flux</w:t>
            </w:r>
          </w:p>
          <w:p w:rsidR="00A528EF" w:rsidRDefault="00A528EF" w:rsidP="000E651B">
            <w:pPr>
              <w:rPr>
                <w:rFonts w:eastAsia="MS Mincho" w:cs="Times New Roman"/>
                <w:b/>
                <w:noProof/>
                <w:szCs w:val="32"/>
                <w:lang w:val="fr-FR"/>
              </w:rPr>
            </w:pPr>
            <w:r>
              <w:rPr>
                <w:rFonts w:eastAsia="MS Mincho" w:cs="Times New Roman"/>
                <w:b/>
                <w:noProof/>
                <w:szCs w:val="32"/>
                <w:lang w:val="fr-FR"/>
              </w:rPr>
              <w:t>(FACULTATIF)</w:t>
            </w:r>
          </w:p>
        </w:tc>
        <w:tc>
          <w:tcPr>
            <w:tcW w:w="7513" w:type="dxa"/>
            <w:tcBorders>
              <w:bottom w:val="single" w:sz="4" w:space="0" w:color="auto"/>
            </w:tcBorders>
          </w:tcPr>
          <w:p w:rsidR="00A528EF" w:rsidRDefault="00A528EF" w:rsidP="006542ED">
            <w:pPr>
              <w:rPr>
                <w:rFonts w:eastAsia="MS Mincho" w:cs="Times New Roman"/>
                <w:noProof/>
                <w:szCs w:val="32"/>
                <w:lang w:val="fr-FR"/>
              </w:rPr>
            </w:pPr>
          </w:p>
          <w:p w:rsidR="00A528EF" w:rsidRDefault="00A528EF" w:rsidP="006542ED">
            <w:pPr>
              <w:rPr>
                <w:rFonts w:eastAsia="MS Mincho" w:cs="Times New Roman"/>
                <w:noProof/>
                <w:szCs w:val="32"/>
                <w:lang w:val="fr-FR"/>
              </w:rPr>
            </w:pPr>
          </w:p>
        </w:tc>
      </w:tr>
    </w:tbl>
    <w:p w:rsidR="00363E89" w:rsidRDefault="00363E89" w:rsidP="001E0D83">
      <w:pPr>
        <w:spacing w:after="0" w:line="240" w:lineRule="auto"/>
        <w:rPr>
          <w:rFonts w:eastAsia="MS Mincho" w:cs="Times New Roman"/>
          <w:noProof/>
          <w:szCs w:val="32"/>
          <w:lang w:val="fr-FR"/>
        </w:rPr>
      </w:pPr>
    </w:p>
    <w:p w:rsidR="0085743B" w:rsidRDefault="0085743B">
      <w:pPr>
        <w:rPr>
          <w:rFonts w:eastAsia="MS Mincho" w:cs="Times New Roman"/>
          <w:b/>
          <w:caps/>
          <w:noProof/>
          <w:sz w:val="32"/>
          <w:szCs w:val="32"/>
          <w:lang w:val="fr-FR"/>
        </w:rPr>
      </w:pPr>
    </w:p>
    <w:p w:rsidR="00A528EF" w:rsidRPr="004F6025" w:rsidRDefault="00A528EF" w:rsidP="00A528EF">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mise en oeuvre</w:t>
      </w:r>
    </w:p>
    <w:p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166"/>
        <w:gridCol w:w="272"/>
        <w:gridCol w:w="1599"/>
        <w:gridCol w:w="839"/>
        <w:gridCol w:w="842"/>
        <w:gridCol w:w="1556"/>
        <w:gridCol w:w="40"/>
      </w:tblGrid>
      <w:tr w:rsidR="00A528EF" w:rsidRPr="0004205E" w:rsidTr="000E651B">
        <w:trPr>
          <w:trHeight w:val="338"/>
        </w:trPr>
        <w:tc>
          <w:tcPr>
            <w:tcW w:w="2302" w:type="dxa"/>
            <w:vMerge w:val="restart"/>
            <w:shd w:val="clear" w:color="auto" w:fill="BFBFBF" w:themeFill="background1" w:themeFillShade="BF"/>
          </w:tcPr>
          <w:p w:rsidR="00A528EF" w:rsidRPr="00D103DA" w:rsidRDefault="00A528EF" w:rsidP="000E651B">
            <w:pPr>
              <w:rPr>
                <w:rFonts w:eastAsia="MS Mincho" w:cs="Times New Roman"/>
                <w:b/>
                <w:noProof/>
                <w:szCs w:val="32"/>
                <w:lang w:val="fr-FR"/>
              </w:rPr>
            </w:pPr>
            <w:r>
              <w:rPr>
                <w:rFonts w:eastAsia="MS Mincho" w:cs="Times New Roman"/>
                <w:b/>
                <w:noProof/>
                <w:szCs w:val="32"/>
                <w:lang w:val="fr-FR"/>
              </w:rPr>
              <w:t>Horizon de mise en oeuvre</w:t>
            </w:r>
          </w:p>
        </w:tc>
        <w:tc>
          <w:tcPr>
            <w:tcW w:w="2438" w:type="dxa"/>
            <w:gridSpan w:val="2"/>
          </w:tcPr>
          <w:p w:rsidR="00A528EF" w:rsidRPr="00785264" w:rsidRDefault="00A528EF" w:rsidP="000E651B">
            <w:pPr>
              <w:jc w:val="center"/>
              <w:rPr>
                <w:rFonts w:eastAsia="MS Mincho" w:cs="Times New Roman"/>
                <w:b/>
                <w:noProof/>
                <w:szCs w:val="32"/>
                <w:lang w:val="fr-FR"/>
              </w:rPr>
            </w:pPr>
            <w:r w:rsidRPr="00785264">
              <w:rPr>
                <w:rFonts w:eastAsia="MS Mincho" w:cs="Times New Roman"/>
                <w:b/>
                <w:noProof/>
                <w:szCs w:val="32"/>
                <w:lang w:val="fr-FR"/>
              </w:rPr>
              <w:t>Avant la migration vers T2S</w:t>
            </w:r>
          </w:p>
        </w:tc>
        <w:tc>
          <w:tcPr>
            <w:tcW w:w="2438" w:type="dxa"/>
            <w:gridSpan w:val="2"/>
          </w:tcPr>
          <w:p w:rsidR="00A528EF" w:rsidRPr="009637E5" w:rsidRDefault="00A528EF" w:rsidP="000E651B">
            <w:pPr>
              <w:jc w:val="center"/>
              <w:rPr>
                <w:rFonts w:eastAsia="MS Mincho" w:cs="Times New Roman"/>
                <w:b/>
                <w:noProof/>
                <w:szCs w:val="32"/>
                <w:lang w:val="fr-FR"/>
              </w:rPr>
            </w:pPr>
            <w:r>
              <w:rPr>
                <w:rFonts w:eastAsia="MS Mincho" w:cs="Times New Roman"/>
                <w:b/>
                <w:noProof/>
                <w:szCs w:val="32"/>
                <w:lang w:val="fr-FR"/>
              </w:rPr>
              <w:t>Lors du démarrage en production sur T2S</w:t>
            </w:r>
          </w:p>
        </w:tc>
        <w:tc>
          <w:tcPr>
            <w:tcW w:w="2438" w:type="dxa"/>
            <w:gridSpan w:val="3"/>
          </w:tcPr>
          <w:p w:rsidR="00A528EF" w:rsidRPr="009637E5" w:rsidRDefault="00A528EF" w:rsidP="000E651B">
            <w:pPr>
              <w:jc w:val="center"/>
              <w:rPr>
                <w:rFonts w:eastAsia="MS Mincho" w:cs="Times New Roman"/>
                <w:b/>
                <w:noProof/>
                <w:szCs w:val="32"/>
                <w:lang w:val="fr-FR"/>
              </w:rPr>
            </w:pPr>
            <w:r>
              <w:rPr>
                <w:rFonts w:eastAsia="MS Mincho" w:cs="Times New Roman"/>
                <w:b/>
                <w:noProof/>
                <w:szCs w:val="32"/>
                <w:lang w:val="fr-FR"/>
              </w:rPr>
              <w:t>Après la migration vers T2S</w:t>
            </w:r>
          </w:p>
        </w:tc>
      </w:tr>
      <w:tr w:rsidR="00A528EF" w:rsidTr="000E651B">
        <w:trPr>
          <w:trHeight w:val="337"/>
        </w:trPr>
        <w:tc>
          <w:tcPr>
            <w:tcW w:w="2302" w:type="dxa"/>
            <w:vMerge/>
            <w:tcBorders>
              <w:bottom w:val="single" w:sz="4" w:space="0" w:color="auto"/>
            </w:tcBorders>
            <w:shd w:val="clear" w:color="auto" w:fill="BFBFBF" w:themeFill="background1" w:themeFillShade="BF"/>
          </w:tcPr>
          <w:p w:rsidR="00A528EF" w:rsidRDefault="00A528EF" w:rsidP="000E651B">
            <w:pPr>
              <w:rPr>
                <w:rFonts w:eastAsia="MS Mincho" w:cs="Times New Roman"/>
                <w:b/>
                <w:noProof/>
                <w:szCs w:val="32"/>
                <w:lang w:val="fr-FR"/>
              </w:rPr>
            </w:pPr>
          </w:p>
        </w:tc>
        <w:tc>
          <w:tcPr>
            <w:tcW w:w="2438" w:type="dxa"/>
            <w:gridSpan w:val="2"/>
            <w:tcBorders>
              <w:bottom w:val="single" w:sz="4" w:space="0" w:color="auto"/>
            </w:tcBorders>
            <w:shd w:val="clear" w:color="auto" w:fill="auto"/>
          </w:tcPr>
          <w:p w:rsidR="00A528EF" w:rsidRDefault="00A528EF" w:rsidP="000E651B">
            <w:pPr>
              <w:jc w:val="center"/>
              <w:rPr>
                <w:rFonts w:ascii="Wingdings" w:hAnsi="Wingdings" w:cs="Wingdings"/>
                <w:sz w:val="26"/>
                <w:szCs w:val="26"/>
              </w:rPr>
            </w:pPr>
            <w:r>
              <w:rPr>
                <w:rFonts w:ascii="Wingdings" w:hAnsi="Wingdings" w:cs="Wingdings"/>
                <w:sz w:val="26"/>
                <w:szCs w:val="26"/>
              </w:rPr>
              <w:t></w:t>
            </w:r>
          </w:p>
          <w:p w:rsidR="00A528EF" w:rsidRPr="00785264" w:rsidRDefault="00A528EF" w:rsidP="000E651B">
            <w:pPr>
              <w:jc w:val="center"/>
              <w:rPr>
                <w:rFonts w:cs="Wingdings"/>
                <w:szCs w:val="26"/>
              </w:rPr>
            </w:pPr>
            <w:r w:rsidRPr="00785264">
              <w:rPr>
                <w:rFonts w:cs="Wingdings"/>
                <w:szCs w:val="26"/>
              </w:rPr>
              <w:t xml:space="preserve">Date: </w:t>
            </w:r>
            <w:r>
              <w:rPr>
                <w:rFonts w:cs="Wingdings"/>
                <w:szCs w:val="26"/>
              </w:rPr>
              <w:t>________</w:t>
            </w:r>
          </w:p>
          <w:p w:rsidR="00A528EF" w:rsidRDefault="00A528EF" w:rsidP="000E651B">
            <w:pPr>
              <w:rPr>
                <w:rFonts w:eastAsia="MS Mincho" w:cs="Times New Roman"/>
                <w:noProof/>
                <w:szCs w:val="32"/>
                <w:lang w:val="fr-FR"/>
              </w:rPr>
            </w:pPr>
          </w:p>
        </w:tc>
        <w:tc>
          <w:tcPr>
            <w:tcW w:w="2438" w:type="dxa"/>
            <w:gridSpan w:val="2"/>
            <w:tcBorders>
              <w:bottom w:val="single" w:sz="4" w:space="0" w:color="auto"/>
            </w:tcBorders>
          </w:tcPr>
          <w:p w:rsidR="00A528EF" w:rsidRDefault="00A528EF" w:rsidP="000E651B">
            <w:pPr>
              <w:jc w:val="center"/>
              <w:rPr>
                <w:rFonts w:ascii="Wingdings" w:hAnsi="Wingdings" w:cs="Wingdings"/>
                <w:sz w:val="26"/>
                <w:szCs w:val="26"/>
              </w:rPr>
            </w:pPr>
            <w:r>
              <w:rPr>
                <w:rFonts w:ascii="Wingdings" w:hAnsi="Wingdings" w:cs="Wingdings"/>
                <w:sz w:val="26"/>
                <w:szCs w:val="26"/>
              </w:rPr>
              <w:t></w:t>
            </w:r>
          </w:p>
          <w:p w:rsidR="00A528EF" w:rsidRPr="00785264" w:rsidRDefault="00A528EF"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gridSpan w:val="3"/>
            <w:tcBorders>
              <w:bottom w:val="single" w:sz="4" w:space="0" w:color="auto"/>
            </w:tcBorders>
            <w:shd w:val="clear" w:color="auto" w:fill="FFFFFF" w:themeFill="background1"/>
          </w:tcPr>
          <w:p w:rsidR="00A528EF" w:rsidRDefault="00A528EF" w:rsidP="000E651B">
            <w:pPr>
              <w:jc w:val="center"/>
              <w:rPr>
                <w:rFonts w:ascii="Wingdings" w:hAnsi="Wingdings" w:cs="Wingdings"/>
                <w:sz w:val="26"/>
                <w:szCs w:val="26"/>
              </w:rPr>
            </w:pPr>
            <w:r>
              <w:rPr>
                <w:rFonts w:ascii="Wingdings" w:hAnsi="Wingdings" w:cs="Wingdings"/>
                <w:sz w:val="26"/>
                <w:szCs w:val="26"/>
              </w:rPr>
              <w:t></w:t>
            </w:r>
          </w:p>
          <w:p w:rsidR="00A528EF" w:rsidRPr="00785264" w:rsidRDefault="00A528EF" w:rsidP="000E651B">
            <w:pPr>
              <w:jc w:val="center"/>
              <w:rPr>
                <w:rFonts w:cs="Wingdings"/>
                <w:szCs w:val="26"/>
              </w:rPr>
            </w:pPr>
            <w:r w:rsidRPr="00785264">
              <w:rPr>
                <w:rFonts w:cs="Wingdings"/>
                <w:szCs w:val="26"/>
              </w:rPr>
              <w:t xml:space="preserve">Date: </w:t>
            </w:r>
            <w:r>
              <w:rPr>
                <w:rFonts w:cs="Wingdings"/>
                <w:szCs w:val="26"/>
              </w:rPr>
              <w:t>________</w:t>
            </w:r>
          </w:p>
        </w:tc>
      </w:tr>
      <w:tr w:rsidR="00A528EF" w:rsidTr="000E651B">
        <w:trPr>
          <w:gridAfter w:val="1"/>
          <w:wAfter w:w="40" w:type="dxa"/>
          <w:trHeight w:val="337"/>
        </w:trPr>
        <w:tc>
          <w:tcPr>
            <w:tcW w:w="2302" w:type="dxa"/>
            <w:tcBorders>
              <w:left w:val="nil"/>
              <w:right w:val="nil"/>
            </w:tcBorders>
            <w:shd w:val="clear" w:color="auto" w:fill="FFFFFF" w:themeFill="background1"/>
          </w:tcPr>
          <w:p w:rsidR="00A528EF" w:rsidRDefault="00A528EF" w:rsidP="000E651B">
            <w:pPr>
              <w:rPr>
                <w:rFonts w:eastAsia="MS Mincho" w:cs="Times New Roman"/>
                <w:b/>
                <w:noProof/>
                <w:szCs w:val="32"/>
                <w:lang w:val="fr-FR"/>
              </w:rPr>
            </w:pPr>
          </w:p>
        </w:tc>
        <w:tc>
          <w:tcPr>
            <w:tcW w:w="2166" w:type="dxa"/>
            <w:tcBorders>
              <w:left w:val="nil"/>
              <w:right w:val="nil"/>
            </w:tcBorders>
            <w:shd w:val="clear" w:color="auto" w:fill="FFFFFF" w:themeFill="background1"/>
          </w:tcPr>
          <w:p w:rsidR="00A528EF" w:rsidRDefault="00A528EF" w:rsidP="000E651B">
            <w:pPr>
              <w:rPr>
                <w:rFonts w:eastAsia="MS Mincho" w:cs="Times New Roman"/>
                <w:noProof/>
                <w:szCs w:val="32"/>
                <w:lang w:val="fr-FR"/>
              </w:rPr>
            </w:pPr>
          </w:p>
        </w:tc>
        <w:tc>
          <w:tcPr>
            <w:tcW w:w="1871" w:type="dxa"/>
            <w:gridSpan w:val="2"/>
            <w:tcBorders>
              <w:left w:val="nil"/>
              <w:right w:val="nil"/>
            </w:tcBorders>
            <w:shd w:val="clear" w:color="auto" w:fill="FFFFFF" w:themeFill="background1"/>
          </w:tcPr>
          <w:p w:rsidR="00A528EF" w:rsidRDefault="00A528EF" w:rsidP="000E651B">
            <w:pPr>
              <w:rPr>
                <w:rFonts w:eastAsia="MS Mincho" w:cs="Times New Roman"/>
                <w:noProof/>
                <w:szCs w:val="32"/>
                <w:lang w:val="fr-FR"/>
              </w:rPr>
            </w:pPr>
          </w:p>
        </w:tc>
        <w:tc>
          <w:tcPr>
            <w:tcW w:w="1681" w:type="dxa"/>
            <w:gridSpan w:val="2"/>
            <w:tcBorders>
              <w:left w:val="nil"/>
              <w:right w:val="nil"/>
            </w:tcBorders>
            <w:shd w:val="clear" w:color="auto" w:fill="FFFFFF" w:themeFill="background1"/>
          </w:tcPr>
          <w:p w:rsidR="00A528EF" w:rsidRDefault="00A528EF" w:rsidP="000E651B">
            <w:pPr>
              <w:jc w:val="center"/>
              <w:rPr>
                <w:rFonts w:eastAsia="MS Mincho" w:cs="Times New Roman"/>
                <w:noProof/>
                <w:szCs w:val="32"/>
                <w:lang w:val="fr-FR"/>
              </w:rPr>
            </w:pPr>
          </w:p>
        </w:tc>
        <w:tc>
          <w:tcPr>
            <w:tcW w:w="1556" w:type="dxa"/>
            <w:tcBorders>
              <w:left w:val="nil"/>
              <w:right w:val="nil"/>
            </w:tcBorders>
            <w:shd w:val="clear" w:color="auto" w:fill="FFFFFF" w:themeFill="background1"/>
          </w:tcPr>
          <w:p w:rsidR="00A528EF" w:rsidRDefault="00A528EF" w:rsidP="000E651B">
            <w:pPr>
              <w:rPr>
                <w:rFonts w:eastAsia="MS Mincho" w:cs="Times New Roman"/>
                <w:noProof/>
                <w:szCs w:val="32"/>
                <w:lang w:val="fr-FR"/>
              </w:rPr>
            </w:pPr>
          </w:p>
        </w:tc>
      </w:tr>
      <w:tr w:rsidR="00A528EF" w:rsidTr="000E651B">
        <w:trPr>
          <w:gridAfter w:val="1"/>
          <w:wAfter w:w="40" w:type="dxa"/>
        </w:trPr>
        <w:tc>
          <w:tcPr>
            <w:tcW w:w="2302" w:type="dxa"/>
            <w:tcBorders>
              <w:bottom w:val="single" w:sz="4" w:space="0" w:color="auto"/>
            </w:tcBorders>
            <w:shd w:val="clear" w:color="auto" w:fill="BFBFBF" w:themeFill="background1" w:themeFillShade="BF"/>
          </w:tcPr>
          <w:p w:rsidR="00A528EF" w:rsidRDefault="00A528EF" w:rsidP="000E651B">
            <w:pPr>
              <w:rPr>
                <w:rFonts w:eastAsia="MS Mincho" w:cs="Times New Roman"/>
                <w:b/>
                <w:noProof/>
                <w:szCs w:val="32"/>
                <w:lang w:val="fr-FR"/>
              </w:rPr>
            </w:pPr>
            <w:r>
              <w:rPr>
                <w:rFonts w:eastAsia="MS Mincho" w:cs="Times New Roman"/>
                <w:b/>
                <w:noProof/>
                <w:szCs w:val="32"/>
                <w:lang w:val="fr-FR"/>
              </w:rPr>
              <w:t>Faut-il un jeu de tests spécifique pour la pratique ?</w:t>
            </w:r>
          </w:p>
        </w:tc>
        <w:tc>
          <w:tcPr>
            <w:tcW w:w="4037" w:type="dxa"/>
            <w:gridSpan w:val="3"/>
            <w:tcBorders>
              <w:bottom w:val="single" w:sz="4" w:space="0" w:color="auto"/>
            </w:tcBorders>
          </w:tcPr>
          <w:p w:rsidR="00A528EF" w:rsidRPr="00922B9C" w:rsidRDefault="00A528EF" w:rsidP="000E651B">
            <w:pPr>
              <w:autoSpaceDE w:val="0"/>
              <w:autoSpaceDN w:val="0"/>
              <w:adjustRightInd w:val="0"/>
              <w:jc w:val="center"/>
              <w:rPr>
                <w:rFonts w:ascii="MS Shell Dlg 2" w:hAnsi="MS Shell Dlg 2" w:cs="MS Shell Dlg 2"/>
                <w:sz w:val="16"/>
                <w:szCs w:val="16"/>
                <w:lang w:val="fr-FR"/>
              </w:rPr>
            </w:pPr>
            <w:r>
              <w:rPr>
                <w:lang w:val="fr-FR"/>
              </w:rPr>
              <w:t xml:space="preserve">Oui  </w:t>
            </w:r>
            <w:r>
              <w:rPr>
                <w:rFonts w:ascii="Wingdings" w:hAnsi="Wingdings" w:cs="Wingdings"/>
                <w:sz w:val="26"/>
                <w:szCs w:val="26"/>
              </w:rPr>
              <w:t></w:t>
            </w:r>
          </w:p>
          <w:p w:rsidR="00A528EF" w:rsidRPr="00E35B86" w:rsidRDefault="00A528EF" w:rsidP="000E651B">
            <w:pPr>
              <w:autoSpaceDE w:val="0"/>
              <w:autoSpaceDN w:val="0"/>
              <w:adjustRightInd w:val="0"/>
              <w:jc w:val="center"/>
              <w:rPr>
                <w:rFonts w:ascii="MS Shell Dlg 2" w:hAnsi="MS Shell Dlg 2" w:cs="MS Shell Dlg 2"/>
                <w:sz w:val="16"/>
                <w:szCs w:val="16"/>
                <w:lang w:val="fr-FR"/>
              </w:rPr>
            </w:pPr>
          </w:p>
        </w:tc>
        <w:tc>
          <w:tcPr>
            <w:tcW w:w="3237" w:type="dxa"/>
            <w:gridSpan w:val="3"/>
            <w:tcBorders>
              <w:bottom w:val="single" w:sz="4" w:space="0" w:color="auto"/>
            </w:tcBorders>
          </w:tcPr>
          <w:p w:rsidR="00A528EF" w:rsidRDefault="00A528EF" w:rsidP="000E651B">
            <w:pPr>
              <w:tabs>
                <w:tab w:val="left" w:pos="9356"/>
              </w:tabs>
              <w:ind w:right="-279"/>
              <w:jc w:val="center"/>
              <w:rPr>
                <w:lang w:val="fr-FR"/>
              </w:rPr>
            </w:pPr>
            <w:r>
              <w:rPr>
                <w:lang w:val="fr-FR"/>
              </w:rPr>
              <w:t xml:space="preserve">Non  </w:t>
            </w:r>
            <w:r>
              <w:rPr>
                <w:rFonts w:ascii="Wingdings" w:hAnsi="Wingdings" w:cs="Wingdings"/>
                <w:sz w:val="26"/>
                <w:szCs w:val="26"/>
              </w:rPr>
              <w:t></w:t>
            </w:r>
          </w:p>
        </w:tc>
      </w:tr>
      <w:bookmarkEnd w:id="0"/>
    </w:tbl>
    <w:p w:rsidR="00BA6B0A" w:rsidRDefault="00BA6B0A" w:rsidP="001E0D83">
      <w:pPr>
        <w:spacing w:after="0" w:line="240" w:lineRule="auto"/>
        <w:rPr>
          <w:rFonts w:eastAsia="MS Mincho" w:cs="Times New Roman"/>
          <w:noProof/>
          <w:szCs w:val="32"/>
          <w:lang w:val="fr-FR"/>
        </w:rPr>
      </w:pPr>
    </w:p>
    <w:sectPr w:rsidR="00BA6B0A" w:rsidSect="006D6846">
      <w:headerReference w:type="default" r:id="rId8"/>
      <w:footerReference w:type="default" r:id="rId9"/>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F02" w:rsidRDefault="00B73F02" w:rsidP="006D6846">
      <w:pPr>
        <w:spacing w:after="0" w:line="240" w:lineRule="auto"/>
      </w:pPr>
      <w:r>
        <w:separator/>
      </w:r>
    </w:p>
  </w:endnote>
  <w:endnote w:type="continuationSeparator" w:id="0">
    <w:p w:rsidR="00B73F02" w:rsidRDefault="00B73F02"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2598063"/>
      <w:docPartObj>
        <w:docPartGallery w:val="Page Numbers (Bottom of Page)"/>
        <w:docPartUnique/>
      </w:docPartObj>
    </w:sdtPr>
    <w:sdtEndPr/>
    <w:sdtContent>
      <w:sdt>
        <w:sdtPr>
          <w:id w:val="-1769616900"/>
          <w:docPartObj>
            <w:docPartGallery w:val="Page Numbers (Top of Page)"/>
            <w:docPartUnique/>
          </w:docPartObj>
        </w:sdtPr>
        <w:sdtEndPr/>
        <w:sdtContent>
          <w:p w:rsidR="001E5B97" w:rsidRDefault="001E5B97">
            <w:pPr>
              <w:pStyle w:val="Footer"/>
              <w:jc w:val="right"/>
            </w:pPr>
            <w:r>
              <w:rPr>
                <w:lang w:val="fr-FR"/>
              </w:rPr>
              <w:t xml:space="preserve">Page </w:t>
            </w:r>
            <w:r>
              <w:rPr>
                <w:b/>
                <w:bCs/>
                <w:sz w:val="24"/>
                <w:szCs w:val="24"/>
              </w:rPr>
              <w:fldChar w:fldCharType="begin"/>
            </w:r>
            <w:r>
              <w:rPr>
                <w:b/>
                <w:bCs/>
              </w:rPr>
              <w:instrText>PAGE</w:instrText>
            </w:r>
            <w:r>
              <w:rPr>
                <w:b/>
                <w:bCs/>
                <w:sz w:val="24"/>
                <w:szCs w:val="24"/>
              </w:rPr>
              <w:fldChar w:fldCharType="separate"/>
            </w:r>
            <w:r w:rsidR="002451C8">
              <w:rPr>
                <w:b/>
                <w:bCs/>
                <w:noProof/>
              </w:rPr>
              <w:t>1</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sidR="002451C8">
              <w:rPr>
                <w:b/>
                <w:bCs/>
                <w:noProof/>
              </w:rPr>
              <w:t>2</w:t>
            </w:r>
            <w:r>
              <w:rPr>
                <w:b/>
                <w:bCs/>
                <w:sz w:val="24"/>
                <w:szCs w:val="24"/>
              </w:rPr>
              <w:fldChar w:fldCharType="end"/>
            </w:r>
          </w:p>
        </w:sdtContent>
      </w:sdt>
    </w:sdtContent>
  </w:sdt>
  <w:p w:rsidR="00EC776F" w:rsidRDefault="00EC77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F02" w:rsidRDefault="00B73F02" w:rsidP="006D6846">
      <w:pPr>
        <w:spacing w:after="0" w:line="240" w:lineRule="auto"/>
      </w:pPr>
      <w:r>
        <w:separator/>
      </w:r>
    </w:p>
  </w:footnote>
  <w:footnote w:type="continuationSeparator" w:id="0">
    <w:p w:rsidR="00B73F02" w:rsidRDefault="00B73F02"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0"/>
      <w:gridCol w:w="4095"/>
    </w:tblGrid>
    <w:tr w:rsidR="00EC776F" w:rsidTr="0004205E">
      <w:trPr>
        <w:trHeight w:val="901"/>
      </w:trPr>
      <w:tc>
        <w:tcPr>
          <w:tcW w:w="6230" w:type="dxa"/>
          <w:vAlign w:val="center"/>
        </w:tcPr>
        <w:p w:rsidR="00EC776F" w:rsidRDefault="00EC776F" w:rsidP="00EC776F">
          <w:pPr>
            <w:pStyle w:val="Header"/>
            <w:jc w:val="center"/>
            <w:rPr>
              <w:b/>
              <w:lang w:val="fr-FR"/>
            </w:rPr>
          </w:pPr>
          <w:r w:rsidRPr="007F6CFC">
            <w:rPr>
              <w:b/>
              <w:lang w:val="fr-FR"/>
            </w:rPr>
            <w:t>Groupe d’Adaptation des Pratiques de Marché T2S</w:t>
          </w:r>
        </w:p>
        <w:p w:rsidR="00EC776F" w:rsidRDefault="00EC776F" w:rsidP="00EC776F">
          <w:pPr>
            <w:pStyle w:val="Header"/>
            <w:jc w:val="center"/>
            <w:rPr>
              <w:b/>
              <w:lang w:val="fr-FR"/>
            </w:rPr>
          </w:pPr>
          <w:r>
            <w:rPr>
              <w:b/>
              <w:lang w:val="fr-FR"/>
            </w:rPr>
            <w:t>Fiche Pratique de marché</w:t>
          </w:r>
        </w:p>
      </w:tc>
      <w:tc>
        <w:tcPr>
          <w:tcW w:w="4095" w:type="dxa"/>
          <w:vAlign w:val="center"/>
        </w:tcPr>
        <w:p w:rsidR="00EC776F" w:rsidRDefault="00EC776F" w:rsidP="0004205E">
          <w:pPr>
            <w:pStyle w:val="Header"/>
            <w:rPr>
              <w:b/>
              <w:lang w:val="fr-FR"/>
            </w:rPr>
          </w:pPr>
          <w:r>
            <w:rPr>
              <w:noProof/>
            </w:rPr>
            <w:drawing>
              <wp:inline distT="0" distB="0" distL="0" distR="0" wp14:anchorId="08CB93A8" wp14:editId="04EC46D6">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r w:rsidR="0004205E">
            <w:object w:dxaOrig="7200" w:dyaOrig="4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pt;height:42.45pt" o:ole="">
                <v:imagedata r:id="rId2" o:title=""/>
              </v:shape>
              <o:OLEObject Type="Embed" ProgID="PBrush" ShapeID="_x0000_i1025" DrawAspect="Content" ObjectID="_1534306357" r:id="rId3"/>
            </w:object>
          </w:r>
        </w:p>
      </w:tc>
    </w:tr>
    <w:tr w:rsidR="00EC776F" w:rsidRPr="0004205E" w:rsidTr="0004205E">
      <w:trPr>
        <w:trHeight w:val="296"/>
      </w:trPr>
      <w:tc>
        <w:tcPr>
          <w:tcW w:w="6230" w:type="dxa"/>
          <w:vAlign w:val="center"/>
        </w:tcPr>
        <w:p w:rsidR="00EC776F" w:rsidRPr="00A528EF" w:rsidRDefault="00A528EF" w:rsidP="0004205E">
          <w:pPr>
            <w:pStyle w:val="Header"/>
            <w:jc w:val="center"/>
            <w:rPr>
              <w:i/>
              <w:lang w:val="fr-FR"/>
            </w:rPr>
          </w:pPr>
          <w:r>
            <w:rPr>
              <w:i/>
              <w:lang w:val="fr-FR"/>
            </w:rPr>
            <w:t>Référence de la pratique </w:t>
          </w:r>
          <w:r w:rsidR="00EC776F" w:rsidRPr="00A528EF">
            <w:rPr>
              <w:i/>
              <w:lang w:val="fr-FR"/>
            </w:rPr>
            <w:t xml:space="preserve">: </w:t>
          </w:r>
          <w:r w:rsidR="008360C5" w:rsidRPr="00A528EF">
            <w:rPr>
              <w:i/>
              <w:lang w:val="fr-FR"/>
            </w:rPr>
            <w:t>OP-SETTL-RETARD-01</w:t>
          </w:r>
        </w:p>
      </w:tc>
      <w:tc>
        <w:tcPr>
          <w:tcW w:w="4095" w:type="dxa"/>
          <w:vAlign w:val="center"/>
        </w:tcPr>
        <w:p w:rsidR="00EC776F" w:rsidRPr="00A528EF" w:rsidRDefault="00EC776F" w:rsidP="00EC776F">
          <w:pPr>
            <w:pStyle w:val="Header"/>
            <w:jc w:val="center"/>
            <w:rPr>
              <w:noProof/>
              <w:lang w:val="fr-FR"/>
            </w:rPr>
          </w:pPr>
        </w:p>
      </w:tc>
    </w:tr>
  </w:tbl>
  <w:p w:rsidR="00EC776F" w:rsidRPr="00A528EF" w:rsidRDefault="00EC776F">
    <w:pPr>
      <w:pStyle w:val="Header"/>
      <w:rPr>
        <w:b/>
        <w:sz w:val="20"/>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7"/>
  </w:num>
  <w:num w:numId="5">
    <w:abstractNumId w:val="1"/>
  </w:num>
  <w:num w:numId="6">
    <w:abstractNumId w:val="0"/>
  </w:num>
  <w:num w:numId="7">
    <w:abstractNumId w:val="3"/>
  </w:num>
  <w:num w:numId="8">
    <w:abstractNumId w:val="2"/>
  </w:num>
  <w:num w:numId="9">
    <w:abstractNumId w:val="4"/>
  </w:num>
  <w:num w:numId="1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 Sousa, Maria">
    <w15:presenceInfo w15:providerId="AD" w15:userId="S-1-5-21-3942990428-588001494-4079709122-109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4205E"/>
    <w:rsid w:val="000706A3"/>
    <w:rsid w:val="000A6C94"/>
    <w:rsid w:val="000C1C9B"/>
    <w:rsid w:val="000D6F4D"/>
    <w:rsid w:val="000F3C24"/>
    <w:rsid w:val="00113071"/>
    <w:rsid w:val="00140482"/>
    <w:rsid w:val="00145ADA"/>
    <w:rsid w:val="001522A5"/>
    <w:rsid w:val="00162BBA"/>
    <w:rsid w:val="00183F7A"/>
    <w:rsid w:val="001979E7"/>
    <w:rsid w:val="001A26CA"/>
    <w:rsid w:val="001B0416"/>
    <w:rsid w:val="001B1E38"/>
    <w:rsid w:val="001C4C4C"/>
    <w:rsid w:val="001C7BAF"/>
    <w:rsid w:val="001D7830"/>
    <w:rsid w:val="001E0D83"/>
    <w:rsid w:val="001E5B97"/>
    <w:rsid w:val="001F3BB7"/>
    <w:rsid w:val="00211814"/>
    <w:rsid w:val="00217510"/>
    <w:rsid w:val="002451C8"/>
    <w:rsid w:val="00283DDE"/>
    <w:rsid w:val="0028538B"/>
    <w:rsid w:val="00343829"/>
    <w:rsid w:val="00343B9E"/>
    <w:rsid w:val="003631EA"/>
    <w:rsid w:val="00363E89"/>
    <w:rsid w:val="003929BA"/>
    <w:rsid w:val="003A4E76"/>
    <w:rsid w:val="003B3DA4"/>
    <w:rsid w:val="003D5E9F"/>
    <w:rsid w:val="003D7060"/>
    <w:rsid w:val="003D75CA"/>
    <w:rsid w:val="003F4E04"/>
    <w:rsid w:val="00464015"/>
    <w:rsid w:val="004818D8"/>
    <w:rsid w:val="00482296"/>
    <w:rsid w:val="00487A07"/>
    <w:rsid w:val="004F6025"/>
    <w:rsid w:val="005061BA"/>
    <w:rsid w:val="005067E0"/>
    <w:rsid w:val="0051485E"/>
    <w:rsid w:val="00567B1D"/>
    <w:rsid w:val="00575F36"/>
    <w:rsid w:val="005C2ACA"/>
    <w:rsid w:val="00622E8A"/>
    <w:rsid w:val="00625541"/>
    <w:rsid w:val="00652C13"/>
    <w:rsid w:val="006731A4"/>
    <w:rsid w:val="00683A1D"/>
    <w:rsid w:val="00694503"/>
    <w:rsid w:val="0069580E"/>
    <w:rsid w:val="006D6846"/>
    <w:rsid w:val="00701AE2"/>
    <w:rsid w:val="00714CE6"/>
    <w:rsid w:val="00727BF7"/>
    <w:rsid w:val="007408E6"/>
    <w:rsid w:val="0074709E"/>
    <w:rsid w:val="00765664"/>
    <w:rsid w:val="00776CD9"/>
    <w:rsid w:val="007B7B10"/>
    <w:rsid w:val="007C7303"/>
    <w:rsid w:val="007F6CFC"/>
    <w:rsid w:val="0080446B"/>
    <w:rsid w:val="0081511D"/>
    <w:rsid w:val="00830B7B"/>
    <w:rsid w:val="008360C5"/>
    <w:rsid w:val="00837334"/>
    <w:rsid w:val="00841E84"/>
    <w:rsid w:val="0085743B"/>
    <w:rsid w:val="008800A4"/>
    <w:rsid w:val="00893912"/>
    <w:rsid w:val="008A30A6"/>
    <w:rsid w:val="008C734C"/>
    <w:rsid w:val="0091257E"/>
    <w:rsid w:val="0092276F"/>
    <w:rsid w:val="00922A8E"/>
    <w:rsid w:val="00922B9C"/>
    <w:rsid w:val="00933237"/>
    <w:rsid w:val="009606C4"/>
    <w:rsid w:val="00982218"/>
    <w:rsid w:val="00995F65"/>
    <w:rsid w:val="009978DE"/>
    <w:rsid w:val="009A24A6"/>
    <w:rsid w:val="009A2F1A"/>
    <w:rsid w:val="009A64D1"/>
    <w:rsid w:val="00A133A7"/>
    <w:rsid w:val="00A20577"/>
    <w:rsid w:val="00A21489"/>
    <w:rsid w:val="00A40ED4"/>
    <w:rsid w:val="00A45A45"/>
    <w:rsid w:val="00A528EF"/>
    <w:rsid w:val="00A678C0"/>
    <w:rsid w:val="00A746A0"/>
    <w:rsid w:val="00A90EEC"/>
    <w:rsid w:val="00AA1FDB"/>
    <w:rsid w:val="00AA62D7"/>
    <w:rsid w:val="00AC134F"/>
    <w:rsid w:val="00B26098"/>
    <w:rsid w:val="00B31057"/>
    <w:rsid w:val="00B44E11"/>
    <w:rsid w:val="00B540C8"/>
    <w:rsid w:val="00B62B1E"/>
    <w:rsid w:val="00B727D8"/>
    <w:rsid w:val="00B73F02"/>
    <w:rsid w:val="00B75648"/>
    <w:rsid w:val="00B9491F"/>
    <w:rsid w:val="00BA66D3"/>
    <w:rsid w:val="00BA6B0A"/>
    <w:rsid w:val="00BC7577"/>
    <w:rsid w:val="00BE4C60"/>
    <w:rsid w:val="00C06869"/>
    <w:rsid w:val="00C070B0"/>
    <w:rsid w:val="00C1000A"/>
    <w:rsid w:val="00C221EA"/>
    <w:rsid w:val="00C33595"/>
    <w:rsid w:val="00C3423B"/>
    <w:rsid w:val="00C41782"/>
    <w:rsid w:val="00C43D15"/>
    <w:rsid w:val="00C57689"/>
    <w:rsid w:val="00C60EC8"/>
    <w:rsid w:val="00C65EB2"/>
    <w:rsid w:val="00C77C0A"/>
    <w:rsid w:val="00CB0F41"/>
    <w:rsid w:val="00CC7462"/>
    <w:rsid w:val="00CD3755"/>
    <w:rsid w:val="00CE6DA3"/>
    <w:rsid w:val="00CF605A"/>
    <w:rsid w:val="00D103DA"/>
    <w:rsid w:val="00D12DE8"/>
    <w:rsid w:val="00D252A7"/>
    <w:rsid w:val="00D50DB6"/>
    <w:rsid w:val="00D529B3"/>
    <w:rsid w:val="00D53037"/>
    <w:rsid w:val="00D5515F"/>
    <w:rsid w:val="00D972D0"/>
    <w:rsid w:val="00DB106F"/>
    <w:rsid w:val="00DD071C"/>
    <w:rsid w:val="00E351C1"/>
    <w:rsid w:val="00E35B86"/>
    <w:rsid w:val="00E438E3"/>
    <w:rsid w:val="00E52109"/>
    <w:rsid w:val="00E53419"/>
    <w:rsid w:val="00E62EAE"/>
    <w:rsid w:val="00EA508B"/>
    <w:rsid w:val="00EA5560"/>
    <w:rsid w:val="00EB44AB"/>
    <w:rsid w:val="00EC776F"/>
    <w:rsid w:val="00F00BF4"/>
    <w:rsid w:val="00F358FF"/>
    <w:rsid w:val="00F35CCA"/>
    <w:rsid w:val="00F84B2D"/>
    <w:rsid w:val="00F86CD3"/>
    <w:rsid w:val="00F904C9"/>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paragraph" w:customStyle="1" w:styleId="FDNormal">
    <w:name w:val="FDNormal"/>
    <w:basedOn w:val="Normal"/>
    <w:link w:val="FDNormalCar"/>
    <w:rsid w:val="003D75CA"/>
    <w:pPr>
      <w:spacing w:after="120" w:line="240" w:lineRule="auto"/>
      <w:jc w:val="both"/>
    </w:pPr>
    <w:rPr>
      <w:rFonts w:ascii="Verdana" w:eastAsia="Times New Roman" w:hAnsi="Verdana" w:cs="Verdana"/>
      <w:sz w:val="20"/>
      <w:szCs w:val="20"/>
      <w:lang w:val="fr-FR" w:eastAsia="fr-FR"/>
    </w:rPr>
  </w:style>
  <w:style w:type="character" w:customStyle="1" w:styleId="FDNormalCar">
    <w:name w:val="FDNormal Car"/>
    <w:link w:val="FDNormal"/>
    <w:rsid w:val="003D75CA"/>
    <w:rPr>
      <w:rFonts w:ascii="Verdana" w:eastAsia="Times New Roman" w:hAnsi="Verdana" w:cs="Verdana"/>
      <w:sz w:val="20"/>
      <w:szCs w:val="20"/>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paragraph" w:customStyle="1" w:styleId="FDNormal">
    <w:name w:val="FDNormal"/>
    <w:basedOn w:val="Normal"/>
    <w:link w:val="FDNormalCar"/>
    <w:rsid w:val="003D75CA"/>
    <w:pPr>
      <w:spacing w:after="120" w:line="240" w:lineRule="auto"/>
      <w:jc w:val="both"/>
    </w:pPr>
    <w:rPr>
      <w:rFonts w:ascii="Verdana" w:eastAsia="Times New Roman" w:hAnsi="Verdana" w:cs="Verdana"/>
      <w:sz w:val="20"/>
      <w:szCs w:val="20"/>
      <w:lang w:val="fr-FR" w:eastAsia="fr-FR"/>
    </w:rPr>
  </w:style>
  <w:style w:type="character" w:customStyle="1" w:styleId="FDNormalCar">
    <w:name w:val="FDNormal Car"/>
    <w:link w:val="FDNormal"/>
    <w:rsid w:val="003D75CA"/>
    <w:rPr>
      <w:rFonts w:ascii="Verdana" w:eastAsia="Times New Roman" w:hAnsi="Verdana" w:cs="Verdana"/>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397</Words>
  <Characters>2267</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4</cp:revision>
  <cp:lastPrinted>2015-10-09T10:36:00Z</cp:lastPrinted>
  <dcterms:created xsi:type="dcterms:W3CDTF">2016-05-16T17:13:00Z</dcterms:created>
  <dcterms:modified xsi:type="dcterms:W3CDTF">2016-09-02T05:26:00Z</dcterms:modified>
</cp:coreProperties>
</file>