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p>
    <w:p w:rsidR="00575F36" w:rsidRPr="00EC776F" w:rsidRDefault="003D75CA"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3D75CA">
        <w:rPr>
          <w:b/>
          <w:noProof/>
          <w:sz w:val="36"/>
          <w:lang w:val="fr-FR"/>
        </w:rPr>
        <w:t>Optimisation du dénouement des ordres en montant (Fonds)</w:t>
      </w:r>
    </w:p>
    <w:p w:rsidR="001B1E38" w:rsidRPr="00065025" w:rsidRDefault="001B1E38" w:rsidP="006D6846">
      <w:pPr>
        <w:tabs>
          <w:tab w:val="left" w:pos="9356"/>
        </w:tabs>
        <w:ind w:right="-279"/>
        <w:rPr>
          <w:sz w:val="2"/>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3D75CA" w:rsidP="00776CD9">
            <w:pPr>
              <w:tabs>
                <w:tab w:val="left" w:pos="9356"/>
              </w:tabs>
              <w:ind w:right="-279"/>
              <w:rPr>
                <w:lang w:val="fr-FR"/>
              </w:rPr>
            </w:pPr>
            <w:r>
              <w:rPr>
                <w:lang w:val="fr-FR"/>
              </w:rPr>
              <w:t>1</w:t>
            </w:r>
            <w:r w:rsidR="00140482">
              <w:rPr>
                <w:lang w:val="fr-FR"/>
              </w:rPr>
              <w:t>.</w:t>
            </w:r>
            <w:r w:rsidR="00776CD9">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140482" w:rsidP="006D6846">
            <w:pPr>
              <w:tabs>
                <w:tab w:val="left" w:pos="9356"/>
              </w:tabs>
              <w:ind w:right="-279"/>
              <w:rPr>
                <w:lang w:val="fr-FR"/>
              </w:rPr>
            </w:pPr>
            <w:r>
              <w:rPr>
                <w:lang w:val="fr-FR"/>
              </w:rPr>
              <w:t>6 avril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1701"/>
        <w:gridCol w:w="7905"/>
      </w:tblGrid>
      <w:tr w:rsidR="00D103DA" w:rsidRPr="00D42D80" w:rsidTr="003D75CA">
        <w:tc>
          <w:tcPr>
            <w:tcW w:w="1701"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905" w:type="dxa"/>
            <w:tcBorders>
              <w:bottom w:val="single" w:sz="4" w:space="0" w:color="auto"/>
            </w:tcBorders>
          </w:tcPr>
          <w:p w:rsidR="003D75CA" w:rsidRDefault="003D75CA" w:rsidP="003D75CA">
            <w:pPr>
              <w:spacing w:before="120"/>
              <w:jc w:val="both"/>
              <w:rPr>
                <w:rFonts w:eastAsia="MS Mincho" w:cs="Times New Roman"/>
                <w:noProof/>
                <w:szCs w:val="32"/>
                <w:lang w:val="fr-FR"/>
              </w:rPr>
            </w:pPr>
            <w:r>
              <w:rPr>
                <w:rFonts w:eastAsia="MS Mincho" w:cs="Times New Roman"/>
                <w:noProof/>
                <w:szCs w:val="32"/>
                <w:lang w:val="fr-FR"/>
              </w:rPr>
              <w:t>Le marché français a proposé cette pratique pour permettre les ordres en montant lorsque le prospectus le prévoit. L’objectif est d’éviter les  rompus lors de souscriptions</w:t>
            </w:r>
            <w:r w:rsidR="00065025">
              <w:rPr>
                <w:rFonts w:eastAsia="MS Mincho" w:cs="Times New Roman"/>
                <w:noProof/>
                <w:szCs w:val="32"/>
                <w:lang w:val="fr-FR"/>
              </w:rPr>
              <w:t xml:space="preserve"> </w:t>
            </w:r>
            <w:r>
              <w:rPr>
                <w:rFonts w:eastAsia="MS Mincho" w:cs="Times New Roman"/>
                <w:noProof/>
                <w:szCs w:val="32"/>
                <w:lang w:val="fr-FR"/>
              </w:rPr>
              <w:t>/ rachats  en montant. Le but est de s’approcher au plus prêt du montant souscrit en utilisant l’équation ( éviter les mismatch)</w:t>
            </w:r>
            <w:r w:rsidR="00065025">
              <w:rPr>
                <w:rFonts w:eastAsia="MS Mincho" w:cs="Times New Roman"/>
                <w:noProof/>
                <w:szCs w:val="32"/>
                <w:lang w:val="fr-FR"/>
              </w:rPr>
              <w:t>.</w:t>
            </w:r>
          </w:p>
          <w:p w:rsidR="003D75CA" w:rsidRPr="006E2AEE" w:rsidRDefault="003D75CA" w:rsidP="003D75CA">
            <w:pPr>
              <w:spacing w:before="120"/>
              <w:jc w:val="both"/>
              <w:rPr>
                <w:rFonts w:eastAsia="MS Mincho" w:cs="Times New Roman"/>
                <w:noProof/>
                <w:szCs w:val="32"/>
                <w:lang w:val="fr-FR"/>
              </w:rPr>
            </w:pPr>
            <w:r w:rsidRPr="006E2AEE">
              <w:rPr>
                <w:rFonts w:eastAsia="MS Mincho" w:cs="Times New Roman"/>
                <w:noProof/>
                <w:szCs w:val="32"/>
                <w:lang w:val="fr-FR"/>
              </w:rPr>
              <w:t xml:space="preserve">Pour la détermination </w:t>
            </w:r>
            <w:r>
              <w:rPr>
                <w:rFonts w:eastAsia="MS Mincho" w:cs="Times New Roman"/>
                <w:noProof/>
                <w:szCs w:val="32"/>
                <w:lang w:val="fr-FR"/>
              </w:rPr>
              <w:t>de la quantité souscrite, le centralisateur recommande</w:t>
            </w:r>
            <w:r w:rsidRPr="006E2AEE">
              <w:rPr>
                <w:rFonts w:eastAsia="MS Mincho" w:cs="Times New Roman"/>
                <w:noProof/>
                <w:szCs w:val="32"/>
                <w:lang w:val="fr-FR"/>
              </w:rPr>
              <w:t xml:space="preserve"> d’appliquer la formule suivante, tant pour les ordres de souscription en montant que pour les rachats en montant :</w:t>
            </w:r>
          </w:p>
          <w:p w:rsidR="003D75CA" w:rsidRDefault="003D75CA" w:rsidP="003D75CA">
            <w:pPr>
              <w:jc w:val="both"/>
              <w:rPr>
                <w:rFonts w:eastAsia="MS Mincho" w:cs="Times New Roman"/>
                <w:noProof/>
                <w:szCs w:val="32"/>
                <w:lang w:val="fr-FR"/>
              </w:rPr>
            </w:pPr>
            <w:r>
              <w:rPr>
                <w:noProof/>
              </w:rPr>
              <w:drawing>
                <wp:inline distT="0" distB="0" distL="0" distR="0" wp14:anchorId="3B9FF711" wp14:editId="02D621D8">
                  <wp:extent cx="4968000" cy="34967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68000" cy="349673"/>
                          </a:xfrm>
                          <a:prstGeom prst="rect">
                            <a:avLst/>
                          </a:prstGeom>
                          <a:noFill/>
                          <a:ln>
                            <a:noFill/>
                          </a:ln>
                        </pic:spPr>
                      </pic:pic>
                    </a:graphicData>
                  </a:graphic>
                </wp:inline>
              </w:drawing>
            </w:r>
          </w:p>
          <w:p w:rsidR="003D75CA" w:rsidRDefault="003D75CA" w:rsidP="003D75CA">
            <w:pPr>
              <w:pStyle w:val="FDNormal"/>
              <w:rPr>
                <w:rFonts w:asciiTheme="minorHAnsi" w:eastAsia="MS Mincho" w:hAnsiTheme="minorHAnsi" w:cs="Times New Roman"/>
                <w:noProof/>
                <w:sz w:val="22"/>
                <w:szCs w:val="32"/>
                <w:lang w:eastAsia="en-US"/>
              </w:rPr>
            </w:pPr>
          </w:p>
          <w:p w:rsidR="003D75CA" w:rsidRPr="006E2AEE" w:rsidRDefault="003D75CA" w:rsidP="003D75CA">
            <w:pPr>
              <w:pStyle w:val="FDNormal"/>
              <w:rPr>
                <w:rFonts w:asciiTheme="minorHAnsi" w:eastAsia="MS Mincho" w:hAnsiTheme="minorHAnsi" w:cs="Times New Roman"/>
                <w:noProof/>
                <w:sz w:val="22"/>
                <w:szCs w:val="32"/>
                <w:lang w:eastAsia="en-US"/>
              </w:rPr>
            </w:pPr>
            <w:r w:rsidRPr="006E2AEE">
              <w:rPr>
                <w:rFonts w:asciiTheme="minorHAnsi" w:eastAsia="MS Mincho" w:hAnsiTheme="minorHAnsi" w:cs="Times New Roman"/>
                <w:noProof/>
                <w:sz w:val="22"/>
                <w:szCs w:val="32"/>
                <w:lang w:eastAsia="en-US"/>
              </w:rPr>
              <w:t>La table suivante permet de déterminer le bon couple VL / décimalisation :</w:t>
            </w:r>
          </w:p>
          <w:tbl>
            <w:tblPr>
              <w:tblW w:w="7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3685"/>
            </w:tblGrid>
            <w:tr w:rsidR="003D75CA" w:rsidRPr="002E7699" w:rsidTr="00E87204">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inférieure à EUR 1.999</w:t>
                  </w:r>
                </w:p>
              </w:tc>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 xml:space="preserve">Décimalisation sur 3 positions </w:t>
                  </w:r>
                </w:p>
              </w:tc>
            </w:tr>
            <w:tr w:rsidR="003D75CA" w:rsidRPr="002E7699" w:rsidTr="00E87204">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comprise entre EUR 2.000 et  EUR 19.999</w:t>
                  </w:r>
                </w:p>
              </w:tc>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 xml:space="preserve">Décimalisation sur 4 positions </w:t>
                  </w:r>
                </w:p>
              </w:tc>
            </w:tr>
            <w:tr w:rsidR="003D75CA" w:rsidRPr="002E7699" w:rsidTr="00E87204">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comprise entre EUR 20.000 et EUR 199.999</w:t>
                  </w:r>
                </w:p>
              </w:tc>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 xml:space="preserve">Décimalisation sur 5 positions </w:t>
                  </w:r>
                </w:p>
              </w:tc>
            </w:tr>
            <w:tr w:rsidR="003D75CA" w:rsidRPr="00D42D80" w:rsidTr="00E87204">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supérieure à EUR 200.000</w:t>
                  </w:r>
                </w:p>
              </w:tc>
              <w:tc>
                <w:tcPr>
                  <w:tcW w:w="3685"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OST de division à mettre en place</w:t>
                  </w:r>
                </w:p>
              </w:tc>
            </w:tr>
          </w:tbl>
          <w:p w:rsidR="00140482" w:rsidRPr="00776CD9" w:rsidRDefault="00140482" w:rsidP="00922B9C">
            <w:pPr>
              <w:spacing w:before="120"/>
              <w:jc w:val="both"/>
              <w:rPr>
                <w:rFonts w:eastAsia="MS Mincho" w:cs="Times New Roman"/>
                <w:noProof/>
                <w:szCs w:val="32"/>
                <w:lang w:val="fr-FR"/>
              </w:rPr>
            </w:pPr>
          </w:p>
        </w:tc>
      </w:tr>
      <w:tr w:rsidR="00D103DA" w:rsidRPr="00D42D80" w:rsidTr="003D75CA">
        <w:tc>
          <w:tcPr>
            <w:tcW w:w="1701" w:type="dxa"/>
            <w:tcBorders>
              <w:left w:val="nil"/>
              <w:right w:val="nil"/>
            </w:tcBorders>
          </w:tcPr>
          <w:p w:rsidR="00EC776F" w:rsidRPr="00D103DA" w:rsidRDefault="00EC776F" w:rsidP="00B26098">
            <w:pPr>
              <w:rPr>
                <w:rFonts w:eastAsia="MS Mincho" w:cs="Times New Roman"/>
                <w:b/>
                <w:noProof/>
                <w:szCs w:val="32"/>
                <w:lang w:val="fr-FR"/>
              </w:rPr>
            </w:pPr>
          </w:p>
        </w:tc>
        <w:tc>
          <w:tcPr>
            <w:tcW w:w="7905" w:type="dxa"/>
            <w:tcBorders>
              <w:left w:val="nil"/>
              <w:right w:val="nil"/>
            </w:tcBorders>
          </w:tcPr>
          <w:p w:rsidR="00D103DA" w:rsidRDefault="00D103DA" w:rsidP="00B26098">
            <w:pPr>
              <w:rPr>
                <w:rFonts w:eastAsia="MS Mincho" w:cs="Times New Roman"/>
                <w:noProof/>
                <w:szCs w:val="32"/>
                <w:lang w:val="fr-FR"/>
              </w:rPr>
            </w:pPr>
          </w:p>
        </w:tc>
      </w:tr>
      <w:tr w:rsidR="00893912" w:rsidRPr="00D42D80" w:rsidTr="003D75CA">
        <w:tc>
          <w:tcPr>
            <w:tcW w:w="1701"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905" w:type="dxa"/>
            <w:tcBorders>
              <w:bottom w:val="single" w:sz="4" w:space="0" w:color="auto"/>
            </w:tcBorders>
          </w:tcPr>
          <w:p w:rsidR="00140482" w:rsidRPr="00113071" w:rsidRDefault="003D75CA" w:rsidP="00C06869">
            <w:pPr>
              <w:spacing w:before="120"/>
              <w:jc w:val="both"/>
              <w:rPr>
                <w:rFonts w:eastAsia="MS Mincho" w:cs="Times New Roman"/>
                <w:noProof/>
                <w:szCs w:val="32"/>
                <w:lang w:val="fr-FR"/>
              </w:rPr>
            </w:pPr>
            <w:r w:rsidRPr="003D75CA">
              <w:rPr>
                <w:rFonts w:eastAsia="MS Mincho" w:cs="Times New Roman"/>
                <w:noProof/>
                <w:szCs w:val="32"/>
                <w:lang w:val="fr-FR"/>
              </w:rPr>
              <w:t>Pratique à mettre en œuvre en amont du CSD : Pas d’impact CSD à ce niveau mais du fait de l’augmentaton des dénouements futurs en T2S en modèle CSD,  il est important d’étendre cette pratique aux opérations int</w:t>
            </w:r>
            <w:r w:rsidR="003E2691">
              <w:rPr>
                <w:rFonts w:eastAsia="MS Mincho" w:cs="Times New Roman"/>
                <w:noProof/>
                <w:szCs w:val="32"/>
                <w:lang w:val="fr-FR"/>
              </w:rPr>
              <w:t>er</w:t>
            </w:r>
            <w:r w:rsidRPr="003D75CA">
              <w:rPr>
                <w:rFonts w:eastAsia="MS Mincho" w:cs="Times New Roman"/>
                <w:noProof/>
                <w:szCs w:val="32"/>
                <w:lang w:val="fr-FR"/>
              </w:rPr>
              <w:t>-CSD, soit en tant que routeur d’ordres en montant sur des fonds étrangers, ou en tant que CTA ou LTA d’ordres en provenance d’une clientèle étrangère. La mise en place de cette pratique à l’échelle internationale permettrait d’éviter les désaccords de montant net à appliquer au client.</w:t>
            </w:r>
          </w:p>
        </w:tc>
      </w:tr>
      <w:tr w:rsidR="0081511D" w:rsidRPr="00D42D80" w:rsidTr="003D75CA">
        <w:tc>
          <w:tcPr>
            <w:tcW w:w="1701"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905"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D42D80" w:rsidTr="003D75CA">
        <w:tc>
          <w:tcPr>
            <w:tcW w:w="1701"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 xml:space="preserve">Description de la problématique </w:t>
            </w:r>
            <w:r>
              <w:rPr>
                <w:rFonts w:eastAsia="MS Mincho" w:cs="Times New Roman"/>
                <w:b/>
                <w:noProof/>
                <w:szCs w:val="32"/>
                <w:lang w:val="fr-FR"/>
              </w:rPr>
              <w:lastRenderedPageBreak/>
              <w:t>majeure</w:t>
            </w:r>
          </w:p>
        </w:tc>
        <w:tc>
          <w:tcPr>
            <w:tcW w:w="7905" w:type="dxa"/>
          </w:tcPr>
          <w:p w:rsidR="003D75CA" w:rsidRPr="003D75CA" w:rsidRDefault="003D75CA" w:rsidP="003D75CA">
            <w:pPr>
              <w:spacing w:before="120"/>
              <w:jc w:val="both"/>
              <w:rPr>
                <w:rFonts w:eastAsia="MS Mincho" w:cs="Times New Roman"/>
                <w:noProof/>
                <w:szCs w:val="32"/>
                <w:lang w:val="fr-FR"/>
              </w:rPr>
            </w:pPr>
            <w:r w:rsidRPr="003D75CA">
              <w:rPr>
                <w:rFonts w:eastAsia="MS Mincho" w:cs="Times New Roman"/>
                <w:noProof/>
                <w:szCs w:val="32"/>
                <w:lang w:val="fr-FR"/>
              </w:rPr>
              <w:lastRenderedPageBreak/>
              <w:t>L’absence de mise en place de cette pratique obligerait la profession à gérer les rompus hors système, et surtout augmenterait les écarts de dénouement liés aux ordres en montant.</w:t>
            </w:r>
          </w:p>
          <w:p w:rsidR="003D75CA" w:rsidRPr="003D75CA" w:rsidRDefault="003D75CA" w:rsidP="003D75CA">
            <w:pPr>
              <w:spacing w:before="120"/>
              <w:jc w:val="both"/>
              <w:rPr>
                <w:rFonts w:eastAsia="MS Mincho" w:cs="Times New Roman"/>
                <w:noProof/>
                <w:szCs w:val="32"/>
                <w:lang w:val="fr-FR"/>
              </w:rPr>
            </w:pPr>
            <w:r w:rsidRPr="003D75CA">
              <w:rPr>
                <w:rFonts w:eastAsia="MS Mincho" w:cs="Times New Roman"/>
                <w:noProof/>
                <w:szCs w:val="32"/>
                <w:lang w:val="fr-FR"/>
              </w:rPr>
              <w:lastRenderedPageBreak/>
              <w:t xml:space="preserve">Un taux de dénouement optimal sur T2S passe par une harmonisation des pratiques en amont dont notamment l’harmonisation du nombre de décimales à la souscription en fonction de la taille des ordres en montants : pratique courante de souscription des investisseurs en Europe. </w:t>
            </w:r>
          </w:p>
          <w:p w:rsidR="0081511D" w:rsidRPr="00113071" w:rsidRDefault="003D75CA" w:rsidP="003D75CA">
            <w:pPr>
              <w:spacing w:before="120"/>
              <w:jc w:val="both"/>
              <w:rPr>
                <w:rFonts w:eastAsia="MS Mincho" w:cs="Times New Roman"/>
                <w:noProof/>
                <w:szCs w:val="32"/>
                <w:lang w:val="fr-FR"/>
              </w:rPr>
            </w:pPr>
            <w:r w:rsidRPr="003D75CA">
              <w:rPr>
                <w:rFonts w:eastAsia="MS Mincho" w:cs="Times New Roman"/>
                <w:noProof/>
                <w:szCs w:val="32"/>
                <w:lang w:val="fr-FR"/>
              </w:rPr>
              <w:t>Objectif : réduire les mouvements de cash supplémentaires</w:t>
            </w:r>
          </w:p>
        </w:tc>
      </w:tr>
      <w:tr w:rsidR="0081511D" w:rsidRPr="00D42D80" w:rsidTr="003D75CA">
        <w:tc>
          <w:tcPr>
            <w:tcW w:w="1701" w:type="dxa"/>
            <w:tcBorders>
              <w:left w:val="nil"/>
              <w:right w:val="nil"/>
            </w:tcBorders>
            <w:shd w:val="clear" w:color="auto" w:fill="auto"/>
          </w:tcPr>
          <w:p w:rsidR="0081511D" w:rsidRDefault="0081511D" w:rsidP="00E87204">
            <w:pPr>
              <w:rPr>
                <w:rFonts w:eastAsia="MS Mincho" w:cs="Times New Roman"/>
                <w:b/>
                <w:noProof/>
                <w:szCs w:val="32"/>
                <w:lang w:val="fr-FR"/>
              </w:rPr>
            </w:pPr>
          </w:p>
        </w:tc>
        <w:tc>
          <w:tcPr>
            <w:tcW w:w="7905" w:type="dxa"/>
            <w:tcBorders>
              <w:left w:val="nil"/>
              <w:right w:val="nil"/>
            </w:tcBorders>
            <w:shd w:val="clear" w:color="auto" w:fill="auto"/>
          </w:tcPr>
          <w:p w:rsidR="0081511D" w:rsidRPr="0081511D" w:rsidRDefault="0081511D" w:rsidP="00E87204">
            <w:pPr>
              <w:rPr>
                <w:rFonts w:eastAsia="MS Mincho" w:cs="Times New Roman"/>
                <w:b/>
                <w:noProof/>
                <w:szCs w:val="32"/>
                <w:lang w:val="fr-FR"/>
              </w:rPr>
            </w:pPr>
          </w:p>
        </w:tc>
      </w:tr>
      <w:tr w:rsidR="0081511D" w:rsidRPr="0081511D" w:rsidTr="003D75CA">
        <w:tc>
          <w:tcPr>
            <w:tcW w:w="1701" w:type="dxa"/>
            <w:shd w:val="clear" w:color="auto" w:fill="BFBFBF" w:themeFill="background1" w:themeFillShade="BF"/>
          </w:tcPr>
          <w:p w:rsidR="0081511D" w:rsidRDefault="0081511D" w:rsidP="00E87204">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E87204">
            <w:pPr>
              <w:rPr>
                <w:rFonts w:eastAsia="MS Mincho" w:cs="Times New Roman"/>
                <w:b/>
                <w:noProof/>
                <w:szCs w:val="32"/>
                <w:lang w:val="fr-FR"/>
              </w:rPr>
            </w:pPr>
            <w:r>
              <w:rPr>
                <w:rFonts w:eastAsia="MS Mincho" w:cs="Times New Roman"/>
                <w:b/>
                <w:noProof/>
                <w:szCs w:val="32"/>
                <w:lang w:val="fr-FR"/>
              </w:rPr>
              <w:t>(FACULTATIF)</w:t>
            </w:r>
          </w:p>
        </w:tc>
        <w:tc>
          <w:tcPr>
            <w:tcW w:w="7905" w:type="dxa"/>
          </w:tcPr>
          <w:p w:rsidR="0081511D" w:rsidRDefault="0081511D" w:rsidP="00E87204">
            <w:pPr>
              <w:rPr>
                <w:rFonts w:eastAsia="MS Mincho" w:cs="Times New Roman"/>
                <w:noProof/>
                <w:szCs w:val="32"/>
                <w:lang w:val="fr-FR"/>
              </w:rPr>
            </w:pPr>
          </w:p>
          <w:p w:rsidR="0081511D" w:rsidRDefault="0081511D" w:rsidP="00E87204">
            <w:pPr>
              <w:rPr>
                <w:rFonts w:eastAsia="MS Mincho" w:cs="Times New Roman"/>
                <w:noProof/>
                <w:szCs w:val="32"/>
                <w:lang w:val="fr-FR"/>
              </w:rPr>
            </w:pPr>
          </w:p>
          <w:p w:rsidR="0081511D" w:rsidRDefault="0081511D" w:rsidP="00E87204">
            <w:pPr>
              <w:rPr>
                <w:rFonts w:eastAsia="MS Mincho" w:cs="Times New Roman"/>
                <w:noProof/>
                <w:szCs w:val="32"/>
                <w:lang w:val="fr-FR"/>
              </w:rPr>
            </w:pPr>
          </w:p>
        </w:tc>
      </w:tr>
      <w:tr w:rsidR="0081511D" w:rsidRPr="0081511D" w:rsidTr="003D75CA">
        <w:tc>
          <w:tcPr>
            <w:tcW w:w="1701" w:type="dxa"/>
            <w:tcBorders>
              <w:left w:val="nil"/>
              <w:right w:val="nil"/>
            </w:tcBorders>
            <w:shd w:val="clear" w:color="auto" w:fill="auto"/>
          </w:tcPr>
          <w:p w:rsidR="0081511D" w:rsidRDefault="0081511D" w:rsidP="00E87204">
            <w:pPr>
              <w:rPr>
                <w:rFonts w:eastAsia="MS Mincho" w:cs="Times New Roman"/>
                <w:b/>
                <w:noProof/>
                <w:szCs w:val="32"/>
                <w:lang w:val="fr-FR"/>
              </w:rPr>
            </w:pPr>
          </w:p>
        </w:tc>
        <w:tc>
          <w:tcPr>
            <w:tcW w:w="7905" w:type="dxa"/>
            <w:tcBorders>
              <w:left w:val="nil"/>
              <w:right w:val="nil"/>
            </w:tcBorders>
            <w:shd w:val="clear" w:color="auto" w:fill="auto"/>
          </w:tcPr>
          <w:p w:rsidR="0081511D" w:rsidRPr="0081511D" w:rsidRDefault="0081511D" w:rsidP="00E87204">
            <w:pPr>
              <w:rPr>
                <w:rFonts w:eastAsia="MS Mincho" w:cs="Times New Roman"/>
                <w:b/>
                <w:noProof/>
                <w:szCs w:val="32"/>
                <w:lang w:val="fr-FR"/>
              </w:rPr>
            </w:pPr>
          </w:p>
        </w:tc>
      </w:tr>
      <w:tr w:rsidR="0081511D" w:rsidRPr="0081511D" w:rsidTr="003D75CA">
        <w:tc>
          <w:tcPr>
            <w:tcW w:w="1701" w:type="dxa"/>
            <w:shd w:val="clear" w:color="auto" w:fill="BFBFBF" w:themeFill="background1" w:themeFillShade="BF"/>
          </w:tcPr>
          <w:p w:rsidR="0081511D" w:rsidRDefault="0081511D" w:rsidP="00E87204">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E87204">
            <w:pPr>
              <w:rPr>
                <w:rFonts w:eastAsia="MS Mincho" w:cs="Times New Roman"/>
                <w:b/>
                <w:noProof/>
                <w:szCs w:val="32"/>
                <w:lang w:val="fr-FR"/>
              </w:rPr>
            </w:pPr>
            <w:r>
              <w:rPr>
                <w:rFonts w:eastAsia="MS Mincho" w:cs="Times New Roman"/>
                <w:b/>
                <w:noProof/>
                <w:szCs w:val="32"/>
                <w:lang w:val="fr-FR"/>
              </w:rPr>
              <w:t>(FACULTATIF)</w:t>
            </w:r>
          </w:p>
        </w:tc>
        <w:tc>
          <w:tcPr>
            <w:tcW w:w="7905" w:type="dxa"/>
          </w:tcPr>
          <w:p w:rsidR="0081511D" w:rsidRPr="00FD2FD6" w:rsidRDefault="0081511D" w:rsidP="0081511D">
            <w:pPr>
              <w:rPr>
                <w:rFonts w:eastAsia="MS Mincho" w:cs="Times New Roman"/>
                <w:noProof/>
                <w:szCs w:val="32"/>
                <w:lang w:val="fr-FR"/>
              </w:rPr>
            </w:pPr>
          </w:p>
        </w:tc>
      </w:tr>
      <w:tr w:rsidR="0081511D" w:rsidRPr="0081511D" w:rsidTr="003D75CA">
        <w:tc>
          <w:tcPr>
            <w:tcW w:w="1701" w:type="dxa"/>
            <w:tcBorders>
              <w:left w:val="nil"/>
              <w:right w:val="nil"/>
            </w:tcBorders>
            <w:shd w:val="clear" w:color="auto" w:fill="auto"/>
          </w:tcPr>
          <w:p w:rsidR="0081511D" w:rsidRDefault="0081511D" w:rsidP="00E87204">
            <w:pPr>
              <w:rPr>
                <w:rFonts w:eastAsia="MS Mincho" w:cs="Times New Roman"/>
                <w:b/>
                <w:noProof/>
                <w:szCs w:val="32"/>
                <w:lang w:val="fr-FR"/>
              </w:rPr>
            </w:pPr>
          </w:p>
        </w:tc>
        <w:tc>
          <w:tcPr>
            <w:tcW w:w="7905" w:type="dxa"/>
            <w:tcBorders>
              <w:left w:val="nil"/>
              <w:right w:val="nil"/>
            </w:tcBorders>
            <w:shd w:val="clear" w:color="auto" w:fill="auto"/>
          </w:tcPr>
          <w:p w:rsidR="0081511D" w:rsidRPr="0081511D" w:rsidRDefault="0081511D" w:rsidP="00E87204">
            <w:pPr>
              <w:rPr>
                <w:rFonts w:eastAsia="MS Mincho" w:cs="Times New Roman"/>
                <w:b/>
                <w:noProof/>
                <w:szCs w:val="32"/>
                <w:lang w:val="fr-FR"/>
              </w:rPr>
            </w:pPr>
          </w:p>
        </w:tc>
      </w:tr>
      <w:tr w:rsidR="0081511D" w:rsidRPr="00D42D80" w:rsidTr="003D75CA">
        <w:tc>
          <w:tcPr>
            <w:tcW w:w="1701"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905" w:type="dxa"/>
            <w:tcBorders>
              <w:bottom w:val="single" w:sz="4" w:space="0" w:color="auto"/>
            </w:tcBorders>
          </w:tcPr>
          <w:p w:rsidR="00C06869" w:rsidRPr="003D75CA" w:rsidRDefault="003D75CA" w:rsidP="003D75CA">
            <w:pPr>
              <w:jc w:val="both"/>
              <w:rPr>
                <w:rFonts w:eastAsia="MS Mincho" w:cs="Times New Roman"/>
                <w:noProof/>
                <w:szCs w:val="32"/>
                <w:lang w:val="fr-FR"/>
              </w:rPr>
            </w:pPr>
            <w:r>
              <w:rPr>
                <w:rFonts w:eastAsia="MS Mincho" w:cs="Times New Roman"/>
                <w:noProof/>
                <w:szCs w:val="32"/>
                <w:lang w:val="fr-FR"/>
              </w:rPr>
              <w:t>NB : A rapprocher de la problématique des arrondis</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34" w:type="dxa"/>
        <w:tblLayout w:type="fixed"/>
        <w:tblLook w:val="04A0" w:firstRow="1" w:lastRow="0" w:firstColumn="1" w:lastColumn="0" w:noHBand="0" w:noVBand="1"/>
      </w:tblPr>
      <w:tblGrid>
        <w:gridCol w:w="1696"/>
        <w:gridCol w:w="7938"/>
      </w:tblGrid>
      <w:tr w:rsidR="001E0D83" w:rsidRPr="00D42D80" w:rsidTr="00065025">
        <w:tc>
          <w:tcPr>
            <w:tcW w:w="1696"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938" w:type="dxa"/>
          </w:tcPr>
          <w:p w:rsidR="003D75CA" w:rsidRDefault="003D75CA" w:rsidP="003D75CA">
            <w:pPr>
              <w:spacing w:before="120"/>
              <w:jc w:val="both"/>
              <w:rPr>
                <w:rFonts w:eastAsia="MS Mincho" w:cs="Times New Roman"/>
                <w:noProof/>
                <w:szCs w:val="32"/>
                <w:lang w:val="fr-FR"/>
              </w:rPr>
            </w:pPr>
            <w:r>
              <w:rPr>
                <w:rFonts w:eastAsia="MS Mincho" w:cs="Times New Roman"/>
                <w:noProof/>
                <w:szCs w:val="32"/>
                <w:lang w:val="fr-FR"/>
              </w:rPr>
              <w:t>Le marché français propos</w:t>
            </w:r>
            <w:r w:rsidR="00E87204">
              <w:rPr>
                <w:rFonts w:eastAsia="MS Mincho" w:cs="Times New Roman"/>
                <w:noProof/>
                <w:szCs w:val="32"/>
                <w:lang w:val="fr-FR"/>
              </w:rPr>
              <w:t>e</w:t>
            </w:r>
            <w:r>
              <w:rPr>
                <w:rFonts w:eastAsia="MS Mincho" w:cs="Times New Roman"/>
                <w:noProof/>
                <w:szCs w:val="32"/>
                <w:lang w:val="fr-FR"/>
              </w:rPr>
              <w:t xml:space="preserve"> cette pratique pour permettre les ordres en montants lorsque le prospectus le prévoit. L’objectif est d’éviter les  rompus lors de souscriptions/ rachats  en montant. Le but est de s’approcher au plus prêt du montant souscrit en utilisant l’équation ( éviter les mismatch).</w:t>
            </w:r>
          </w:p>
          <w:p w:rsidR="003D75CA" w:rsidRPr="006E2AEE" w:rsidRDefault="003D75CA" w:rsidP="003D75CA">
            <w:pPr>
              <w:spacing w:before="120"/>
              <w:jc w:val="both"/>
              <w:rPr>
                <w:rFonts w:eastAsia="MS Mincho" w:cs="Times New Roman"/>
                <w:noProof/>
                <w:szCs w:val="32"/>
                <w:lang w:val="fr-FR"/>
              </w:rPr>
            </w:pPr>
            <w:r w:rsidRPr="006E2AEE">
              <w:rPr>
                <w:rFonts w:eastAsia="MS Mincho" w:cs="Times New Roman"/>
                <w:noProof/>
                <w:szCs w:val="32"/>
                <w:lang w:val="fr-FR"/>
              </w:rPr>
              <w:t xml:space="preserve">Pour la détermination de la </w:t>
            </w:r>
            <w:r>
              <w:rPr>
                <w:rFonts w:eastAsia="MS Mincho" w:cs="Times New Roman"/>
                <w:noProof/>
                <w:szCs w:val="32"/>
                <w:lang w:val="fr-FR"/>
              </w:rPr>
              <w:t>quantité souscrite, le centralisateur recommande</w:t>
            </w:r>
            <w:r w:rsidRPr="006E2AEE">
              <w:rPr>
                <w:rFonts w:eastAsia="MS Mincho" w:cs="Times New Roman"/>
                <w:noProof/>
                <w:szCs w:val="32"/>
                <w:lang w:val="fr-FR"/>
              </w:rPr>
              <w:t xml:space="preserve"> d’appliquer la formule suivante, tant pour les ordres de souscriptions en montant que pour les rachats en montant :</w:t>
            </w:r>
          </w:p>
          <w:p w:rsidR="003D75CA" w:rsidRDefault="003D75CA" w:rsidP="003D75CA">
            <w:pPr>
              <w:jc w:val="both"/>
              <w:rPr>
                <w:rFonts w:eastAsia="MS Mincho" w:cs="Times New Roman"/>
                <w:noProof/>
                <w:szCs w:val="32"/>
                <w:lang w:val="fr-FR"/>
              </w:rPr>
            </w:pPr>
            <w:r>
              <w:rPr>
                <w:noProof/>
              </w:rPr>
              <w:drawing>
                <wp:inline distT="0" distB="0" distL="0" distR="0" wp14:anchorId="24FB0959" wp14:editId="4DA251BB">
                  <wp:extent cx="4968000" cy="34967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68000" cy="349673"/>
                          </a:xfrm>
                          <a:prstGeom prst="rect">
                            <a:avLst/>
                          </a:prstGeom>
                          <a:noFill/>
                          <a:ln>
                            <a:noFill/>
                          </a:ln>
                        </pic:spPr>
                      </pic:pic>
                    </a:graphicData>
                  </a:graphic>
                </wp:inline>
              </w:drawing>
            </w:r>
          </w:p>
          <w:p w:rsidR="003D75CA" w:rsidRDefault="003D75CA" w:rsidP="003D75CA">
            <w:pPr>
              <w:pStyle w:val="FDNormal"/>
              <w:rPr>
                <w:rFonts w:asciiTheme="minorHAnsi" w:eastAsia="MS Mincho" w:hAnsiTheme="minorHAnsi" w:cs="Times New Roman"/>
                <w:noProof/>
                <w:sz w:val="22"/>
                <w:szCs w:val="32"/>
                <w:lang w:eastAsia="en-US"/>
              </w:rPr>
            </w:pPr>
          </w:p>
          <w:p w:rsidR="003D75CA" w:rsidRPr="006E2AEE" w:rsidRDefault="003D75CA" w:rsidP="003D75CA">
            <w:pPr>
              <w:pStyle w:val="FDNormal"/>
              <w:rPr>
                <w:rFonts w:asciiTheme="minorHAnsi" w:eastAsia="MS Mincho" w:hAnsiTheme="minorHAnsi" w:cs="Times New Roman"/>
                <w:noProof/>
                <w:sz w:val="22"/>
                <w:szCs w:val="32"/>
                <w:lang w:eastAsia="en-US"/>
              </w:rPr>
            </w:pPr>
            <w:r w:rsidRPr="006E2AEE">
              <w:rPr>
                <w:rFonts w:asciiTheme="minorHAnsi" w:eastAsia="MS Mincho" w:hAnsiTheme="minorHAnsi" w:cs="Times New Roman"/>
                <w:noProof/>
                <w:sz w:val="22"/>
                <w:szCs w:val="32"/>
                <w:lang w:eastAsia="en-US"/>
              </w:rPr>
              <w:t>La table suivante permet de déterminer le bon couple VL / décimalisation :</w:t>
            </w:r>
          </w:p>
          <w:tbl>
            <w:tblPr>
              <w:tblW w:w="7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8"/>
              <w:gridCol w:w="3798"/>
            </w:tblGrid>
            <w:tr w:rsidR="003D75CA" w:rsidRPr="002E7699" w:rsidTr="00065025">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inférieure à EUR 1.999</w:t>
                  </w:r>
                </w:p>
              </w:tc>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 xml:space="preserve">Décimalisation sur 3 positions </w:t>
                  </w:r>
                </w:p>
              </w:tc>
            </w:tr>
            <w:tr w:rsidR="003D75CA" w:rsidRPr="002E7699" w:rsidTr="00065025">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comprise entre EUR 2.000 et  EUR 19.999</w:t>
                  </w:r>
                </w:p>
              </w:tc>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 xml:space="preserve">Décimalisation sur 4 positions </w:t>
                  </w:r>
                </w:p>
              </w:tc>
            </w:tr>
            <w:tr w:rsidR="003D75CA" w:rsidRPr="002E7699" w:rsidTr="00065025">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comprise entre EUR 20.000 et EUR 199.999</w:t>
                  </w:r>
                </w:p>
              </w:tc>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 xml:space="preserve">Décimalisation sur 5 positions </w:t>
                  </w:r>
                </w:p>
              </w:tc>
            </w:tr>
            <w:tr w:rsidR="003D75CA" w:rsidRPr="00D42D80" w:rsidTr="00065025">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VL supérieure à EUR 200.000</w:t>
                  </w:r>
                </w:p>
              </w:tc>
              <w:tc>
                <w:tcPr>
                  <w:tcW w:w="3798" w:type="dxa"/>
                </w:tcPr>
                <w:p w:rsidR="003D75CA" w:rsidRPr="002E7699" w:rsidRDefault="003D75CA" w:rsidP="00E87204">
                  <w:pPr>
                    <w:pStyle w:val="FDNormal"/>
                    <w:rPr>
                      <w:rFonts w:asciiTheme="minorHAnsi" w:eastAsia="MS Mincho" w:hAnsiTheme="minorHAnsi" w:cs="Times New Roman"/>
                      <w:noProof/>
                      <w:sz w:val="18"/>
                      <w:szCs w:val="32"/>
                      <w:lang w:eastAsia="en-US"/>
                    </w:rPr>
                  </w:pPr>
                  <w:r w:rsidRPr="002E7699">
                    <w:rPr>
                      <w:rFonts w:asciiTheme="minorHAnsi" w:eastAsia="MS Mincho" w:hAnsiTheme="minorHAnsi" w:cs="Times New Roman"/>
                      <w:noProof/>
                      <w:sz w:val="18"/>
                      <w:szCs w:val="32"/>
                      <w:lang w:eastAsia="en-US"/>
                    </w:rPr>
                    <w:t>OST de division à mettre en place</w:t>
                  </w:r>
                </w:p>
              </w:tc>
            </w:tr>
          </w:tbl>
          <w:p w:rsidR="003D75CA" w:rsidRDefault="003D75CA" w:rsidP="003D75CA">
            <w:pPr>
              <w:jc w:val="both"/>
              <w:rPr>
                <w:rFonts w:eastAsia="MS Mincho" w:cs="Times New Roman"/>
                <w:noProof/>
                <w:szCs w:val="32"/>
                <w:lang w:val="fr-FR"/>
              </w:rPr>
            </w:pPr>
          </w:p>
          <w:p w:rsidR="00AA1FDB" w:rsidRPr="00C06869" w:rsidRDefault="00AA1FDB" w:rsidP="00C06869">
            <w:pPr>
              <w:spacing w:before="120"/>
              <w:jc w:val="both"/>
              <w:rPr>
                <w:rFonts w:eastAsia="MS Mincho" w:cs="Times New Roman"/>
                <w:noProof/>
                <w:szCs w:val="32"/>
                <w:lang w:val="fr-FR"/>
              </w:rPr>
            </w:pPr>
          </w:p>
        </w:tc>
      </w:tr>
      <w:tr w:rsidR="00C06869" w:rsidRPr="00D42D80" w:rsidTr="00065025">
        <w:tc>
          <w:tcPr>
            <w:tcW w:w="1696" w:type="dxa"/>
            <w:shd w:val="clear" w:color="auto" w:fill="BFBFBF" w:themeFill="background1" w:themeFillShade="BF"/>
          </w:tcPr>
          <w:p w:rsidR="00C06869" w:rsidRDefault="00C06869" w:rsidP="00EC776F">
            <w:pPr>
              <w:rPr>
                <w:rFonts w:eastAsia="MS Mincho" w:cs="Times New Roman"/>
                <w:b/>
                <w:noProof/>
                <w:szCs w:val="32"/>
                <w:lang w:val="fr-FR"/>
              </w:rPr>
            </w:pPr>
            <w:r>
              <w:rPr>
                <w:rFonts w:eastAsia="MS Mincho" w:cs="Times New Roman"/>
                <w:b/>
                <w:noProof/>
                <w:szCs w:val="32"/>
                <w:lang w:val="fr-FR"/>
              </w:rPr>
              <w:t xml:space="preserve">Raisons du </w:t>
            </w:r>
            <w:r>
              <w:rPr>
                <w:rFonts w:eastAsia="MS Mincho" w:cs="Times New Roman"/>
                <w:b/>
                <w:noProof/>
                <w:szCs w:val="32"/>
                <w:lang w:val="fr-FR"/>
              </w:rPr>
              <w:lastRenderedPageBreak/>
              <w:t>choix</w:t>
            </w:r>
          </w:p>
        </w:tc>
        <w:tc>
          <w:tcPr>
            <w:tcW w:w="7938" w:type="dxa"/>
          </w:tcPr>
          <w:p w:rsidR="003D75CA" w:rsidRPr="003D75CA" w:rsidRDefault="003D75CA" w:rsidP="003D75CA">
            <w:pPr>
              <w:spacing w:before="120"/>
              <w:jc w:val="both"/>
              <w:rPr>
                <w:rFonts w:eastAsia="MS Mincho" w:cs="Times New Roman"/>
                <w:noProof/>
                <w:szCs w:val="32"/>
                <w:lang w:val="fr-FR"/>
              </w:rPr>
            </w:pPr>
            <w:r w:rsidRPr="003D75CA">
              <w:rPr>
                <w:rFonts w:eastAsia="MS Mincho" w:cs="Times New Roman"/>
                <w:noProof/>
                <w:szCs w:val="32"/>
                <w:lang w:val="fr-FR"/>
              </w:rPr>
              <w:lastRenderedPageBreak/>
              <w:t xml:space="preserve">Pratique à mettre en œuvre du fait de l’augmentaton des dénouements futurs en T2S </w:t>
            </w:r>
            <w:r w:rsidRPr="003D75CA">
              <w:rPr>
                <w:rFonts w:eastAsia="MS Mincho" w:cs="Times New Roman"/>
                <w:noProof/>
                <w:szCs w:val="32"/>
                <w:lang w:val="fr-FR"/>
              </w:rPr>
              <w:lastRenderedPageBreak/>
              <w:t xml:space="preserve">en modèle CSD : il est important d’étendre cette pratique aux opérations intra-CSD, soit en tant que routeur d’ordres en montant sur des fonds étrangers, ou en tant que CTA ou LTA d’ordres en provenance d’une clientèle étrangère. </w:t>
            </w:r>
          </w:p>
          <w:p w:rsidR="00C06869" w:rsidRDefault="003D75CA" w:rsidP="003D75CA">
            <w:pPr>
              <w:spacing w:before="120"/>
              <w:jc w:val="both"/>
              <w:rPr>
                <w:rFonts w:eastAsia="MS Mincho" w:cs="Times New Roman"/>
                <w:noProof/>
                <w:szCs w:val="32"/>
                <w:lang w:val="fr-FR"/>
              </w:rPr>
            </w:pPr>
            <w:r w:rsidRPr="003D75CA">
              <w:rPr>
                <w:rFonts w:eastAsia="MS Mincho" w:cs="Times New Roman"/>
                <w:noProof/>
                <w:szCs w:val="32"/>
                <w:lang w:val="fr-FR"/>
              </w:rPr>
              <w:t>La mise en place de cette pratique à l’échelle internationale permettrait d’avoir une même pratique sur cette typologie d’ordres, et éviterait les désaccords de montant net à appliquer au client.</w:t>
            </w:r>
          </w:p>
        </w:tc>
      </w:tr>
      <w:tr w:rsidR="0081511D" w:rsidRPr="00D42D80" w:rsidTr="00065025">
        <w:tc>
          <w:tcPr>
            <w:tcW w:w="1696" w:type="dxa"/>
            <w:tcBorders>
              <w:left w:val="nil"/>
              <w:right w:val="nil"/>
            </w:tcBorders>
            <w:shd w:val="clear" w:color="auto" w:fill="auto"/>
          </w:tcPr>
          <w:p w:rsidR="0081511D" w:rsidRDefault="0081511D" w:rsidP="00E87204">
            <w:pPr>
              <w:rPr>
                <w:rFonts w:eastAsia="MS Mincho" w:cs="Times New Roman"/>
                <w:b/>
                <w:noProof/>
                <w:szCs w:val="32"/>
                <w:lang w:val="fr-FR"/>
              </w:rPr>
            </w:pPr>
          </w:p>
        </w:tc>
        <w:tc>
          <w:tcPr>
            <w:tcW w:w="7938" w:type="dxa"/>
            <w:tcBorders>
              <w:left w:val="nil"/>
              <w:right w:val="nil"/>
            </w:tcBorders>
            <w:shd w:val="clear" w:color="auto" w:fill="auto"/>
          </w:tcPr>
          <w:p w:rsidR="0081511D" w:rsidRPr="0081511D" w:rsidRDefault="0081511D" w:rsidP="00E87204">
            <w:pPr>
              <w:rPr>
                <w:rFonts w:eastAsia="MS Mincho" w:cs="Times New Roman"/>
                <w:b/>
                <w:noProof/>
                <w:szCs w:val="32"/>
                <w:lang w:val="fr-FR"/>
              </w:rPr>
            </w:pPr>
          </w:p>
        </w:tc>
      </w:tr>
      <w:tr w:rsidR="0081511D" w:rsidTr="00065025">
        <w:tc>
          <w:tcPr>
            <w:tcW w:w="1696" w:type="dxa"/>
            <w:tcBorders>
              <w:bottom w:val="single" w:sz="4" w:space="0" w:color="auto"/>
            </w:tcBorders>
            <w:shd w:val="clear" w:color="auto" w:fill="BFBFBF" w:themeFill="background1" w:themeFillShade="BF"/>
          </w:tcPr>
          <w:p w:rsidR="0081511D" w:rsidRDefault="0081511D" w:rsidP="00E87204">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E87204">
            <w:pPr>
              <w:rPr>
                <w:rFonts w:eastAsia="MS Mincho" w:cs="Times New Roman"/>
                <w:b/>
                <w:noProof/>
                <w:szCs w:val="32"/>
                <w:lang w:val="fr-FR"/>
              </w:rPr>
            </w:pPr>
            <w:r>
              <w:rPr>
                <w:rFonts w:eastAsia="MS Mincho" w:cs="Times New Roman"/>
                <w:b/>
                <w:noProof/>
                <w:szCs w:val="32"/>
                <w:lang w:val="fr-FR"/>
              </w:rPr>
              <w:t>(FACULTATIF)</w:t>
            </w:r>
          </w:p>
        </w:tc>
        <w:tc>
          <w:tcPr>
            <w:tcW w:w="7938" w:type="dxa"/>
            <w:tcBorders>
              <w:bottom w:val="single" w:sz="4" w:space="0" w:color="auto"/>
            </w:tcBorders>
          </w:tcPr>
          <w:p w:rsidR="0081511D" w:rsidRDefault="0081511D" w:rsidP="00E87204">
            <w:pPr>
              <w:rPr>
                <w:rFonts w:eastAsia="MS Mincho" w:cs="Times New Roman"/>
                <w:noProof/>
                <w:szCs w:val="32"/>
                <w:lang w:val="fr-FR"/>
              </w:rPr>
            </w:pPr>
          </w:p>
          <w:p w:rsidR="0081511D" w:rsidRDefault="0081511D" w:rsidP="00E87204">
            <w:pPr>
              <w:rPr>
                <w:rFonts w:eastAsia="MS Mincho" w:cs="Times New Roman"/>
                <w:noProof/>
                <w:szCs w:val="32"/>
                <w:lang w:val="fr-FR"/>
              </w:rPr>
            </w:pPr>
          </w:p>
          <w:p w:rsidR="0081511D" w:rsidRDefault="0081511D" w:rsidP="00E87204">
            <w:pPr>
              <w:rPr>
                <w:rFonts w:eastAsia="MS Mincho" w:cs="Times New Roman"/>
                <w:noProof/>
                <w:szCs w:val="32"/>
                <w:lang w:val="fr-FR"/>
              </w:rPr>
            </w:pPr>
          </w:p>
          <w:p w:rsidR="0081511D" w:rsidRDefault="0081511D" w:rsidP="00E87204">
            <w:pPr>
              <w:rPr>
                <w:rFonts w:eastAsia="MS Mincho" w:cs="Times New Roman"/>
                <w:noProof/>
                <w:szCs w:val="32"/>
                <w:lang w:val="fr-FR"/>
              </w:rPr>
            </w:pPr>
          </w:p>
        </w:tc>
      </w:tr>
      <w:tr w:rsidR="0081511D" w:rsidTr="00065025">
        <w:tc>
          <w:tcPr>
            <w:tcW w:w="1696" w:type="dxa"/>
            <w:tcBorders>
              <w:left w:val="nil"/>
              <w:right w:val="nil"/>
            </w:tcBorders>
            <w:shd w:val="clear" w:color="auto" w:fill="FFFFFF" w:themeFill="background1"/>
          </w:tcPr>
          <w:p w:rsidR="0081511D" w:rsidRDefault="0081511D" w:rsidP="00E87204">
            <w:pPr>
              <w:rPr>
                <w:rFonts w:eastAsia="MS Mincho" w:cs="Times New Roman"/>
                <w:b/>
                <w:noProof/>
                <w:szCs w:val="32"/>
                <w:lang w:val="fr-FR"/>
              </w:rPr>
            </w:pPr>
          </w:p>
        </w:tc>
        <w:tc>
          <w:tcPr>
            <w:tcW w:w="7938" w:type="dxa"/>
            <w:tcBorders>
              <w:left w:val="nil"/>
              <w:bottom w:val="single" w:sz="4" w:space="0" w:color="auto"/>
              <w:right w:val="nil"/>
            </w:tcBorders>
            <w:shd w:val="clear" w:color="auto" w:fill="FFFFFF" w:themeFill="background1"/>
          </w:tcPr>
          <w:p w:rsidR="0081511D" w:rsidRDefault="0081511D" w:rsidP="00E87204">
            <w:pPr>
              <w:rPr>
                <w:rFonts w:eastAsia="MS Mincho" w:cs="Times New Roman"/>
                <w:noProof/>
                <w:szCs w:val="32"/>
                <w:lang w:val="fr-FR"/>
              </w:rPr>
            </w:pPr>
          </w:p>
        </w:tc>
      </w:tr>
      <w:tr w:rsidR="0081511D" w:rsidTr="00065025">
        <w:tc>
          <w:tcPr>
            <w:tcW w:w="1696" w:type="dxa"/>
            <w:shd w:val="clear" w:color="auto" w:fill="BFBFBF" w:themeFill="background1" w:themeFillShade="BF"/>
          </w:tcPr>
          <w:p w:rsidR="0081511D" w:rsidRDefault="0081511D" w:rsidP="00E87204">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E87204">
            <w:pPr>
              <w:rPr>
                <w:rFonts w:eastAsia="MS Mincho" w:cs="Times New Roman"/>
                <w:b/>
                <w:noProof/>
                <w:szCs w:val="32"/>
                <w:lang w:val="fr-FR"/>
              </w:rPr>
            </w:pPr>
            <w:r>
              <w:rPr>
                <w:rFonts w:eastAsia="MS Mincho" w:cs="Times New Roman"/>
                <w:b/>
                <w:noProof/>
                <w:szCs w:val="32"/>
                <w:lang w:val="fr-FR"/>
              </w:rPr>
              <w:t>(FACULTATIF)</w:t>
            </w:r>
          </w:p>
        </w:tc>
        <w:tc>
          <w:tcPr>
            <w:tcW w:w="7938" w:type="dxa"/>
            <w:tcBorders>
              <w:bottom w:val="single" w:sz="4" w:space="0" w:color="auto"/>
            </w:tcBorders>
          </w:tcPr>
          <w:p w:rsidR="0081511D" w:rsidRDefault="0081511D" w:rsidP="00E87204">
            <w:pPr>
              <w:rPr>
                <w:rFonts w:eastAsia="MS Mincho" w:cs="Times New Roman"/>
                <w:noProof/>
                <w:szCs w:val="32"/>
                <w:lang w:val="fr-FR"/>
              </w:rPr>
            </w:pPr>
          </w:p>
          <w:p w:rsidR="0081511D" w:rsidRDefault="0081511D" w:rsidP="00E87204">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D42D80" w:rsidTr="00E87204">
        <w:trPr>
          <w:trHeight w:val="338"/>
        </w:trPr>
        <w:tc>
          <w:tcPr>
            <w:tcW w:w="2302" w:type="dxa"/>
            <w:vMerge w:val="restart"/>
            <w:shd w:val="clear" w:color="auto" w:fill="BFBFBF" w:themeFill="background1" w:themeFillShade="BF"/>
          </w:tcPr>
          <w:p w:rsidR="00140482" w:rsidRPr="00D103DA" w:rsidRDefault="00140482" w:rsidP="00E87204">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E87204">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E87204">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E87204">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E87204">
        <w:trPr>
          <w:trHeight w:val="337"/>
        </w:trPr>
        <w:tc>
          <w:tcPr>
            <w:tcW w:w="2302" w:type="dxa"/>
            <w:vMerge/>
            <w:tcBorders>
              <w:bottom w:val="single" w:sz="4" w:space="0" w:color="auto"/>
            </w:tcBorders>
            <w:shd w:val="clear" w:color="auto" w:fill="BFBFBF" w:themeFill="background1" w:themeFillShade="BF"/>
          </w:tcPr>
          <w:p w:rsidR="00140482" w:rsidRDefault="00140482" w:rsidP="00E87204">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E87204">
            <w:pPr>
              <w:jc w:val="center"/>
              <w:rPr>
                <w:rFonts w:ascii="Wingdings" w:hAnsi="Wingdings" w:cs="Wingdings"/>
                <w:sz w:val="26"/>
                <w:szCs w:val="26"/>
              </w:rPr>
            </w:pPr>
            <w:r>
              <w:rPr>
                <w:rFonts w:ascii="Wingdings" w:hAnsi="Wingdings" w:cs="Wingdings"/>
                <w:sz w:val="26"/>
                <w:szCs w:val="26"/>
              </w:rPr>
              <w:t></w:t>
            </w:r>
          </w:p>
          <w:p w:rsidR="00140482" w:rsidRPr="00785264" w:rsidRDefault="00140482" w:rsidP="00E87204">
            <w:pPr>
              <w:jc w:val="center"/>
              <w:rPr>
                <w:rFonts w:cs="Wingdings"/>
                <w:szCs w:val="26"/>
              </w:rPr>
            </w:pPr>
            <w:r w:rsidRPr="00785264">
              <w:rPr>
                <w:rFonts w:cs="Wingdings"/>
                <w:szCs w:val="26"/>
              </w:rPr>
              <w:t xml:space="preserve">Date: </w:t>
            </w:r>
            <w:r>
              <w:rPr>
                <w:rFonts w:cs="Wingdings"/>
                <w:szCs w:val="26"/>
              </w:rPr>
              <w:t>________</w:t>
            </w:r>
          </w:p>
          <w:p w:rsidR="00140482" w:rsidRDefault="00140482" w:rsidP="00E87204">
            <w:pPr>
              <w:rPr>
                <w:rFonts w:eastAsia="MS Mincho" w:cs="Times New Roman"/>
                <w:noProof/>
                <w:szCs w:val="32"/>
                <w:lang w:val="fr-FR"/>
              </w:rPr>
            </w:pPr>
          </w:p>
        </w:tc>
        <w:tc>
          <w:tcPr>
            <w:tcW w:w="2438" w:type="dxa"/>
            <w:gridSpan w:val="2"/>
            <w:tcBorders>
              <w:bottom w:val="single" w:sz="4" w:space="0" w:color="auto"/>
            </w:tcBorders>
          </w:tcPr>
          <w:p w:rsidR="00140482" w:rsidRDefault="0085743B" w:rsidP="00E87204">
            <w:pPr>
              <w:jc w:val="center"/>
              <w:rPr>
                <w:rFonts w:ascii="Wingdings" w:hAnsi="Wingdings" w:cs="Wingdings"/>
                <w:sz w:val="26"/>
                <w:szCs w:val="26"/>
              </w:rPr>
            </w:pPr>
            <w:r>
              <w:rPr>
                <w:rFonts w:ascii="Wingdings" w:hAnsi="Wingdings" w:cs="Wingdings"/>
                <w:sz w:val="26"/>
                <w:szCs w:val="26"/>
              </w:rPr>
              <w:t></w:t>
            </w:r>
          </w:p>
          <w:p w:rsidR="00140482" w:rsidRPr="00785264" w:rsidRDefault="00140482" w:rsidP="00E87204">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E87204">
            <w:pPr>
              <w:jc w:val="center"/>
              <w:rPr>
                <w:rFonts w:ascii="Wingdings" w:hAnsi="Wingdings" w:cs="Wingdings"/>
                <w:sz w:val="26"/>
                <w:szCs w:val="26"/>
              </w:rPr>
            </w:pPr>
            <w:r>
              <w:rPr>
                <w:rFonts w:ascii="Wingdings" w:hAnsi="Wingdings" w:cs="Wingdings"/>
                <w:sz w:val="26"/>
                <w:szCs w:val="26"/>
              </w:rPr>
              <w:t></w:t>
            </w:r>
          </w:p>
          <w:p w:rsidR="00140482" w:rsidRPr="00785264" w:rsidRDefault="00140482" w:rsidP="00E87204">
            <w:pPr>
              <w:jc w:val="center"/>
              <w:rPr>
                <w:rFonts w:cs="Wingdings"/>
                <w:szCs w:val="26"/>
              </w:rPr>
            </w:pPr>
            <w:r w:rsidRPr="00785264">
              <w:rPr>
                <w:rFonts w:cs="Wingdings"/>
                <w:szCs w:val="26"/>
              </w:rPr>
              <w:t xml:space="preserve">Date: </w:t>
            </w:r>
            <w:r>
              <w:rPr>
                <w:rFonts w:cs="Wingdings"/>
                <w:szCs w:val="26"/>
              </w:rPr>
              <w:t>________</w:t>
            </w:r>
          </w:p>
        </w:tc>
      </w:tr>
      <w:tr w:rsidR="00140482" w:rsidTr="00E87204">
        <w:trPr>
          <w:gridAfter w:val="1"/>
          <w:wAfter w:w="40" w:type="dxa"/>
          <w:trHeight w:val="337"/>
        </w:trPr>
        <w:tc>
          <w:tcPr>
            <w:tcW w:w="2302" w:type="dxa"/>
            <w:tcBorders>
              <w:left w:val="nil"/>
              <w:right w:val="nil"/>
            </w:tcBorders>
            <w:shd w:val="clear" w:color="auto" w:fill="FFFFFF" w:themeFill="background1"/>
          </w:tcPr>
          <w:p w:rsidR="00140482" w:rsidRDefault="00140482" w:rsidP="00E87204">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E87204">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E87204">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E87204">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E87204">
            <w:pPr>
              <w:rPr>
                <w:rFonts w:eastAsia="MS Mincho" w:cs="Times New Roman"/>
                <w:noProof/>
                <w:szCs w:val="32"/>
                <w:lang w:val="fr-FR"/>
              </w:rPr>
            </w:pPr>
          </w:p>
        </w:tc>
      </w:tr>
      <w:tr w:rsidR="00140482" w:rsidTr="00E87204">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E87204">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E87204">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F86CD3">
              <w:rPr>
                <w:rFonts w:ascii="Wingdings" w:hAnsi="Wingdings" w:cs="Wingdings"/>
                <w:sz w:val="26"/>
                <w:szCs w:val="26"/>
              </w:rPr>
              <w:t></w:t>
            </w:r>
          </w:p>
        </w:tc>
      </w:tr>
      <w:bookmarkEnd w:id="0"/>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9"/>
      <w:footerReference w:type="default" r:id="rId10"/>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F21" w:rsidRDefault="00FC5F21" w:rsidP="006D6846">
      <w:pPr>
        <w:spacing w:after="0" w:line="240" w:lineRule="auto"/>
      </w:pPr>
      <w:r>
        <w:separator/>
      </w:r>
    </w:p>
  </w:endnote>
  <w:endnote w:type="continuationSeparator" w:id="0">
    <w:p w:rsidR="00FC5F21" w:rsidRDefault="00FC5F21"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828671"/>
      <w:docPartObj>
        <w:docPartGallery w:val="Page Numbers (Bottom of Page)"/>
        <w:docPartUnique/>
      </w:docPartObj>
    </w:sdtPr>
    <w:sdtEndPr/>
    <w:sdtContent>
      <w:sdt>
        <w:sdtPr>
          <w:id w:val="-1769616900"/>
          <w:docPartObj>
            <w:docPartGallery w:val="Page Numbers (Top of Page)"/>
            <w:docPartUnique/>
          </w:docPartObj>
        </w:sdtPr>
        <w:sdtEndPr/>
        <w:sdtContent>
          <w:p w:rsidR="00E87204" w:rsidRDefault="00E87204">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D42D80">
              <w:rPr>
                <w:b/>
                <w:bCs/>
                <w:noProof/>
              </w:rPr>
              <w:t>2</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D42D80">
              <w:rPr>
                <w:b/>
                <w:bCs/>
                <w:noProof/>
              </w:rPr>
              <w:t>3</w:t>
            </w:r>
            <w:r>
              <w:rPr>
                <w:b/>
                <w:bCs/>
                <w:sz w:val="24"/>
                <w:szCs w:val="24"/>
              </w:rPr>
              <w:fldChar w:fldCharType="end"/>
            </w:r>
          </w:p>
        </w:sdtContent>
      </w:sdt>
    </w:sdtContent>
  </w:sdt>
  <w:p w:rsidR="00E87204" w:rsidRDefault="00E87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F21" w:rsidRDefault="00FC5F21" w:rsidP="006D6846">
      <w:pPr>
        <w:spacing w:after="0" w:line="240" w:lineRule="auto"/>
      </w:pPr>
      <w:r>
        <w:separator/>
      </w:r>
    </w:p>
  </w:footnote>
  <w:footnote w:type="continuationSeparator" w:id="0">
    <w:p w:rsidR="00FC5F21" w:rsidRDefault="00FC5F21"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8"/>
      <w:gridCol w:w="3956"/>
    </w:tblGrid>
    <w:tr w:rsidR="00E87204" w:rsidTr="00065025">
      <w:trPr>
        <w:trHeight w:val="870"/>
      </w:trPr>
      <w:tc>
        <w:tcPr>
          <w:tcW w:w="5968" w:type="dxa"/>
          <w:vAlign w:val="center"/>
        </w:tcPr>
        <w:p w:rsidR="00E87204" w:rsidRDefault="00E87204" w:rsidP="00EC776F">
          <w:pPr>
            <w:pStyle w:val="Header"/>
            <w:jc w:val="center"/>
            <w:rPr>
              <w:b/>
              <w:lang w:val="fr-FR"/>
            </w:rPr>
          </w:pPr>
          <w:r w:rsidRPr="007F6CFC">
            <w:rPr>
              <w:b/>
              <w:lang w:val="fr-FR"/>
            </w:rPr>
            <w:t>Groupe d’Adaptation des Pratiques de Marché T2S</w:t>
          </w:r>
        </w:p>
        <w:p w:rsidR="00E87204" w:rsidRDefault="00E87204" w:rsidP="00EC776F">
          <w:pPr>
            <w:pStyle w:val="Header"/>
            <w:jc w:val="center"/>
            <w:rPr>
              <w:b/>
              <w:lang w:val="fr-FR"/>
            </w:rPr>
          </w:pPr>
          <w:r>
            <w:rPr>
              <w:b/>
              <w:lang w:val="fr-FR"/>
            </w:rPr>
            <w:t>Fiche Pratique de marché</w:t>
          </w:r>
        </w:p>
      </w:tc>
      <w:tc>
        <w:tcPr>
          <w:tcW w:w="3956" w:type="dxa"/>
          <w:vAlign w:val="center"/>
        </w:tcPr>
        <w:p w:rsidR="00E87204" w:rsidRDefault="00E87204" w:rsidP="00065025">
          <w:pPr>
            <w:pStyle w:val="Header"/>
            <w:rPr>
              <w:b/>
              <w:lang w:val="fr-FR"/>
            </w:rPr>
          </w:pPr>
          <w:r>
            <w:rPr>
              <w:noProof/>
            </w:rPr>
            <w:drawing>
              <wp:inline distT="0" distB="0" distL="0" distR="0" wp14:anchorId="2C986AE2" wp14:editId="6E492A47">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pt;height:42.45pt" o:ole="">
                <v:imagedata r:id="rId2" o:title=""/>
              </v:shape>
              <o:OLEObject Type="Embed" ProgID="PBrush" ShapeID="_x0000_i1025" DrawAspect="Content" ObjectID="_1534306334" r:id="rId3"/>
            </w:object>
          </w:r>
        </w:p>
      </w:tc>
    </w:tr>
    <w:tr w:rsidR="00E87204" w:rsidRPr="00D42D80" w:rsidTr="00065025">
      <w:trPr>
        <w:trHeight w:val="282"/>
      </w:trPr>
      <w:tc>
        <w:tcPr>
          <w:tcW w:w="5968" w:type="dxa"/>
          <w:vAlign w:val="center"/>
        </w:tcPr>
        <w:p w:rsidR="00E87204" w:rsidRPr="00EC776F" w:rsidRDefault="00E87204" w:rsidP="00065025">
          <w:pPr>
            <w:pStyle w:val="Header"/>
            <w:jc w:val="center"/>
            <w:rPr>
              <w:i/>
              <w:lang w:val="fr-FR"/>
            </w:rPr>
          </w:pPr>
          <w:r>
            <w:rPr>
              <w:i/>
              <w:lang w:val="fr-FR"/>
            </w:rPr>
            <w:t xml:space="preserve">Référence de la pratique : </w:t>
          </w:r>
          <w:r w:rsidRPr="003D75CA">
            <w:rPr>
              <w:i/>
              <w:lang w:val="fr-FR"/>
            </w:rPr>
            <w:t>OP-SETTL-MONTANT-01</w:t>
          </w:r>
        </w:p>
      </w:tc>
      <w:tc>
        <w:tcPr>
          <w:tcW w:w="3956" w:type="dxa"/>
          <w:vAlign w:val="center"/>
        </w:tcPr>
        <w:p w:rsidR="00E87204" w:rsidRPr="00EC776F" w:rsidRDefault="00E87204" w:rsidP="00EC776F">
          <w:pPr>
            <w:pStyle w:val="Header"/>
            <w:jc w:val="center"/>
            <w:rPr>
              <w:noProof/>
              <w:lang w:val="fr-FR"/>
            </w:rPr>
          </w:pPr>
        </w:p>
      </w:tc>
    </w:tr>
  </w:tbl>
  <w:p w:rsidR="00E87204" w:rsidRPr="00C221EA" w:rsidRDefault="00E87204">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65025"/>
    <w:rsid w:val="000706A3"/>
    <w:rsid w:val="000A6C94"/>
    <w:rsid w:val="000C1C9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343829"/>
    <w:rsid w:val="00343B9E"/>
    <w:rsid w:val="003631EA"/>
    <w:rsid w:val="00363E89"/>
    <w:rsid w:val="003929BA"/>
    <w:rsid w:val="003A4E76"/>
    <w:rsid w:val="003B3DA4"/>
    <w:rsid w:val="003D5E9F"/>
    <w:rsid w:val="003D7060"/>
    <w:rsid w:val="003D75CA"/>
    <w:rsid w:val="003E2691"/>
    <w:rsid w:val="00464015"/>
    <w:rsid w:val="004818D8"/>
    <w:rsid w:val="00482296"/>
    <w:rsid w:val="00487A07"/>
    <w:rsid w:val="004F6025"/>
    <w:rsid w:val="005061BA"/>
    <w:rsid w:val="005067E0"/>
    <w:rsid w:val="0051485E"/>
    <w:rsid w:val="00567B1D"/>
    <w:rsid w:val="00575F36"/>
    <w:rsid w:val="005C2ACA"/>
    <w:rsid w:val="00622E8A"/>
    <w:rsid w:val="00625541"/>
    <w:rsid w:val="00652C13"/>
    <w:rsid w:val="00683A1D"/>
    <w:rsid w:val="00694503"/>
    <w:rsid w:val="0069580E"/>
    <w:rsid w:val="006B7CEE"/>
    <w:rsid w:val="006D6846"/>
    <w:rsid w:val="00701AE2"/>
    <w:rsid w:val="00714CE6"/>
    <w:rsid w:val="00727BF7"/>
    <w:rsid w:val="0074709E"/>
    <w:rsid w:val="0075306C"/>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510E"/>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75648"/>
    <w:rsid w:val="00B9491F"/>
    <w:rsid w:val="00BA66D3"/>
    <w:rsid w:val="00BA6B0A"/>
    <w:rsid w:val="00BC7577"/>
    <w:rsid w:val="00BE4C60"/>
    <w:rsid w:val="00C06869"/>
    <w:rsid w:val="00C070B0"/>
    <w:rsid w:val="00C1000A"/>
    <w:rsid w:val="00C221EA"/>
    <w:rsid w:val="00C33595"/>
    <w:rsid w:val="00C3423B"/>
    <w:rsid w:val="00C41782"/>
    <w:rsid w:val="00C43D15"/>
    <w:rsid w:val="00C57689"/>
    <w:rsid w:val="00C60EC8"/>
    <w:rsid w:val="00C65EB2"/>
    <w:rsid w:val="00C77C0A"/>
    <w:rsid w:val="00CB0F41"/>
    <w:rsid w:val="00CC7462"/>
    <w:rsid w:val="00CD3755"/>
    <w:rsid w:val="00CE6DA3"/>
    <w:rsid w:val="00CF605A"/>
    <w:rsid w:val="00D103DA"/>
    <w:rsid w:val="00D12DE8"/>
    <w:rsid w:val="00D252A7"/>
    <w:rsid w:val="00D42D80"/>
    <w:rsid w:val="00D50DB6"/>
    <w:rsid w:val="00D529B3"/>
    <w:rsid w:val="00D53037"/>
    <w:rsid w:val="00D5515F"/>
    <w:rsid w:val="00DB106F"/>
    <w:rsid w:val="00DD071C"/>
    <w:rsid w:val="00E351C1"/>
    <w:rsid w:val="00E35B86"/>
    <w:rsid w:val="00E438E3"/>
    <w:rsid w:val="00E52109"/>
    <w:rsid w:val="00E62EAE"/>
    <w:rsid w:val="00E83AD9"/>
    <w:rsid w:val="00E87204"/>
    <w:rsid w:val="00EA5560"/>
    <w:rsid w:val="00EB44AB"/>
    <w:rsid w:val="00EC776F"/>
    <w:rsid w:val="00F00BF4"/>
    <w:rsid w:val="00F358FF"/>
    <w:rsid w:val="00F35CCA"/>
    <w:rsid w:val="00F84B2D"/>
    <w:rsid w:val="00F86CD3"/>
    <w:rsid w:val="00F904C9"/>
    <w:rsid w:val="00FC06B7"/>
    <w:rsid w:val="00FC4F18"/>
    <w:rsid w:val="00FC5F21"/>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3D75CA"/>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3D75CA"/>
    <w:rPr>
      <w:rFonts w:ascii="Verdana" w:eastAsia="Times New Roman" w:hAnsi="Verdana" w:cs="Verdana"/>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3D75CA"/>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3D75CA"/>
    <w:rPr>
      <w:rFonts w:ascii="Verdana" w:eastAsia="Times New Roman" w:hAnsi="Verdana" w:cs="Verdana"/>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623</Words>
  <Characters>3555</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7</cp:revision>
  <cp:lastPrinted>2015-10-09T10:36:00Z</cp:lastPrinted>
  <dcterms:created xsi:type="dcterms:W3CDTF">2016-05-16T16:50:00Z</dcterms:created>
  <dcterms:modified xsi:type="dcterms:W3CDTF">2016-09-02T05:26:00Z</dcterms:modified>
</cp:coreProperties>
</file>