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64" w:rsidRDefault="00765664" w:rsidP="006D6846">
      <w:pPr>
        <w:tabs>
          <w:tab w:val="left" w:pos="9356"/>
        </w:tabs>
        <w:ind w:right="-279"/>
        <w:jc w:val="center"/>
        <w:rPr>
          <w:sz w:val="36"/>
          <w:lang w:val="fr-FR"/>
        </w:rPr>
      </w:pPr>
    </w:p>
    <w:p w:rsidR="00575F36" w:rsidRPr="00EC776F" w:rsidRDefault="00776CD9"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776CD9">
        <w:rPr>
          <w:b/>
          <w:noProof/>
          <w:sz w:val="36"/>
          <w:lang w:val="fr-FR"/>
        </w:rPr>
        <w:t>Utilisation de la fonctionnalité de Hold &amp; Release</w:t>
      </w:r>
    </w:p>
    <w:p w:rsidR="001B1E38" w:rsidRPr="00502D01" w:rsidRDefault="001B1E38" w:rsidP="006D6846">
      <w:pPr>
        <w:tabs>
          <w:tab w:val="left" w:pos="9356"/>
        </w:tabs>
        <w:ind w:right="-279"/>
        <w:rPr>
          <w:sz w:val="8"/>
          <w:lang w:val="fr-FR"/>
        </w:rPr>
      </w:pPr>
    </w:p>
    <w:tbl>
      <w:tblPr>
        <w:tblStyle w:val="Grilledutableau"/>
        <w:tblW w:w="0" w:type="auto"/>
        <w:tblLook w:val="04A0" w:firstRow="1" w:lastRow="0" w:firstColumn="1" w:lastColumn="0" w:noHBand="0" w:noVBand="1"/>
      </w:tblPr>
      <w:tblGrid>
        <w:gridCol w:w="2061"/>
        <w:gridCol w:w="2505"/>
        <w:gridCol w:w="4784"/>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140482" w:rsidP="006D6846">
            <w:pPr>
              <w:tabs>
                <w:tab w:val="left" w:pos="9356"/>
              </w:tabs>
              <w:ind w:right="-279"/>
              <w:rPr>
                <w:lang w:val="fr-FR"/>
              </w:rPr>
            </w:pPr>
            <w:r>
              <w:rPr>
                <w:lang w:val="fr-FR"/>
              </w:rPr>
              <w:t>6 avril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Grilledutableau"/>
        <w:tblW w:w="9606" w:type="dxa"/>
        <w:tblLayout w:type="fixed"/>
        <w:tblLook w:val="04A0" w:firstRow="1" w:lastRow="0" w:firstColumn="1" w:lastColumn="0" w:noHBand="0" w:noVBand="1"/>
      </w:tblPr>
      <w:tblGrid>
        <w:gridCol w:w="2093"/>
        <w:gridCol w:w="7513"/>
      </w:tblGrid>
      <w:tr w:rsidR="00D103DA" w:rsidRPr="00776CD9"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140482" w:rsidRPr="00776CD9" w:rsidRDefault="00075355" w:rsidP="00922B9C">
            <w:pPr>
              <w:spacing w:before="120"/>
              <w:jc w:val="both"/>
              <w:rPr>
                <w:rFonts w:eastAsia="MS Mincho" w:cs="Times New Roman"/>
                <w:noProof/>
                <w:szCs w:val="32"/>
                <w:lang w:val="fr-FR"/>
              </w:rPr>
            </w:pPr>
            <w:r w:rsidRPr="00F633E9">
              <w:rPr>
                <w:rFonts w:eastAsia="MS Mincho" w:cs="Times New Roman"/>
                <w:noProof/>
                <w:szCs w:val="32"/>
                <w:lang w:val="fr-FR"/>
              </w:rPr>
              <w:t xml:space="preserve">Les </w:t>
            </w:r>
            <w:r>
              <w:rPr>
                <w:rFonts w:eastAsia="MS Mincho" w:cs="Times New Roman"/>
                <w:noProof/>
                <w:szCs w:val="32"/>
                <w:lang w:val="fr-FR"/>
              </w:rPr>
              <w:t>instructions de règlement-livraison</w:t>
            </w:r>
            <w:r w:rsidRPr="00776CD9">
              <w:rPr>
                <w:rFonts w:eastAsia="MS Mincho" w:cs="Times New Roman"/>
                <w:noProof/>
                <w:szCs w:val="32"/>
                <w:lang w:val="fr-FR"/>
              </w:rPr>
              <w:t xml:space="preserve"> </w:t>
            </w:r>
            <w:r w:rsidR="00776CD9" w:rsidRPr="00776CD9">
              <w:rPr>
                <w:rFonts w:eastAsia="MS Mincho" w:cs="Times New Roman"/>
                <w:noProof/>
                <w:szCs w:val="32"/>
                <w:lang w:val="fr-FR"/>
              </w:rPr>
              <w:t>peuvent aujourd'hui être pré-matchées en Euroclear France. La fonctionnalité de Hold &amp; Release n'existe pas.</w:t>
            </w:r>
          </w:p>
        </w:tc>
      </w:tr>
      <w:tr w:rsidR="00D103DA" w:rsidRPr="00776CD9"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020645"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140482" w:rsidRPr="00113071" w:rsidRDefault="00776CD9" w:rsidP="00776CD9">
            <w:pPr>
              <w:spacing w:before="120"/>
              <w:jc w:val="both"/>
              <w:rPr>
                <w:rFonts w:eastAsia="MS Mincho" w:cs="Times New Roman"/>
                <w:noProof/>
                <w:szCs w:val="32"/>
                <w:lang w:val="fr-FR"/>
              </w:rPr>
            </w:pPr>
            <w:r w:rsidRPr="00F633E9">
              <w:rPr>
                <w:rFonts w:eastAsia="MS Mincho" w:cs="Times New Roman"/>
                <w:noProof/>
                <w:szCs w:val="32"/>
                <w:lang w:val="fr-FR"/>
              </w:rPr>
              <w:t>Le pré-matching disparaît. La fonctionnalité de Hold &amp; Release est mise en œuvre.</w:t>
            </w:r>
          </w:p>
        </w:tc>
      </w:tr>
      <w:tr w:rsidR="0081511D" w:rsidRPr="00020645"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020645"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776CD9" w:rsidRPr="00776CD9" w:rsidRDefault="00776CD9" w:rsidP="00776CD9">
            <w:pPr>
              <w:spacing w:beforeLines="60" w:before="144"/>
              <w:jc w:val="both"/>
              <w:rPr>
                <w:rFonts w:cs="Tahoma"/>
                <w:szCs w:val="21"/>
                <w:lang w:val="fr-FR" w:eastAsia="fr-FR"/>
              </w:rPr>
            </w:pPr>
            <w:r w:rsidRPr="00776CD9">
              <w:rPr>
                <w:rFonts w:cs="Tahoma"/>
                <w:szCs w:val="21"/>
                <w:lang w:val="fr-FR" w:eastAsia="fr-FR"/>
              </w:rPr>
              <w:t xml:space="preserve">Tout </w:t>
            </w:r>
            <w:proofErr w:type="spellStart"/>
            <w:r w:rsidRPr="00776CD9">
              <w:rPr>
                <w:rFonts w:cs="Tahoma"/>
                <w:szCs w:val="21"/>
                <w:lang w:val="fr-FR" w:eastAsia="fr-FR"/>
              </w:rPr>
              <w:t>custodian</w:t>
            </w:r>
            <w:proofErr w:type="spellEnd"/>
            <w:r w:rsidRPr="00776CD9">
              <w:rPr>
                <w:rFonts w:cs="Tahoma"/>
                <w:szCs w:val="21"/>
                <w:lang w:val="fr-FR" w:eastAsia="fr-FR"/>
              </w:rPr>
              <w:t xml:space="preserve"> doit avoir la capacité de recevoir et traiter une instruction présentée ou à présenter en </w:t>
            </w:r>
            <w:proofErr w:type="spellStart"/>
            <w:r w:rsidRPr="00776CD9">
              <w:rPr>
                <w:rFonts w:cs="Tahoma"/>
                <w:szCs w:val="21"/>
                <w:lang w:val="fr-FR" w:eastAsia="fr-FR"/>
              </w:rPr>
              <w:t>hold</w:t>
            </w:r>
            <w:proofErr w:type="spellEnd"/>
            <w:r w:rsidRPr="00776CD9">
              <w:rPr>
                <w:rFonts w:cs="Tahoma"/>
                <w:szCs w:val="21"/>
                <w:lang w:val="fr-FR" w:eastAsia="fr-FR"/>
              </w:rPr>
              <w:t xml:space="preserve"> and release.</w:t>
            </w:r>
          </w:p>
          <w:p w:rsidR="00776CD9" w:rsidRPr="00776CD9" w:rsidRDefault="00776CD9" w:rsidP="00776CD9">
            <w:pPr>
              <w:spacing w:beforeLines="60" w:before="144"/>
              <w:jc w:val="both"/>
              <w:rPr>
                <w:rFonts w:cs="Tahoma"/>
                <w:szCs w:val="21"/>
                <w:lang w:val="fr-FR" w:eastAsia="fr-FR"/>
              </w:rPr>
            </w:pPr>
            <w:r w:rsidRPr="00776CD9">
              <w:rPr>
                <w:rFonts w:cs="Tahoma"/>
                <w:szCs w:val="21"/>
                <w:lang w:val="fr-FR" w:eastAsia="fr-FR"/>
              </w:rPr>
              <w:t>Cette fonctionnalité peut être jugée nécessaire lorsqu’un conservateur souhaite présenter dans le système une instruction sans avoir la certitude de la provision correspondante en titre par exemple. C’est en quelque sorte un outil disponible pour répondre aux exigences du cahier des charges du teneur de compte conservateur AMF.</w:t>
            </w:r>
          </w:p>
          <w:p w:rsidR="00776CD9" w:rsidRPr="00776CD9" w:rsidRDefault="00776CD9" w:rsidP="00776CD9">
            <w:pPr>
              <w:spacing w:beforeLines="60" w:before="144"/>
              <w:jc w:val="both"/>
              <w:rPr>
                <w:rFonts w:cs="Tahoma"/>
                <w:szCs w:val="21"/>
                <w:lang w:val="fr-FR" w:eastAsia="fr-FR"/>
              </w:rPr>
            </w:pPr>
            <w:r w:rsidRPr="00776CD9">
              <w:rPr>
                <w:rFonts w:cs="Tahoma"/>
                <w:szCs w:val="21"/>
                <w:lang w:val="fr-FR" w:eastAsia="fr-FR"/>
              </w:rPr>
              <w:t>Il peut y avoir des cas spécifiques à la demande d’un investisseur quand par exemple celui-ci pressent des soucis sur la réception de titres attendus ou toute autre difficulté liées à une transaction donnée.</w:t>
            </w:r>
          </w:p>
          <w:p w:rsidR="00776CD9" w:rsidRPr="00776CD9" w:rsidRDefault="00776CD9" w:rsidP="00776CD9">
            <w:pPr>
              <w:spacing w:beforeLines="60" w:before="144"/>
              <w:jc w:val="both"/>
              <w:rPr>
                <w:rFonts w:cs="Tahoma"/>
                <w:szCs w:val="21"/>
                <w:lang w:val="fr-FR" w:eastAsia="fr-FR"/>
              </w:rPr>
            </w:pPr>
            <w:r w:rsidRPr="00776CD9">
              <w:rPr>
                <w:rFonts w:cs="Tahoma"/>
                <w:szCs w:val="21"/>
                <w:lang w:val="fr-FR" w:eastAsia="fr-FR"/>
              </w:rPr>
              <w:t xml:space="preserve">Par contre l’usage de cette fonction peut avoir des conséquences néfastes sur le règlement livraison puisque l’appariement de l’opération ne garantit en rien son dénouement qui peut être bloqué </w:t>
            </w:r>
            <w:r w:rsidR="000D11DB">
              <w:rPr>
                <w:rFonts w:cs="Tahoma"/>
                <w:szCs w:val="21"/>
                <w:lang w:val="fr-FR" w:eastAsia="fr-FR"/>
              </w:rPr>
              <w:t>tant</w:t>
            </w:r>
            <w:r w:rsidRPr="00776CD9">
              <w:rPr>
                <w:rFonts w:cs="Tahoma"/>
                <w:szCs w:val="21"/>
                <w:lang w:val="fr-FR" w:eastAsia="fr-FR"/>
              </w:rPr>
              <w:t xml:space="preserve"> que l’instruction n’est pas libérée et est maintenue « on </w:t>
            </w:r>
            <w:proofErr w:type="spellStart"/>
            <w:r w:rsidRPr="00776CD9">
              <w:rPr>
                <w:rFonts w:cs="Tahoma"/>
                <w:szCs w:val="21"/>
                <w:lang w:val="fr-FR" w:eastAsia="fr-FR"/>
              </w:rPr>
              <w:t>hold</w:t>
            </w:r>
            <w:proofErr w:type="spellEnd"/>
            <w:r w:rsidRPr="00776CD9">
              <w:rPr>
                <w:rFonts w:cs="Tahoma"/>
                <w:szCs w:val="21"/>
                <w:lang w:val="fr-FR" w:eastAsia="fr-FR"/>
              </w:rPr>
              <w:t xml:space="preserve"> ».</w:t>
            </w:r>
          </w:p>
          <w:p w:rsidR="0081511D" w:rsidRPr="00113071" w:rsidRDefault="00776CD9" w:rsidP="00776CD9">
            <w:pPr>
              <w:spacing w:before="120"/>
              <w:jc w:val="both"/>
              <w:rPr>
                <w:rFonts w:eastAsia="MS Mincho" w:cs="Times New Roman"/>
                <w:noProof/>
                <w:szCs w:val="32"/>
                <w:lang w:val="fr-FR"/>
              </w:rPr>
            </w:pPr>
            <w:r w:rsidRPr="00776CD9">
              <w:rPr>
                <w:rFonts w:cs="Tahoma"/>
                <w:szCs w:val="21"/>
                <w:lang w:val="fr-FR" w:eastAsia="fr-FR"/>
              </w:rPr>
              <w:t>Aussi certaines activités peuvent être amenées à préconiser le non recours à cette fonctionnalité.</w:t>
            </w:r>
          </w:p>
        </w:tc>
      </w:tr>
      <w:tr w:rsidR="0081511D" w:rsidRPr="00020645"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Pr="00922B9C" w:rsidRDefault="00113071" w:rsidP="00922B9C">
            <w:pPr>
              <w:spacing w:before="120"/>
              <w:jc w:val="both"/>
              <w:rPr>
                <w:rFonts w:eastAsia="MS Mincho" w:cs="Times New Roman"/>
                <w:noProof/>
                <w:szCs w:val="32"/>
                <w:lang w:val="fr-FR"/>
              </w:rPr>
            </w:pPr>
            <w:del w:id="0" w:author="de Sousa, Maria" w:date="2016-05-16T17:48:00Z">
              <w:r w:rsidDel="00502D01">
                <w:rPr>
                  <w:rFonts w:eastAsia="MS Mincho" w:cs="Times New Roman"/>
                  <w:noProof/>
                  <w:szCs w:val="32"/>
                  <w:lang w:val="fr-FR"/>
                </w:rPr>
                <w:delText>-</w:delText>
              </w:r>
            </w:del>
          </w:p>
        </w:tc>
      </w:tr>
    </w:tbl>
    <w:p w:rsidR="001E0D83" w:rsidRPr="00502D01" w:rsidRDefault="001E0D83" w:rsidP="00D103DA">
      <w:pPr>
        <w:spacing w:after="0" w:line="240" w:lineRule="auto"/>
        <w:rPr>
          <w:rFonts w:eastAsia="MS Mincho" w:cs="Times New Roman"/>
          <w:noProof/>
          <w:sz w:val="18"/>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Pr="00502D01" w:rsidRDefault="0081511D" w:rsidP="00D103DA">
      <w:pPr>
        <w:spacing w:after="0" w:line="240" w:lineRule="auto"/>
        <w:rPr>
          <w:rFonts w:eastAsia="MS Mincho" w:cs="Times New Roman"/>
          <w:noProof/>
          <w:sz w:val="14"/>
          <w:szCs w:val="32"/>
          <w:lang w:val="fr-FR"/>
        </w:rPr>
      </w:pPr>
    </w:p>
    <w:tbl>
      <w:tblPr>
        <w:tblStyle w:val="Grilledutableau"/>
        <w:tblW w:w="9606" w:type="dxa"/>
        <w:tblLook w:val="04A0" w:firstRow="1" w:lastRow="0" w:firstColumn="1" w:lastColumn="0" w:noHBand="0" w:noVBand="1"/>
      </w:tblPr>
      <w:tblGrid>
        <w:gridCol w:w="2093"/>
        <w:gridCol w:w="7483"/>
        <w:gridCol w:w="30"/>
      </w:tblGrid>
      <w:tr w:rsidR="001E0D83" w:rsidRPr="00020645"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776CD9" w:rsidRPr="00776CD9" w:rsidRDefault="00674204" w:rsidP="00776CD9">
            <w:pPr>
              <w:spacing w:beforeLines="60" w:before="144"/>
              <w:jc w:val="both"/>
              <w:rPr>
                <w:rFonts w:cs="Tahoma"/>
                <w:lang w:val="fr-FR" w:eastAsia="fr-FR"/>
              </w:rPr>
            </w:pPr>
            <w:r>
              <w:rPr>
                <w:rFonts w:cs="Tahoma"/>
                <w:lang w:val="fr-FR" w:eastAsia="fr-FR"/>
              </w:rPr>
              <w:t>L</w:t>
            </w:r>
            <w:r w:rsidR="00776CD9" w:rsidRPr="00776CD9">
              <w:rPr>
                <w:rFonts w:cs="Tahoma"/>
                <w:lang w:val="fr-FR" w:eastAsia="fr-FR"/>
              </w:rPr>
              <w:t>es participants proposent de ne pas établir de pratique de marché et de se caler sur la position rappelée à Francfort consistant à conserver le caractère discrétionnaire de la fonctionnalité dans tous les cas de figure.</w:t>
            </w:r>
          </w:p>
          <w:p w:rsidR="00776CD9" w:rsidRPr="00776CD9" w:rsidRDefault="00776CD9" w:rsidP="00776CD9">
            <w:pPr>
              <w:pStyle w:val="Paragraphedeliste"/>
              <w:numPr>
                <w:ilvl w:val="0"/>
                <w:numId w:val="3"/>
              </w:numPr>
              <w:spacing w:before="120"/>
              <w:ind w:left="318" w:hanging="284"/>
              <w:contextualSpacing w:val="0"/>
              <w:jc w:val="both"/>
              <w:rPr>
                <w:rFonts w:eastAsia="MS Mincho" w:cs="Times New Roman"/>
                <w:noProof/>
                <w:szCs w:val="32"/>
                <w:lang w:val="fr-FR"/>
              </w:rPr>
            </w:pPr>
            <w:r w:rsidRPr="00776CD9">
              <w:rPr>
                <w:rFonts w:eastAsia="MS Mincho" w:cs="Times New Roman"/>
                <w:noProof/>
                <w:szCs w:val="32"/>
                <w:lang w:val="fr-FR"/>
              </w:rPr>
              <w:t>De façon générale l’usage de cette fonction ne doit pas être systématique au risque de générer des difficultés de dénouement.</w:t>
            </w:r>
          </w:p>
          <w:p w:rsidR="00776CD9" w:rsidRPr="00776CD9" w:rsidRDefault="00776CD9" w:rsidP="00776CD9">
            <w:pPr>
              <w:pStyle w:val="Paragraphedeliste"/>
              <w:numPr>
                <w:ilvl w:val="0"/>
                <w:numId w:val="3"/>
              </w:numPr>
              <w:spacing w:before="120"/>
              <w:ind w:left="318" w:hanging="284"/>
              <w:contextualSpacing w:val="0"/>
              <w:jc w:val="both"/>
              <w:rPr>
                <w:rFonts w:eastAsia="MS Mincho" w:cs="Times New Roman"/>
                <w:noProof/>
                <w:szCs w:val="32"/>
                <w:lang w:val="fr-FR"/>
              </w:rPr>
            </w:pPr>
            <w:r w:rsidRPr="00776CD9">
              <w:rPr>
                <w:rFonts w:eastAsia="MS Mincho" w:cs="Times New Roman"/>
                <w:noProof/>
                <w:szCs w:val="32"/>
                <w:lang w:val="fr-FR"/>
              </w:rPr>
              <w:t>Elle est notamment à écarter dans les cas suivants :</w:t>
            </w:r>
          </w:p>
          <w:p w:rsidR="00776CD9" w:rsidRPr="00776CD9" w:rsidRDefault="00776CD9" w:rsidP="00502D01">
            <w:pPr>
              <w:pStyle w:val="Paragraphedeliste"/>
              <w:numPr>
                <w:ilvl w:val="1"/>
                <w:numId w:val="3"/>
              </w:numPr>
              <w:ind w:left="737" w:hanging="357"/>
              <w:contextualSpacing w:val="0"/>
              <w:jc w:val="both"/>
              <w:rPr>
                <w:rFonts w:eastAsia="MS Mincho" w:cs="Times New Roman"/>
                <w:noProof/>
                <w:szCs w:val="32"/>
                <w:lang w:val="fr-FR"/>
              </w:rPr>
            </w:pPr>
            <w:r w:rsidRPr="00776CD9">
              <w:rPr>
                <w:rFonts w:eastAsia="MS Mincho" w:cs="Times New Roman"/>
                <w:noProof/>
                <w:szCs w:val="32"/>
                <w:lang w:val="fr-FR"/>
              </w:rPr>
              <w:t xml:space="preserve">Instructions de règlement livraison sur OPCVM </w:t>
            </w:r>
          </w:p>
          <w:p w:rsidR="00776CD9" w:rsidRPr="00776CD9" w:rsidRDefault="00776CD9" w:rsidP="00502D01">
            <w:pPr>
              <w:pStyle w:val="Paragraphedeliste"/>
              <w:numPr>
                <w:ilvl w:val="1"/>
                <w:numId w:val="3"/>
              </w:numPr>
              <w:ind w:left="737" w:hanging="357"/>
              <w:contextualSpacing w:val="0"/>
              <w:jc w:val="both"/>
              <w:rPr>
                <w:rFonts w:eastAsia="MS Mincho" w:cs="Times New Roman"/>
                <w:noProof/>
                <w:szCs w:val="32"/>
                <w:lang w:val="fr-FR"/>
              </w:rPr>
            </w:pPr>
            <w:r w:rsidRPr="00776CD9">
              <w:rPr>
                <w:rFonts w:eastAsia="MS Mincho" w:cs="Times New Roman"/>
                <w:noProof/>
                <w:szCs w:val="32"/>
                <w:lang w:val="fr-FR"/>
              </w:rPr>
              <w:t>Pour le règlement livraison des OST</w:t>
            </w:r>
          </w:p>
          <w:p w:rsidR="00776CD9" w:rsidRPr="00776CD9" w:rsidRDefault="00776CD9" w:rsidP="00502D01">
            <w:pPr>
              <w:pStyle w:val="Paragraphedeliste"/>
              <w:numPr>
                <w:ilvl w:val="1"/>
                <w:numId w:val="3"/>
              </w:numPr>
              <w:ind w:left="737" w:hanging="357"/>
              <w:contextualSpacing w:val="0"/>
              <w:jc w:val="both"/>
              <w:rPr>
                <w:rFonts w:eastAsia="MS Mincho" w:cs="Times New Roman"/>
                <w:noProof/>
                <w:szCs w:val="32"/>
                <w:lang w:val="fr-FR"/>
              </w:rPr>
            </w:pPr>
            <w:r w:rsidRPr="00776CD9">
              <w:rPr>
                <w:rFonts w:eastAsia="MS Mincho" w:cs="Times New Roman"/>
                <w:noProof/>
                <w:szCs w:val="32"/>
                <w:lang w:val="fr-FR"/>
              </w:rPr>
              <w:t>Pour les transferts de portefeuille</w:t>
            </w:r>
          </w:p>
          <w:p w:rsidR="00AA1FDB" w:rsidRPr="00776CD9" w:rsidRDefault="00776CD9" w:rsidP="00502D01">
            <w:pPr>
              <w:pStyle w:val="Paragraphedeliste"/>
              <w:numPr>
                <w:ilvl w:val="1"/>
                <w:numId w:val="3"/>
              </w:numPr>
              <w:ind w:left="737" w:hanging="357"/>
              <w:contextualSpacing w:val="0"/>
              <w:jc w:val="both"/>
              <w:rPr>
                <w:rFonts w:eastAsia="MS Mincho" w:cs="Times New Roman"/>
                <w:noProof/>
                <w:lang w:val="fr-FR"/>
              </w:rPr>
            </w:pPr>
            <w:r w:rsidRPr="00776CD9">
              <w:rPr>
                <w:rFonts w:eastAsia="MS Mincho" w:cs="Times New Roman"/>
                <w:noProof/>
                <w:szCs w:val="32"/>
                <w:lang w:val="fr-FR"/>
              </w:rPr>
              <w:t>Dans le cas de conversion de titres nécessitant l’usage de franco without matching.</w:t>
            </w:r>
          </w:p>
        </w:tc>
      </w:tr>
      <w:tr w:rsidR="0081511D" w:rsidRPr="00020645"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85743B" w:rsidRDefault="0085743B">
      <w:pPr>
        <w:rPr>
          <w:rFonts w:eastAsia="MS Mincho" w:cs="Times New Roman"/>
          <w:b/>
          <w:caps/>
          <w:noProof/>
          <w:sz w:val="32"/>
          <w:szCs w:val="32"/>
          <w:lang w:val="fr-FR"/>
        </w:rPr>
      </w:pPr>
    </w:p>
    <w:p w:rsidR="00140482" w:rsidRPr="004F6025" w:rsidRDefault="00140482" w:rsidP="00140482">
      <w:pPr>
        <w:pStyle w:val="Paragraphedeliste"/>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Pr="00502D01" w:rsidRDefault="00140482" w:rsidP="00140482">
      <w:pPr>
        <w:spacing w:after="0" w:line="240" w:lineRule="auto"/>
        <w:rPr>
          <w:rFonts w:eastAsia="MS Mincho" w:cs="Times New Roman"/>
          <w:noProof/>
          <w:sz w:val="8"/>
          <w:szCs w:val="32"/>
          <w:lang w:val="fr-FR"/>
        </w:rPr>
      </w:pPr>
      <w:bookmarkStart w:id="1" w:name="_GoBack"/>
      <w:bookmarkEnd w:id="1"/>
    </w:p>
    <w:tbl>
      <w:tblPr>
        <w:tblStyle w:val="Grilledutableau"/>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020645"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Pr="00502D01" w:rsidRDefault="00140482" w:rsidP="000E651B">
            <w:pPr>
              <w:rPr>
                <w:rFonts w:eastAsia="MS Mincho" w:cs="Times New Roman"/>
                <w:b/>
                <w:noProof/>
                <w:sz w:val="12"/>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BA6B0A" w:rsidRDefault="00BA6B0A" w:rsidP="00502D01">
      <w:pPr>
        <w:spacing w:after="0" w:line="240" w:lineRule="auto"/>
        <w:rPr>
          <w:rFonts w:eastAsia="MS Mincho" w:cs="Times New Roman"/>
          <w:noProof/>
          <w:szCs w:val="32"/>
          <w:lang w:val="fr-FR"/>
        </w:rPr>
      </w:pPr>
    </w:p>
    <w:sectPr w:rsidR="00BA6B0A" w:rsidSect="006D6846">
      <w:headerReference w:type="default" r:id="rId7"/>
      <w:footerReference w:type="default" r:id="rId8"/>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A8A" w:rsidRDefault="008E4A8A" w:rsidP="006D6846">
      <w:pPr>
        <w:spacing w:after="0" w:line="240" w:lineRule="auto"/>
      </w:pPr>
      <w:r>
        <w:separator/>
      </w:r>
    </w:p>
  </w:endnote>
  <w:endnote w:type="continuationSeparator" w:id="0">
    <w:p w:rsidR="008E4A8A" w:rsidRDefault="008E4A8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741446"/>
      <w:docPartObj>
        <w:docPartGallery w:val="Page Numbers (Bottom of Page)"/>
        <w:docPartUnique/>
      </w:docPartObj>
    </w:sdtPr>
    <w:sdtContent>
      <w:sdt>
        <w:sdtPr>
          <w:id w:val="-1769616900"/>
          <w:docPartObj>
            <w:docPartGallery w:val="Page Numbers (Top of Page)"/>
            <w:docPartUnique/>
          </w:docPartObj>
        </w:sdtPr>
        <w:sdtContent>
          <w:p w:rsidR="00502D01" w:rsidRDefault="00502D01">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rsidR="00EC776F" w:rsidRDefault="00EC77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A8A" w:rsidRDefault="008E4A8A" w:rsidP="006D6846">
      <w:pPr>
        <w:spacing w:after="0" w:line="240" w:lineRule="auto"/>
      </w:pPr>
      <w:r>
        <w:separator/>
      </w:r>
    </w:p>
  </w:footnote>
  <w:footnote w:type="continuationSeparator" w:id="0">
    <w:p w:rsidR="008E4A8A" w:rsidRDefault="008E4A8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5"/>
      <w:gridCol w:w="4066"/>
    </w:tblGrid>
    <w:tr w:rsidR="00EC776F" w:rsidTr="00502D01">
      <w:trPr>
        <w:trHeight w:val="844"/>
      </w:trPr>
      <w:tc>
        <w:tcPr>
          <w:tcW w:w="6135" w:type="dxa"/>
          <w:vAlign w:val="center"/>
        </w:tcPr>
        <w:p w:rsidR="00EC776F" w:rsidRDefault="00EC776F" w:rsidP="00EC776F">
          <w:pPr>
            <w:pStyle w:val="En-tte"/>
            <w:jc w:val="center"/>
            <w:rPr>
              <w:b/>
              <w:lang w:val="fr-FR"/>
            </w:rPr>
          </w:pPr>
          <w:r w:rsidRPr="007F6CFC">
            <w:rPr>
              <w:b/>
              <w:lang w:val="fr-FR"/>
            </w:rPr>
            <w:t>Groupe d’Adaptation des Pratiques de Marché T2S</w:t>
          </w:r>
        </w:p>
        <w:p w:rsidR="00EC776F" w:rsidRDefault="00EC776F" w:rsidP="00EC776F">
          <w:pPr>
            <w:pStyle w:val="En-tte"/>
            <w:jc w:val="center"/>
            <w:rPr>
              <w:b/>
              <w:lang w:val="fr-FR"/>
            </w:rPr>
          </w:pPr>
          <w:r>
            <w:rPr>
              <w:b/>
              <w:lang w:val="fr-FR"/>
            </w:rPr>
            <w:t>Fiche Pratique de marché</w:t>
          </w:r>
        </w:p>
      </w:tc>
      <w:tc>
        <w:tcPr>
          <w:tcW w:w="4066" w:type="dxa"/>
          <w:vAlign w:val="center"/>
        </w:tcPr>
        <w:p w:rsidR="00EC776F" w:rsidRDefault="00EC776F" w:rsidP="00502D01">
          <w:pPr>
            <w:pStyle w:val="En-tte"/>
            <w:rPr>
              <w:b/>
              <w:lang w:val="fr-FR"/>
            </w:rPr>
          </w:pPr>
          <w:r>
            <w:rPr>
              <w:noProof/>
              <w:lang w:val="fr-FR" w:eastAsia="fr-FR"/>
            </w:rPr>
            <w:drawing>
              <wp:inline distT="0" distB="0" distL="0" distR="0" wp14:anchorId="3C708AFE" wp14:editId="4490F868">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502D01">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2.6pt" o:ole="">
                <v:imagedata r:id="rId2" o:title=""/>
              </v:shape>
              <o:OLEObject Type="Embed" ProgID="PBrush" ShapeID="_x0000_i1025" DrawAspect="Content" ObjectID="_1524926331" r:id="rId3"/>
            </w:object>
          </w:r>
        </w:p>
      </w:tc>
    </w:tr>
    <w:tr w:rsidR="00EC776F" w:rsidRPr="00020645" w:rsidTr="00502D01">
      <w:trPr>
        <w:trHeight w:val="273"/>
      </w:trPr>
      <w:tc>
        <w:tcPr>
          <w:tcW w:w="6135" w:type="dxa"/>
          <w:vAlign w:val="center"/>
        </w:tcPr>
        <w:p w:rsidR="00EC776F" w:rsidRPr="00EC776F" w:rsidRDefault="00EC776F" w:rsidP="00502D01">
          <w:pPr>
            <w:pStyle w:val="En-tte"/>
            <w:jc w:val="center"/>
            <w:rPr>
              <w:i/>
              <w:lang w:val="fr-FR"/>
            </w:rPr>
          </w:pPr>
          <w:r>
            <w:rPr>
              <w:i/>
              <w:lang w:val="fr-FR"/>
            </w:rPr>
            <w:t xml:space="preserve">Référence de la pratique : </w:t>
          </w:r>
          <w:r w:rsidR="00776CD9" w:rsidRPr="00776CD9">
            <w:rPr>
              <w:i/>
              <w:lang w:val="fr-FR"/>
            </w:rPr>
            <w:t>MS-SETTL-PREMAHR-01</w:t>
          </w:r>
        </w:p>
      </w:tc>
      <w:tc>
        <w:tcPr>
          <w:tcW w:w="4066" w:type="dxa"/>
          <w:vAlign w:val="center"/>
        </w:tcPr>
        <w:p w:rsidR="00EC776F" w:rsidRPr="00EC776F" w:rsidRDefault="00EC776F" w:rsidP="00EC776F">
          <w:pPr>
            <w:pStyle w:val="En-tte"/>
            <w:jc w:val="center"/>
            <w:rPr>
              <w:noProof/>
              <w:lang w:val="fr-FR"/>
            </w:rPr>
          </w:pPr>
        </w:p>
      </w:tc>
    </w:tr>
  </w:tbl>
  <w:p w:rsidR="00EC776F" w:rsidRPr="00C221EA" w:rsidRDefault="00EC776F">
    <w:pPr>
      <w:pStyle w:val="En-tte"/>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15:restartNumberingAfterBreak="0">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6"/>
    <w:rsid w:val="00020084"/>
    <w:rsid w:val="00020645"/>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2D01"/>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BF1988F-8E03-485D-B3F1-74A858D7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6846"/>
    <w:pPr>
      <w:tabs>
        <w:tab w:val="center" w:pos="4680"/>
        <w:tab w:val="right" w:pos="9360"/>
      </w:tabs>
      <w:spacing w:after="0" w:line="240" w:lineRule="auto"/>
    </w:pPr>
  </w:style>
  <w:style w:type="character" w:customStyle="1" w:styleId="En-tteCar">
    <w:name w:val="En-tête Car"/>
    <w:basedOn w:val="Policepardfaut"/>
    <w:link w:val="En-tte"/>
    <w:uiPriority w:val="99"/>
    <w:rsid w:val="006D6846"/>
  </w:style>
  <w:style w:type="paragraph" w:styleId="Pieddepage">
    <w:name w:val="footer"/>
    <w:basedOn w:val="Normal"/>
    <w:link w:val="PieddepageCar"/>
    <w:uiPriority w:val="99"/>
    <w:unhideWhenUsed/>
    <w:rsid w:val="006D684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D6846"/>
  </w:style>
  <w:style w:type="paragraph" w:styleId="Textedebulles">
    <w:name w:val="Balloon Text"/>
    <w:basedOn w:val="Normal"/>
    <w:link w:val="TextedebullesCar"/>
    <w:uiPriority w:val="99"/>
    <w:semiHidden/>
    <w:unhideWhenUsed/>
    <w:rsid w:val="006D684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6846"/>
    <w:rPr>
      <w:rFonts w:ascii="Tahoma" w:hAnsi="Tahoma" w:cs="Tahoma"/>
      <w:sz w:val="16"/>
      <w:szCs w:val="16"/>
    </w:rPr>
  </w:style>
  <w:style w:type="paragraph" w:styleId="TM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Paragraphedeliste">
    <w:name w:val="List Paragraph"/>
    <w:basedOn w:val="Normal"/>
    <w:uiPriority w:val="34"/>
    <w:qFormat/>
    <w:rsid w:val="00B26098"/>
    <w:pPr>
      <w:ind w:left="720"/>
      <w:contextualSpacing/>
    </w:pPr>
  </w:style>
  <w:style w:type="table" w:styleId="Grilledutableau">
    <w:name w:val="Table Grid"/>
    <w:basedOn w:val="Tableau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391379C3</Template>
  <TotalTime>8</TotalTime>
  <Pages>2</Pages>
  <Words>422</Words>
  <Characters>2321</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de Sousa, Maria</cp:lastModifiedBy>
  <cp:revision>3</cp:revision>
  <cp:lastPrinted>2015-10-09T10:36:00Z</cp:lastPrinted>
  <dcterms:created xsi:type="dcterms:W3CDTF">2016-05-16T15:42:00Z</dcterms:created>
  <dcterms:modified xsi:type="dcterms:W3CDTF">2016-05-16T15:50:00Z</dcterms:modified>
</cp:coreProperties>
</file>