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bookmarkEnd w:id="0"/>
    </w:p>
    <w:p w:rsidR="00575F36" w:rsidRPr="00EC776F" w:rsidRDefault="00A970CD"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A970CD">
        <w:rPr>
          <w:b/>
          <w:noProof/>
          <w:sz w:val="36"/>
          <w:lang w:val="fr-FR"/>
        </w:rPr>
        <w:t>Traitement des OST sur flux sur les cessions temporaires en cible post-T2S</w:t>
      </w:r>
      <w:r>
        <w:rPr>
          <w:b/>
          <w:noProof/>
          <w:sz w:val="36"/>
          <w:lang w:val="fr-FR"/>
        </w:rPr>
        <w:t xml:space="preserve"> – Opérations non compensées par LCH SA</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FA4417" w:rsidP="00776CD9">
            <w:pPr>
              <w:tabs>
                <w:tab w:val="left" w:pos="9356"/>
              </w:tabs>
              <w:ind w:right="-279"/>
              <w:rPr>
                <w:lang w:val="fr-FR"/>
              </w:rPr>
            </w:pPr>
            <w:r>
              <w:rPr>
                <w:lang w:val="fr-FR"/>
              </w:rPr>
              <w:t>1</w:t>
            </w:r>
            <w:r w:rsidR="00140482">
              <w:rPr>
                <w:lang w:val="fr-FR"/>
              </w:rPr>
              <w:t>.</w:t>
            </w:r>
            <w:r w:rsidR="00776CD9">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FA4417" w:rsidP="006D6846">
            <w:pPr>
              <w:tabs>
                <w:tab w:val="left" w:pos="9356"/>
              </w:tabs>
              <w:ind w:right="-279"/>
              <w:rPr>
                <w:lang w:val="fr-FR"/>
              </w:rPr>
            </w:pPr>
            <w:r>
              <w:rPr>
                <w:lang w:val="fr-FR"/>
              </w:rPr>
              <w:t>30 août</w:t>
            </w:r>
            <w:r w:rsidR="00140482">
              <w:rPr>
                <w:lang w:val="fr-FR"/>
              </w:rPr>
              <w:t xml:space="preserve">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FA4417"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A970CD" w:rsidRDefault="00A970CD" w:rsidP="00A970CD">
            <w:pPr>
              <w:spacing w:before="120"/>
              <w:jc w:val="both"/>
              <w:rPr>
                <w:rFonts w:eastAsia="MS Mincho" w:cs="Times New Roman"/>
                <w:noProof/>
                <w:szCs w:val="32"/>
                <w:lang w:val="fr-FR"/>
              </w:rPr>
            </w:pPr>
            <w:r>
              <w:rPr>
                <w:rFonts w:eastAsia="MS Mincho" w:cs="Times New Roman"/>
                <w:noProof/>
                <w:szCs w:val="32"/>
                <w:lang w:val="fr-FR"/>
              </w:rPr>
              <w:t xml:space="preserve">Cette fiche concerne uniquement les </w:t>
            </w:r>
            <w:r w:rsidRPr="009C263B">
              <w:rPr>
                <w:rFonts w:eastAsia="MS Mincho" w:cs="Times New Roman"/>
                <w:noProof/>
                <w:szCs w:val="32"/>
                <w:lang w:val="fr-FR"/>
              </w:rPr>
              <w:t xml:space="preserve">cessions temporaires de type OTC non compensées par LCH </w:t>
            </w:r>
            <w:r>
              <w:rPr>
                <w:rFonts w:eastAsia="MS Mincho" w:cs="Times New Roman"/>
                <w:noProof/>
                <w:szCs w:val="32"/>
                <w:lang w:val="fr-FR"/>
              </w:rPr>
              <w:t>SA pour lesquelles il y a transfert de propriété tant pour les pensions livrées que pour les prêts emprunts (cf. articles ci-dessous)</w:t>
            </w:r>
          </w:p>
          <w:p w:rsidR="00A970CD" w:rsidRDefault="00A970CD" w:rsidP="00A970CD">
            <w:pPr>
              <w:jc w:val="both"/>
              <w:rPr>
                <w:rFonts w:eastAsia="MS Mincho" w:cs="Times New Roman"/>
                <w:noProof/>
                <w:szCs w:val="32"/>
                <w:lang w:val="fr-FR"/>
              </w:rPr>
            </w:pPr>
          </w:p>
          <w:p w:rsidR="00A970CD" w:rsidRPr="00F408BA" w:rsidRDefault="00A970CD" w:rsidP="00A970CD">
            <w:pPr>
              <w:pStyle w:val="ListParagraph"/>
              <w:numPr>
                <w:ilvl w:val="0"/>
                <w:numId w:val="20"/>
              </w:numPr>
              <w:contextualSpacing w:val="0"/>
              <w:jc w:val="both"/>
              <w:rPr>
                <w:lang w:val="fr-FR"/>
              </w:rPr>
            </w:pPr>
            <w:r w:rsidRPr="00F408BA">
              <w:rPr>
                <w:lang w:val="fr-FR"/>
              </w:rPr>
              <w:t xml:space="preserve">Le prêt/emprunt de titres institué par une loi de 17 juin 1987 est une cession temporaire de titres constituant un prêt à la consommation articles 1892 et 1904 du code civil, le plus souvent un prêt </w:t>
            </w:r>
            <w:proofErr w:type="spellStart"/>
            <w:r w:rsidRPr="00F408BA">
              <w:rPr>
                <w:lang w:val="fr-FR"/>
              </w:rPr>
              <w:t>collatéralisé</w:t>
            </w:r>
            <w:proofErr w:type="spellEnd"/>
            <w:r w:rsidRPr="00F408BA">
              <w:rPr>
                <w:lang w:val="fr-FR"/>
              </w:rPr>
              <w:t xml:space="preserve"> par des titres et ou des espèces. Il s'agit d'un transfert de titres, actions notamment, effectué sur une certaine pér</w:t>
            </w:r>
            <w:r>
              <w:rPr>
                <w:lang w:val="fr-FR"/>
              </w:rPr>
              <w:t>iode en échange de collatéral.</w:t>
            </w:r>
          </w:p>
          <w:p w:rsidR="00A970CD" w:rsidRDefault="00A970CD" w:rsidP="00A970CD">
            <w:pPr>
              <w:jc w:val="both"/>
              <w:rPr>
                <w:rFonts w:eastAsia="MS Mincho" w:cs="Times New Roman"/>
                <w:noProof/>
                <w:szCs w:val="32"/>
                <w:lang w:val="fr-FR"/>
              </w:rPr>
            </w:pPr>
          </w:p>
          <w:p w:rsidR="00A970CD" w:rsidRPr="00F408BA" w:rsidRDefault="00A970CD" w:rsidP="00A970CD">
            <w:pPr>
              <w:pStyle w:val="ListParagraph"/>
              <w:numPr>
                <w:ilvl w:val="0"/>
                <w:numId w:val="20"/>
              </w:numPr>
              <w:contextualSpacing w:val="0"/>
              <w:rPr>
                <w:lang w:val="fr-FR"/>
              </w:rPr>
            </w:pPr>
            <w:r>
              <w:rPr>
                <w:lang w:val="fr-FR"/>
              </w:rPr>
              <w:t>L’</w:t>
            </w:r>
            <w:r w:rsidRPr="00F408BA">
              <w:rPr>
                <w:lang w:val="fr-FR"/>
              </w:rPr>
              <w:t xml:space="preserve"> Article L211-27 du </w:t>
            </w:r>
            <w:r>
              <w:rPr>
                <w:lang w:val="fr-FR"/>
              </w:rPr>
              <w:t>COMOFI</w:t>
            </w:r>
            <w:r w:rsidRPr="00F408BA">
              <w:rPr>
                <w:lang w:val="fr-FR"/>
              </w:rPr>
              <w:t xml:space="preserve"> définit que </w:t>
            </w:r>
            <w:r>
              <w:rPr>
                <w:lang w:val="fr-FR"/>
              </w:rPr>
              <w:t>« </w:t>
            </w:r>
            <w:r w:rsidRPr="00DA73C2">
              <w:rPr>
                <w:lang w:val="fr-FR"/>
              </w:rPr>
              <w:t>La pension est l'opération par laquelle une personne morale, un fonds commun de placement, un fonds de placement immobilier, un fonds professionnel de placement immobilier ou un fonds commun de titrisation cède en pleine propriété à une autre personne morale, à un fonds commun de placement, à un fonds de placement immobilier, un fonds professionnel de placement immobilier ou à un fonds commun de titrisation, moyennant un prix convenu, des titres financiers et par laquelle le cédant et le cessionnaire s'engagent respectivement et irrévocablement, le premier à reprendre les titres, le second à les rétrocéder pour un prix et à une date convenus</w:t>
            </w:r>
            <w:r>
              <w:rPr>
                <w:lang w:val="fr-FR"/>
              </w:rPr>
              <w:t> »</w:t>
            </w:r>
            <w:r w:rsidRPr="00DA73C2">
              <w:rPr>
                <w:lang w:val="fr-FR"/>
              </w:rPr>
              <w:t>.</w:t>
            </w:r>
            <w:r w:rsidRPr="00F408BA">
              <w:rPr>
                <w:lang w:val="fr-FR"/>
              </w:rPr>
              <w:t>.</w:t>
            </w:r>
          </w:p>
          <w:p w:rsidR="00A970CD" w:rsidRPr="00F408BA" w:rsidRDefault="00A970CD" w:rsidP="00A970CD">
            <w:pPr>
              <w:pStyle w:val="ListParagraph"/>
              <w:ind w:left="1440"/>
              <w:rPr>
                <w:lang w:val="fr-FR"/>
              </w:rPr>
            </w:pPr>
          </w:p>
          <w:p w:rsidR="00A970CD" w:rsidRPr="00655098" w:rsidRDefault="00A970CD" w:rsidP="00A970CD">
            <w:pPr>
              <w:jc w:val="both"/>
              <w:rPr>
                <w:b/>
                <w:lang w:val="fr-FR"/>
              </w:rPr>
            </w:pPr>
            <w:r w:rsidRPr="00655098">
              <w:rPr>
                <w:b/>
                <w:lang w:val="fr-FR"/>
              </w:rPr>
              <w:t>Ces deux opérations emportent transfert de propriété.</w:t>
            </w:r>
          </w:p>
          <w:p w:rsidR="00A970CD" w:rsidRPr="00F408BA"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Pr>
                <w:rFonts w:eastAsia="MS Mincho" w:cs="Times New Roman"/>
                <w:noProof/>
                <w:szCs w:val="32"/>
                <w:lang w:val="fr-FR"/>
              </w:rPr>
              <w:t xml:space="preserve">Euroclear propose encore jusqu’à la migration </w:t>
            </w:r>
            <w:r w:rsidRPr="004B3BDA">
              <w:rPr>
                <w:rFonts w:eastAsia="MS Mincho" w:cs="Times New Roman"/>
                <w:noProof/>
                <w:szCs w:val="32"/>
                <w:lang w:val="fr-FR"/>
              </w:rPr>
              <w:t xml:space="preserve">un </w:t>
            </w:r>
            <w:r>
              <w:rPr>
                <w:rFonts w:eastAsia="MS Mincho" w:cs="Times New Roman"/>
                <w:noProof/>
                <w:szCs w:val="32"/>
                <w:lang w:val="fr-FR"/>
              </w:rPr>
              <w:t>module qui gère les opérations de cessions temporaires regroupant à la fois les « pension livrées »et les « prêts emprunts ». Seuls certains acteurs continuent encore à l’utiliser à ce stade.</w:t>
            </w:r>
          </w:p>
          <w:p w:rsidR="00A970CD" w:rsidRDefault="00A970CD" w:rsidP="00A970CD">
            <w:pPr>
              <w:spacing w:before="120"/>
              <w:jc w:val="both"/>
              <w:rPr>
                <w:rFonts w:eastAsia="MS Mincho" w:cs="Times New Roman"/>
                <w:noProof/>
                <w:szCs w:val="32"/>
                <w:lang w:val="fr-FR"/>
              </w:rPr>
            </w:pPr>
            <w:r>
              <w:rPr>
                <w:rFonts w:eastAsia="MS Mincho" w:cs="Times New Roman"/>
                <w:noProof/>
                <w:szCs w:val="32"/>
                <w:lang w:val="fr-FR"/>
              </w:rPr>
              <w:lastRenderedPageBreak/>
              <w:t>Ce module génère automatiquement la restitution de la cession temporaire avec un taux fixe ou variable (EONIA). Cette fonctionnalité permet aussi de garantir les rétrocessions de coupons au prêteur durant la vie du contrat et sans intervention des parties.</w:t>
            </w:r>
          </w:p>
          <w:p w:rsidR="00A970CD"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Pr>
                <w:rFonts w:eastAsia="MS Mincho" w:cs="Times New Roman"/>
                <w:noProof/>
                <w:szCs w:val="32"/>
                <w:lang w:val="fr-FR"/>
              </w:rPr>
              <w:t>Le module ne gère qu’une règle de détection quels que soient les types de valeurs.</w:t>
            </w:r>
          </w:p>
          <w:p w:rsidR="00A970CD"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Pr>
                <w:rFonts w:eastAsia="MS Mincho" w:cs="Times New Roman"/>
                <w:noProof/>
                <w:szCs w:val="32"/>
                <w:lang w:val="fr-FR"/>
              </w:rPr>
              <w:t>En dehors du module Euroclear, les saisies sont réalisées comme des « Achats / Ventes » et les règles de détection des OST sur ces instructions de Types SLAB, répondent à des règles qui varient selon la nature des titres négociés.</w:t>
            </w:r>
          </w:p>
          <w:p w:rsidR="00A970CD" w:rsidRDefault="00A970CD" w:rsidP="00A970CD">
            <w:pPr>
              <w:jc w:val="both"/>
              <w:rPr>
                <w:rFonts w:eastAsia="MS Mincho" w:cs="Times New Roman"/>
                <w:noProof/>
                <w:szCs w:val="32"/>
                <w:lang w:val="fr-FR"/>
              </w:rPr>
            </w:pPr>
          </w:p>
          <w:p w:rsidR="00A970CD" w:rsidRDefault="00A970CD" w:rsidP="00A970CD">
            <w:pPr>
              <w:pStyle w:val="ListParagraph"/>
              <w:numPr>
                <w:ilvl w:val="0"/>
                <w:numId w:val="12"/>
              </w:numPr>
              <w:jc w:val="both"/>
              <w:rPr>
                <w:rFonts w:eastAsia="MS Mincho" w:cs="Times New Roman"/>
                <w:noProof/>
                <w:szCs w:val="32"/>
                <w:lang w:val="fr-FR"/>
              </w:rPr>
            </w:pPr>
            <w:r w:rsidRPr="006A6C2A">
              <w:rPr>
                <w:rFonts w:eastAsia="MS Mincho" w:cs="Times New Roman"/>
                <w:noProof/>
                <w:szCs w:val="32"/>
                <w:lang w:val="fr-FR"/>
              </w:rPr>
              <w:t>ESES comporte certaines limitation</w:t>
            </w:r>
            <w:r>
              <w:rPr>
                <w:rFonts w:eastAsia="MS Mincho" w:cs="Times New Roman"/>
                <w:noProof/>
                <w:szCs w:val="32"/>
                <w:lang w:val="fr-FR"/>
              </w:rPr>
              <w:t>s</w:t>
            </w:r>
            <w:r w:rsidRPr="006A6C2A">
              <w:rPr>
                <w:rFonts w:eastAsia="MS Mincho" w:cs="Times New Roman"/>
                <w:noProof/>
                <w:szCs w:val="32"/>
                <w:lang w:val="fr-FR"/>
              </w:rPr>
              <w:t xml:space="preserve"> concernant l’antério</w:t>
            </w:r>
            <w:r>
              <w:rPr>
                <w:rFonts w:eastAsia="MS Mincho" w:cs="Times New Roman"/>
                <w:noProof/>
                <w:szCs w:val="32"/>
                <w:lang w:val="fr-FR"/>
              </w:rPr>
              <w:t>ri</w:t>
            </w:r>
            <w:r w:rsidRPr="006A6C2A">
              <w:rPr>
                <w:rFonts w:eastAsia="MS Mincho" w:cs="Times New Roman"/>
                <w:noProof/>
                <w:szCs w:val="32"/>
                <w:lang w:val="fr-FR"/>
              </w:rPr>
              <w:t>té de la Trade-Date (TD) qui ne peut être positionnée plus de 35 jours en amont de la date de dénouement théorique</w:t>
            </w:r>
            <w:r>
              <w:rPr>
                <w:rFonts w:eastAsia="MS Mincho" w:cs="Times New Roman"/>
                <w:noProof/>
                <w:szCs w:val="32"/>
                <w:lang w:val="fr-FR"/>
              </w:rPr>
              <w:t xml:space="preserve"> (ISD)</w:t>
            </w:r>
            <w:r w:rsidRPr="006A6C2A">
              <w:rPr>
                <w:rFonts w:eastAsia="MS Mincho" w:cs="Times New Roman"/>
                <w:noProof/>
                <w:szCs w:val="32"/>
                <w:lang w:val="fr-FR"/>
              </w:rPr>
              <w:t>.</w:t>
            </w:r>
          </w:p>
          <w:p w:rsidR="00140482" w:rsidRPr="00A970CD" w:rsidRDefault="00A970CD" w:rsidP="00A970CD">
            <w:pPr>
              <w:pStyle w:val="ListParagraph"/>
              <w:numPr>
                <w:ilvl w:val="0"/>
                <w:numId w:val="12"/>
              </w:numPr>
              <w:jc w:val="both"/>
              <w:rPr>
                <w:rFonts w:eastAsia="MS Mincho" w:cs="Times New Roman"/>
                <w:noProof/>
                <w:szCs w:val="32"/>
                <w:lang w:val="fr-FR"/>
              </w:rPr>
            </w:pPr>
            <w:r>
              <w:rPr>
                <w:rFonts w:eastAsia="MS Mincho" w:cs="Times New Roman"/>
                <w:noProof/>
                <w:szCs w:val="32"/>
                <w:lang w:val="fr-FR"/>
              </w:rPr>
              <w:t>Co</w:t>
            </w:r>
            <w:r w:rsidRPr="006A6C2A">
              <w:rPr>
                <w:rFonts w:eastAsia="MS Mincho" w:cs="Times New Roman"/>
                <w:noProof/>
                <w:szCs w:val="32"/>
                <w:lang w:val="fr-FR"/>
              </w:rPr>
              <w:t>ncernant la fenêtre de détection des OST sur flux, elle est actuellement limité à 45 jours après la Record Date (RD).</w:t>
            </w:r>
          </w:p>
        </w:tc>
      </w:tr>
      <w:tr w:rsidR="00D103DA" w:rsidRPr="00FA4417"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FA4417"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A970CD" w:rsidRDefault="00A970CD" w:rsidP="00A970CD">
            <w:pPr>
              <w:jc w:val="both"/>
              <w:rPr>
                <w:rFonts w:eastAsia="MS Mincho" w:cs="Times New Roman"/>
                <w:noProof/>
                <w:szCs w:val="32"/>
                <w:lang w:val="fr-FR"/>
              </w:rPr>
            </w:pPr>
            <w:r>
              <w:rPr>
                <w:rFonts w:eastAsia="MS Mincho" w:cs="Times New Roman"/>
                <w:noProof/>
                <w:szCs w:val="32"/>
                <w:lang w:val="fr-FR"/>
              </w:rPr>
              <w:t>Le module de pension livrée disparaît au profit d’un traitement en mode achat/vente ou « Cash Trade » (en anglais).</w:t>
            </w:r>
          </w:p>
          <w:p w:rsidR="00A970CD" w:rsidRDefault="00A970CD" w:rsidP="00A970CD">
            <w:pPr>
              <w:jc w:val="both"/>
              <w:rPr>
                <w:rFonts w:eastAsia="MS Mincho" w:cs="Times New Roman"/>
                <w:noProof/>
                <w:szCs w:val="32"/>
                <w:lang w:val="fr-FR"/>
              </w:rPr>
            </w:pPr>
            <w:r>
              <w:rPr>
                <w:rFonts w:eastAsia="MS Mincho" w:cs="Times New Roman"/>
                <w:noProof/>
                <w:szCs w:val="32"/>
                <w:lang w:val="fr-FR"/>
              </w:rPr>
              <w:t>Le traitement des OST sur flux n’est plus assuré par un module spécifique et entraine des changements de procédures.</w:t>
            </w:r>
          </w:p>
          <w:p w:rsidR="00A970CD" w:rsidRDefault="00A970CD" w:rsidP="00A970CD">
            <w:pPr>
              <w:rPr>
                <w:rFonts w:eastAsia="MS Mincho" w:cs="Times New Roman"/>
                <w:noProof/>
                <w:szCs w:val="32"/>
                <w:lang w:val="fr-FR"/>
              </w:rPr>
            </w:pPr>
          </w:p>
          <w:p w:rsidR="00A970CD" w:rsidRDefault="00A970CD" w:rsidP="00A970CD">
            <w:pPr>
              <w:pStyle w:val="ListParagraph"/>
              <w:numPr>
                <w:ilvl w:val="0"/>
                <w:numId w:val="12"/>
              </w:numPr>
              <w:jc w:val="both"/>
              <w:rPr>
                <w:rFonts w:eastAsia="MS Mincho" w:cs="Times New Roman"/>
                <w:noProof/>
                <w:szCs w:val="32"/>
                <w:lang w:val="fr-FR"/>
              </w:rPr>
            </w:pPr>
            <w:r>
              <w:rPr>
                <w:rFonts w:eastAsia="MS Mincho" w:cs="Times New Roman"/>
                <w:noProof/>
                <w:szCs w:val="32"/>
                <w:lang w:val="fr-FR"/>
              </w:rPr>
              <w:t xml:space="preserve">T2S ne </w:t>
            </w:r>
            <w:r w:rsidRPr="006A6C2A">
              <w:rPr>
                <w:rFonts w:eastAsia="MS Mincho" w:cs="Times New Roman"/>
                <w:noProof/>
                <w:szCs w:val="32"/>
                <w:lang w:val="fr-FR"/>
              </w:rPr>
              <w:t xml:space="preserve">comporte </w:t>
            </w:r>
            <w:r>
              <w:rPr>
                <w:rFonts w:eastAsia="MS Mincho" w:cs="Times New Roman"/>
                <w:noProof/>
                <w:szCs w:val="32"/>
                <w:lang w:val="fr-FR"/>
              </w:rPr>
              <w:t>plus de</w:t>
            </w:r>
            <w:r w:rsidRPr="006A6C2A">
              <w:rPr>
                <w:rFonts w:eastAsia="MS Mincho" w:cs="Times New Roman"/>
                <w:noProof/>
                <w:szCs w:val="32"/>
                <w:lang w:val="fr-FR"/>
              </w:rPr>
              <w:t xml:space="preserve"> limitation concernant l’antério</w:t>
            </w:r>
            <w:r>
              <w:rPr>
                <w:rFonts w:eastAsia="MS Mincho" w:cs="Times New Roman"/>
                <w:noProof/>
                <w:szCs w:val="32"/>
                <w:lang w:val="fr-FR"/>
              </w:rPr>
              <w:t>rit</w:t>
            </w:r>
            <w:r w:rsidRPr="006A6C2A">
              <w:rPr>
                <w:rFonts w:eastAsia="MS Mincho" w:cs="Times New Roman"/>
                <w:noProof/>
                <w:szCs w:val="32"/>
                <w:lang w:val="fr-FR"/>
              </w:rPr>
              <w:t>é de la Trade-Date (TD)</w:t>
            </w:r>
            <w:r>
              <w:rPr>
                <w:rFonts w:eastAsia="MS Mincho" w:cs="Times New Roman"/>
                <w:noProof/>
                <w:szCs w:val="32"/>
                <w:lang w:val="fr-FR"/>
              </w:rPr>
              <w:t xml:space="preserve"> qui</w:t>
            </w:r>
            <w:r w:rsidRPr="006A6C2A">
              <w:rPr>
                <w:rFonts w:eastAsia="MS Mincho" w:cs="Times New Roman"/>
                <w:noProof/>
                <w:szCs w:val="32"/>
                <w:lang w:val="fr-FR"/>
              </w:rPr>
              <w:t xml:space="preserve"> </w:t>
            </w:r>
            <w:r>
              <w:rPr>
                <w:rFonts w:eastAsia="MS Mincho" w:cs="Times New Roman"/>
                <w:noProof/>
                <w:szCs w:val="32"/>
                <w:lang w:val="fr-FR"/>
              </w:rPr>
              <w:t xml:space="preserve">pourra être </w:t>
            </w:r>
            <w:r w:rsidRPr="006A6C2A">
              <w:rPr>
                <w:rFonts w:eastAsia="MS Mincho" w:cs="Times New Roman"/>
                <w:noProof/>
                <w:szCs w:val="32"/>
                <w:lang w:val="fr-FR"/>
              </w:rPr>
              <w:t>positionnée plus de 35 jours en amont de la date de dénouement théorique.</w:t>
            </w:r>
          </w:p>
          <w:p w:rsidR="00140482" w:rsidRPr="00A970CD" w:rsidRDefault="00A970CD" w:rsidP="00A970CD">
            <w:pPr>
              <w:pStyle w:val="ListParagraph"/>
              <w:numPr>
                <w:ilvl w:val="0"/>
                <w:numId w:val="12"/>
              </w:numPr>
              <w:jc w:val="both"/>
              <w:rPr>
                <w:rFonts w:eastAsia="MS Mincho" w:cs="Times New Roman"/>
                <w:noProof/>
                <w:szCs w:val="32"/>
                <w:lang w:val="fr-FR"/>
              </w:rPr>
            </w:pPr>
            <w:r>
              <w:rPr>
                <w:rFonts w:eastAsia="MS Mincho" w:cs="Times New Roman"/>
                <w:noProof/>
                <w:szCs w:val="32"/>
                <w:lang w:val="fr-FR"/>
              </w:rPr>
              <w:t>Co</w:t>
            </w:r>
            <w:r w:rsidRPr="006A6C2A">
              <w:rPr>
                <w:rFonts w:eastAsia="MS Mincho" w:cs="Times New Roman"/>
                <w:noProof/>
                <w:szCs w:val="32"/>
                <w:lang w:val="fr-FR"/>
              </w:rPr>
              <w:t xml:space="preserve">ncernant la fenêtre de détection des OST sur flux, elle </w:t>
            </w:r>
            <w:r>
              <w:rPr>
                <w:rFonts w:eastAsia="MS Mincho" w:cs="Times New Roman"/>
                <w:noProof/>
                <w:szCs w:val="32"/>
                <w:lang w:val="fr-FR"/>
              </w:rPr>
              <w:t>sera réduite dans T2S à 20</w:t>
            </w:r>
            <w:r w:rsidRPr="006A6C2A">
              <w:rPr>
                <w:rFonts w:eastAsia="MS Mincho" w:cs="Times New Roman"/>
                <w:noProof/>
                <w:szCs w:val="32"/>
                <w:lang w:val="fr-FR"/>
              </w:rPr>
              <w:t xml:space="preserve"> jours après la Record Date (RD).</w:t>
            </w:r>
          </w:p>
        </w:tc>
      </w:tr>
      <w:tr w:rsidR="0081511D" w:rsidRPr="00FA4417"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FA4417"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A970CD" w:rsidRDefault="00A970CD" w:rsidP="00A970CD">
            <w:pPr>
              <w:pStyle w:val="ListParagraph"/>
              <w:numPr>
                <w:ilvl w:val="0"/>
                <w:numId w:val="21"/>
              </w:numPr>
              <w:spacing w:before="120"/>
              <w:rPr>
                <w:rFonts w:eastAsia="MS Mincho" w:cs="Times New Roman"/>
                <w:noProof/>
                <w:szCs w:val="32"/>
                <w:lang w:val="fr-FR"/>
              </w:rPr>
            </w:pPr>
            <w:r w:rsidRPr="00DD4D84">
              <w:rPr>
                <w:rFonts w:eastAsia="MS Mincho" w:cs="Times New Roman"/>
                <w:noProof/>
                <w:szCs w:val="32"/>
                <w:lang w:val="fr-FR"/>
              </w:rPr>
              <w:t xml:space="preserve">Dans le futur environnement T2S, les instructions de mise en place </w:t>
            </w:r>
            <w:r>
              <w:rPr>
                <w:rFonts w:eastAsia="MS Mincho" w:cs="Times New Roman"/>
                <w:noProof/>
                <w:szCs w:val="32"/>
                <w:lang w:val="fr-FR"/>
              </w:rPr>
              <w:t xml:space="preserve">(Jambe aller) </w:t>
            </w:r>
            <w:r w:rsidRPr="00DD4D84">
              <w:rPr>
                <w:rFonts w:eastAsia="MS Mincho" w:cs="Times New Roman"/>
                <w:noProof/>
                <w:szCs w:val="32"/>
                <w:lang w:val="fr-FR"/>
              </w:rPr>
              <w:t xml:space="preserve">et de restitution </w:t>
            </w:r>
            <w:r>
              <w:rPr>
                <w:rFonts w:eastAsia="MS Mincho" w:cs="Times New Roman"/>
                <w:noProof/>
                <w:szCs w:val="32"/>
                <w:lang w:val="fr-FR"/>
              </w:rPr>
              <w:t xml:space="preserve">(Jambe Retour) </w:t>
            </w:r>
            <w:r w:rsidRPr="00DD4D84">
              <w:rPr>
                <w:rFonts w:eastAsia="MS Mincho" w:cs="Times New Roman"/>
                <w:noProof/>
                <w:szCs w:val="32"/>
                <w:lang w:val="fr-FR"/>
              </w:rPr>
              <w:t>sont saisies en mode Achat / Vente correspondant à des DVP/RVP.</w:t>
            </w:r>
          </w:p>
          <w:p w:rsidR="00A970CD" w:rsidRDefault="00A970CD" w:rsidP="00A970CD">
            <w:pPr>
              <w:pStyle w:val="ListParagraph"/>
              <w:spacing w:before="120"/>
              <w:ind w:left="360"/>
              <w:rPr>
                <w:rFonts w:eastAsia="MS Mincho" w:cs="Times New Roman"/>
                <w:noProof/>
                <w:szCs w:val="32"/>
                <w:lang w:val="fr-FR"/>
              </w:rPr>
            </w:pPr>
          </w:p>
          <w:p w:rsidR="00A970CD" w:rsidRDefault="00A970CD" w:rsidP="00A970CD">
            <w:pPr>
              <w:pStyle w:val="ListParagraph"/>
              <w:numPr>
                <w:ilvl w:val="0"/>
                <w:numId w:val="21"/>
              </w:numPr>
              <w:spacing w:before="120"/>
              <w:jc w:val="both"/>
              <w:rPr>
                <w:rFonts w:eastAsia="MS Mincho" w:cs="Times New Roman"/>
                <w:noProof/>
                <w:szCs w:val="32"/>
                <w:lang w:val="fr-FR"/>
              </w:rPr>
            </w:pPr>
            <w:r>
              <w:rPr>
                <w:rFonts w:eastAsia="MS Mincho" w:cs="Times New Roman"/>
                <w:noProof/>
                <w:szCs w:val="32"/>
                <w:lang w:val="fr-FR"/>
              </w:rPr>
              <w:t>Les effets d’une OST sur stock sont acquises à la contrepartie, généralement, l’emprunteur, présent en stock chez le dépositaire central (Euroclear) à la record-date (RD) de l’OST.</w:t>
            </w:r>
          </w:p>
          <w:p w:rsidR="00A970CD" w:rsidRDefault="00A970CD" w:rsidP="00A970CD">
            <w:pPr>
              <w:pStyle w:val="ListParagraph"/>
              <w:spacing w:before="120"/>
              <w:ind w:left="360"/>
              <w:jc w:val="both"/>
              <w:rPr>
                <w:rFonts w:eastAsia="MS Mincho" w:cs="Times New Roman"/>
                <w:noProof/>
                <w:szCs w:val="32"/>
                <w:lang w:val="fr-FR"/>
              </w:rPr>
            </w:pPr>
          </w:p>
          <w:p w:rsidR="00A970CD" w:rsidRDefault="00A970CD" w:rsidP="00A970CD">
            <w:pPr>
              <w:pStyle w:val="ListParagraph"/>
              <w:numPr>
                <w:ilvl w:val="0"/>
                <w:numId w:val="21"/>
              </w:numPr>
              <w:spacing w:before="120"/>
              <w:jc w:val="both"/>
              <w:rPr>
                <w:rFonts w:eastAsia="MS Mincho" w:cs="Times New Roman"/>
                <w:noProof/>
                <w:szCs w:val="32"/>
                <w:lang w:val="fr-FR"/>
              </w:rPr>
            </w:pPr>
            <w:r>
              <w:rPr>
                <w:rFonts w:eastAsia="MS Mincho" w:cs="Times New Roman"/>
                <w:noProof/>
                <w:szCs w:val="32"/>
                <w:lang w:val="fr-FR"/>
              </w:rPr>
              <w:t>Les modalités de gestion des OST sur flux dépendent de règles différentes selon la nature des titres (titres de capitaux ou titres de taux) et leur mode de comptablisation (UNT, FMT).</w:t>
            </w:r>
          </w:p>
          <w:p w:rsidR="00A970CD" w:rsidRDefault="00A970CD" w:rsidP="00A970CD">
            <w:pPr>
              <w:spacing w:before="120"/>
              <w:rPr>
                <w:rFonts w:eastAsia="MS Mincho" w:cs="Times New Roman"/>
                <w:bCs/>
                <w:noProof/>
                <w:szCs w:val="32"/>
                <w:lang w:val="fr-FR"/>
              </w:rPr>
            </w:pPr>
            <w:r>
              <w:rPr>
                <w:rFonts w:eastAsia="MS Mincho" w:cs="Times New Roman"/>
                <w:noProof/>
                <w:szCs w:val="32"/>
                <w:lang w:val="fr-FR"/>
              </w:rPr>
              <w:t xml:space="preserve">Ces règles sont détaillées et explicitées en annexe de cette fiche. Elles mettent en évidence </w:t>
            </w:r>
            <w:r>
              <w:rPr>
                <w:rFonts w:eastAsia="MS Mincho" w:cs="Times New Roman"/>
                <w:bCs/>
                <w:noProof/>
                <w:szCs w:val="32"/>
                <w:lang w:val="fr-FR"/>
              </w:rPr>
              <w:t xml:space="preserve">la diversité des règles et surtout le </w:t>
            </w:r>
            <w:r w:rsidRPr="003E3399">
              <w:rPr>
                <w:rFonts w:eastAsia="MS Mincho" w:cs="Times New Roman"/>
                <w:bCs/>
                <w:noProof/>
                <w:szCs w:val="32"/>
                <w:lang w:val="fr-FR"/>
              </w:rPr>
              <w:t xml:space="preserve">caractère exceptionnel de mise en œuvre de la détection </w:t>
            </w:r>
            <w:r>
              <w:rPr>
                <w:rFonts w:eastAsia="MS Mincho" w:cs="Times New Roman"/>
                <w:bCs/>
                <w:noProof/>
                <w:szCs w:val="32"/>
                <w:lang w:val="fr-FR"/>
              </w:rPr>
              <w:t>des OST sur Flux (cf.Annexe).</w:t>
            </w:r>
          </w:p>
          <w:p w:rsidR="0081511D" w:rsidRPr="00113071" w:rsidRDefault="0081511D" w:rsidP="00776CD9">
            <w:pPr>
              <w:spacing w:before="120"/>
              <w:jc w:val="both"/>
              <w:rPr>
                <w:rFonts w:eastAsia="MS Mincho" w:cs="Times New Roman"/>
                <w:noProof/>
                <w:szCs w:val="32"/>
                <w:lang w:val="fr-FR"/>
              </w:rPr>
            </w:pPr>
          </w:p>
        </w:tc>
      </w:tr>
      <w:tr w:rsidR="0081511D" w:rsidRPr="00FA4417"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A970CD" w:rsidRDefault="00A970CD" w:rsidP="00A970CD">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MS-SETTL-CESSIONTEMP-02</w:t>
            </w:r>
          </w:p>
          <w:p w:rsidR="00A970CD" w:rsidRDefault="00A970CD" w:rsidP="00A970CD">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MS-SETTL-CRISTALLISATION-REPOS-01</w:t>
            </w:r>
          </w:p>
          <w:p w:rsidR="00A970CD" w:rsidRPr="00A970CD" w:rsidRDefault="00A970CD" w:rsidP="00A970CD">
            <w:pPr>
              <w:pStyle w:val="ListParagraph"/>
              <w:numPr>
                <w:ilvl w:val="0"/>
                <w:numId w:val="3"/>
              </w:numPr>
              <w:ind w:left="317" w:hanging="284"/>
              <w:rPr>
                <w:rFonts w:eastAsia="MS Mincho" w:cs="Times New Roman"/>
                <w:noProof/>
                <w:szCs w:val="32"/>
                <w:lang w:val="fr-FR"/>
              </w:rPr>
            </w:pPr>
            <w:r w:rsidRPr="00A970CD">
              <w:rPr>
                <w:rFonts w:eastAsia="MS Mincho" w:cs="Times New Roman"/>
                <w:noProof/>
                <w:szCs w:val="32"/>
                <w:lang w:val="fr-FR"/>
              </w:rPr>
              <w:t>OF-FLUX-CESSIONSTEMPORAIRES-01</w:t>
            </w:r>
          </w:p>
          <w:p w:rsidR="0081511D" w:rsidRPr="00A970CD" w:rsidRDefault="00A970CD" w:rsidP="00A970CD">
            <w:pPr>
              <w:pStyle w:val="ListParagraph"/>
              <w:numPr>
                <w:ilvl w:val="0"/>
                <w:numId w:val="3"/>
              </w:numPr>
              <w:ind w:left="317" w:hanging="284"/>
              <w:rPr>
                <w:rFonts w:eastAsia="MS Mincho" w:cs="Times New Roman"/>
                <w:noProof/>
                <w:szCs w:val="32"/>
                <w:lang w:val="fr-FR"/>
              </w:rPr>
            </w:pPr>
            <w:r w:rsidRPr="00940396">
              <w:rPr>
                <w:rFonts w:eastAsia="MS Mincho" w:cs="Times New Roman"/>
                <w:noProof/>
                <w:szCs w:val="32"/>
                <w:lang w:val="fr-FR"/>
              </w:rPr>
              <w:t>MS-MATCH-CRITE-03</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FA4417"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A970CD"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sidRPr="00457610">
              <w:rPr>
                <w:rFonts w:eastAsia="MS Mincho" w:cs="Times New Roman"/>
                <w:noProof/>
                <w:szCs w:val="32"/>
                <w:lang w:val="fr-FR"/>
              </w:rPr>
              <w:t>Les règles de gestion des OST sur flux sont différentes selon le type de valeur mobilière en unité (UNT) ou en nominal (FMT). L’étude en annexe de cette fiche, présente le caractère non systématique de  la la détection des OST sur flux, considérant la date de saisie de la restitution et  la règle d’alimentation de la trade date (TD).</w:t>
            </w:r>
            <w:r>
              <w:rPr>
                <w:rFonts w:eastAsia="MS Mincho" w:cs="Times New Roman"/>
                <w:noProof/>
                <w:szCs w:val="32"/>
                <w:lang w:val="fr-FR"/>
              </w:rPr>
              <w:t xml:space="preserve"> </w:t>
            </w:r>
          </w:p>
          <w:p w:rsidR="00A970CD"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sidRPr="00457610">
              <w:rPr>
                <w:rFonts w:eastAsia="MS Mincho" w:cs="Times New Roman"/>
                <w:noProof/>
                <w:szCs w:val="32"/>
                <w:lang w:val="fr-FR"/>
              </w:rPr>
              <w:t xml:space="preserve">L’utilisation du critère de matching additionnel « OptOut » </w:t>
            </w:r>
            <w:r>
              <w:rPr>
                <w:rFonts w:eastAsia="MS Mincho" w:cs="Times New Roman"/>
                <w:noProof/>
                <w:szCs w:val="32"/>
                <w:lang w:val="fr-FR"/>
              </w:rPr>
              <w:t xml:space="preserve">permettrait au plan opérationnel </w:t>
            </w:r>
            <w:r w:rsidRPr="00940396">
              <w:rPr>
                <w:rFonts w:eastAsia="MS Mincho" w:cs="Times New Roman"/>
                <w:noProof/>
                <w:szCs w:val="32"/>
                <w:lang w:val="fr-FR"/>
              </w:rPr>
              <w:t xml:space="preserve">de s’assurer </w:t>
            </w:r>
            <w:r>
              <w:rPr>
                <w:rFonts w:eastAsia="MS Mincho" w:cs="Times New Roman"/>
                <w:noProof/>
                <w:szCs w:val="32"/>
                <w:lang w:val="fr-FR"/>
              </w:rPr>
              <w:t xml:space="preserve">de manière systématique </w:t>
            </w:r>
            <w:r w:rsidRPr="00940396">
              <w:rPr>
                <w:rFonts w:eastAsia="MS Mincho" w:cs="Times New Roman"/>
                <w:noProof/>
                <w:szCs w:val="32"/>
                <w:lang w:val="fr-FR"/>
              </w:rPr>
              <w:t>qu’aucune rétrocession de coupon n</w:t>
            </w:r>
            <w:r>
              <w:rPr>
                <w:rFonts w:eastAsia="MS Mincho" w:cs="Times New Roman"/>
                <w:noProof/>
                <w:szCs w:val="32"/>
                <w:lang w:val="fr-FR"/>
              </w:rPr>
              <w:t xml:space="preserve">’est </w:t>
            </w:r>
            <w:r w:rsidRPr="00940396">
              <w:rPr>
                <w:rFonts w:eastAsia="MS Mincho" w:cs="Times New Roman"/>
                <w:noProof/>
                <w:szCs w:val="32"/>
                <w:lang w:val="fr-FR"/>
              </w:rPr>
              <w:t xml:space="preserve"> générée automatiquement par Euroclear </w:t>
            </w:r>
            <w:r>
              <w:rPr>
                <w:rFonts w:eastAsia="MS Mincho" w:cs="Times New Roman"/>
                <w:noProof/>
                <w:szCs w:val="32"/>
                <w:lang w:val="fr-FR"/>
              </w:rPr>
              <w:t>lors des opérations de mise en place et de restitution</w:t>
            </w:r>
            <w:r w:rsidRPr="00457610">
              <w:rPr>
                <w:rFonts w:eastAsia="MS Mincho" w:cs="Times New Roman"/>
                <w:noProof/>
                <w:szCs w:val="32"/>
                <w:lang w:val="fr-FR"/>
              </w:rPr>
              <w:t xml:space="preserve">. A cette fin, le champs additionnel « Settlement Transaction Condition Indicator » devrait être alimenté par « NOMC » (No Market Claim) dans les instructions des deux contreparties. Néanmoins le recours à cet indicateur, même s’il </w:t>
            </w:r>
            <w:r>
              <w:rPr>
                <w:rFonts w:eastAsia="MS Mincho" w:cs="Times New Roman"/>
                <w:noProof/>
                <w:szCs w:val="32"/>
                <w:lang w:val="fr-FR"/>
              </w:rPr>
              <w:t>garantirait un mode de traitement unique pour toutes les contreparties, ne peut être recommandé pour les raisons suivantes :</w:t>
            </w:r>
          </w:p>
          <w:p w:rsidR="00A970CD"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p>
          <w:p w:rsidR="00A970CD" w:rsidRPr="00457610" w:rsidRDefault="00A970CD" w:rsidP="00A970CD">
            <w:pPr>
              <w:pStyle w:val="ListParagraph"/>
              <w:numPr>
                <w:ilvl w:val="0"/>
                <w:numId w:val="24"/>
              </w:numPr>
              <w:jc w:val="both"/>
              <w:rPr>
                <w:rFonts w:eastAsia="MS Mincho" w:cs="Times New Roman"/>
                <w:b/>
                <w:noProof/>
                <w:szCs w:val="32"/>
                <w:lang w:val="fr-FR"/>
              </w:rPr>
            </w:pPr>
            <w:r w:rsidRPr="00457610">
              <w:rPr>
                <w:rFonts w:eastAsia="MS Mincho" w:cs="Times New Roman"/>
                <w:b/>
                <w:noProof/>
                <w:szCs w:val="32"/>
                <w:lang w:val="fr-FR"/>
              </w:rPr>
              <w:t>Problématique commune aux opérations de cession</w:t>
            </w:r>
            <w:r>
              <w:rPr>
                <w:rFonts w:eastAsia="MS Mincho" w:cs="Times New Roman"/>
                <w:b/>
                <w:noProof/>
                <w:szCs w:val="32"/>
                <w:lang w:val="fr-FR"/>
              </w:rPr>
              <w:t>s</w:t>
            </w:r>
            <w:r w:rsidRPr="00457610">
              <w:rPr>
                <w:rFonts w:eastAsia="MS Mincho" w:cs="Times New Roman"/>
                <w:b/>
                <w:noProof/>
                <w:szCs w:val="32"/>
                <w:lang w:val="fr-FR"/>
              </w:rPr>
              <w:t xml:space="preserve"> temporaire</w:t>
            </w:r>
            <w:r>
              <w:rPr>
                <w:rFonts w:eastAsia="MS Mincho" w:cs="Times New Roman"/>
                <w:b/>
                <w:noProof/>
                <w:szCs w:val="32"/>
                <w:lang w:val="fr-FR"/>
              </w:rPr>
              <w:t>s</w:t>
            </w:r>
          </w:p>
          <w:p w:rsidR="00A970CD" w:rsidRPr="008525E4"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Pr>
                <w:rFonts w:eastAsia="MS Mincho" w:cs="Times New Roman"/>
                <w:noProof/>
                <w:szCs w:val="32"/>
                <w:lang w:val="fr-FR"/>
              </w:rPr>
              <w:t>Deux éléments doivent être considérés :</w:t>
            </w:r>
          </w:p>
          <w:p w:rsidR="00A970CD" w:rsidRDefault="00A970CD" w:rsidP="00A970CD">
            <w:pPr>
              <w:jc w:val="both"/>
              <w:rPr>
                <w:rFonts w:eastAsia="MS Mincho" w:cs="Times New Roman"/>
                <w:noProof/>
                <w:szCs w:val="32"/>
                <w:lang w:val="fr-FR"/>
              </w:rPr>
            </w:pPr>
          </w:p>
          <w:p w:rsidR="00A970CD" w:rsidRPr="00457610" w:rsidRDefault="00A970CD" w:rsidP="00A970CD">
            <w:pPr>
              <w:pStyle w:val="ListParagraph"/>
              <w:numPr>
                <w:ilvl w:val="0"/>
                <w:numId w:val="22"/>
              </w:numPr>
              <w:jc w:val="both"/>
              <w:rPr>
                <w:rFonts w:eastAsia="MS Mincho" w:cs="Times New Roman"/>
                <w:noProof/>
                <w:szCs w:val="32"/>
                <w:lang w:val="fr-FR"/>
              </w:rPr>
            </w:pPr>
            <w:r>
              <w:rPr>
                <w:rFonts w:eastAsia="MS Mincho" w:cs="Times New Roman"/>
                <w:noProof/>
                <w:szCs w:val="32"/>
                <w:lang w:val="fr-FR"/>
              </w:rPr>
              <w:t xml:space="preserve">Ces indicateurs ayant un effet sur le transfert de propriété et donc sur le redevable de la  ficscalité, leur utilisation </w:t>
            </w:r>
            <w:r w:rsidRPr="00457610">
              <w:rPr>
                <w:rFonts w:eastAsia="MS Mincho" w:cs="Times New Roman"/>
                <w:noProof/>
                <w:szCs w:val="32"/>
                <w:lang w:val="fr-FR"/>
              </w:rPr>
              <w:t>amène à s’interroger sur cette recommandation selon la typologie des opérations, pensions/livrées ou prêts de titres.</w:t>
            </w:r>
          </w:p>
          <w:p w:rsidR="00A970CD" w:rsidRPr="00457610" w:rsidRDefault="00A970CD" w:rsidP="00A970CD">
            <w:pPr>
              <w:pStyle w:val="ListParagraph"/>
              <w:numPr>
                <w:ilvl w:val="0"/>
                <w:numId w:val="22"/>
              </w:numPr>
              <w:jc w:val="both"/>
              <w:rPr>
                <w:rFonts w:eastAsia="MS Mincho" w:cs="Times New Roman"/>
                <w:noProof/>
                <w:szCs w:val="32"/>
                <w:lang w:val="fr-FR"/>
              </w:rPr>
            </w:pPr>
            <w:r w:rsidRPr="00457610">
              <w:rPr>
                <w:rFonts w:eastAsia="MS Mincho" w:cs="Times New Roman"/>
                <w:noProof/>
                <w:szCs w:val="32"/>
                <w:lang w:val="fr-FR"/>
              </w:rPr>
              <w:lastRenderedPageBreak/>
              <w:t>Le risque de mismatching induit par l’utilisation de ce critère de matching additionnel qui doit être renseigné à l’identique par les deux contreparties</w:t>
            </w:r>
          </w:p>
          <w:p w:rsidR="00A970CD" w:rsidRDefault="00A970CD" w:rsidP="00A970CD">
            <w:pPr>
              <w:jc w:val="both"/>
              <w:rPr>
                <w:rFonts w:eastAsia="MS Mincho" w:cs="Times New Roman"/>
                <w:noProof/>
                <w:szCs w:val="32"/>
                <w:lang w:val="fr-FR"/>
              </w:rPr>
            </w:pPr>
          </w:p>
          <w:p w:rsidR="00A970CD" w:rsidRPr="00457610" w:rsidRDefault="00A970CD" w:rsidP="00A970CD">
            <w:pPr>
              <w:jc w:val="both"/>
              <w:rPr>
                <w:rFonts w:eastAsia="MS Mincho" w:cs="Times New Roman"/>
                <w:noProof/>
                <w:szCs w:val="32"/>
                <w:lang w:val="fr-FR"/>
              </w:rPr>
            </w:pPr>
            <w:r w:rsidRPr="00873921">
              <w:rPr>
                <w:rFonts w:eastAsia="MS Mincho" w:cs="Times New Roman"/>
                <w:i/>
                <w:noProof/>
                <w:szCs w:val="32"/>
                <w:lang w:val="fr-FR"/>
              </w:rPr>
              <w:t>A noter que le point ci-après n’a pas fait l’objet à ce stade d’une réponse précise : Vérification de la règle de transfert de propriété sur le gré à gré lors d’un suspens de dénouement : dénouement théorique (ISD) ou dénouement réel (ASD), ainsi que le terme défini dans le contrat, quelle que soit la date de dénouement réel ? En effet, aujourd’hui dans les opérations de gré à gré traitées par le SLAB, les OST sur flux sont déclenchées systématiquement après la record date dès lors que l’opération n’est pas dénouée</w:t>
            </w:r>
            <w:r w:rsidRPr="00745791">
              <w:rPr>
                <w:rFonts w:eastAsia="MS Mincho" w:cs="Times New Roman"/>
                <w:noProof/>
                <w:szCs w:val="32"/>
                <w:lang w:val="fr-FR"/>
              </w:rPr>
              <w:t>.</w:t>
            </w:r>
          </w:p>
          <w:p w:rsidR="00A970CD" w:rsidRDefault="00A970CD" w:rsidP="00A970CD">
            <w:pPr>
              <w:jc w:val="both"/>
              <w:rPr>
                <w:rFonts w:eastAsia="MS Mincho" w:cs="Times New Roman"/>
                <w:noProof/>
                <w:szCs w:val="32"/>
                <w:lang w:val="fr-FR"/>
              </w:rPr>
            </w:pPr>
          </w:p>
          <w:p w:rsidR="00A970CD" w:rsidRPr="00481FCD" w:rsidRDefault="00A970CD" w:rsidP="00A970CD">
            <w:pPr>
              <w:pStyle w:val="ListParagraph"/>
              <w:numPr>
                <w:ilvl w:val="0"/>
                <w:numId w:val="23"/>
              </w:numPr>
              <w:jc w:val="both"/>
              <w:rPr>
                <w:rFonts w:eastAsia="MS Mincho" w:cs="Times New Roman"/>
                <w:noProof/>
                <w:szCs w:val="32"/>
                <w:lang w:val="fr-FR"/>
              </w:rPr>
            </w:pPr>
            <w:r w:rsidRPr="00481FCD">
              <w:rPr>
                <w:rFonts w:eastAsia="MS Mincho" w:cs="Times New Roman"/>
                <w:noProof/>
                <w:szCs w:val="32"/>
                <w:lang w:val="fr-FR"/>
              </w:rPr>
              <w:t>Impact fiscal</w:t>
            </w:r>
          </w:p>
          <w:p w:rsidR="00A970CD" w:rsidRPr="00A9229E"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Pr>
                <w:rFonts w:eastAsia="MS Mincho" w:cs="Times New Roman"/>
                <w:noProof/>
                <w:szCs w:val="32"/>
                <w:lang w:val="fr-FR"/>
              </w:rPr>
              <w:t>L</w:t>
            </w:r>
            <w:r w:rsidRPr="00CC3CD6">
              <w:rPr>
                <w:rFonts w:eastAsia="MS Mincho" w:cs="Times New Roman"/>
                <w:noProof/>
                <w:szCs w:val="32"/>
                <w:lang w:val="fr-FR"/>
              </w:rPr>
              <w:t>’utilisation des indicateurs CUM/EX, ou OPT OUT</w:t>
            </w:r>
            <w:r>
              <w:rPr>
                <w:rFonts w:eastAsia="MS Mincho" w:cs="Times New Roman"/>
                <w:noProof/>
                <w:szCs w:val="32"/>
                <w:lang w:val="fr-FR"/>
              </w:rPr>
              <w:t>,</w:t>
            </w:r>
            <w:r w:rsidRPr="00CC3CD6">
              <w:rPr>
                <w:rFonts w:eastAsia="MS Mincho" w:cs="Times New Roman"/>
                <w:noProof/>
                <w:szCs w:val="32"/>
                <w:lang w:val="fr-FR"/>
              </w:rPr>
              <w:t xml:space="preserve"> </w:t>
            </w:r>
            <w:r>
              <w:rPr>
                <w:rFonts w:eastAsia="MS Mincho" w:cs="Times New Roman"/>
                <w:noProof/>
                <w:szCs w:val="32"/>
                <w:lang w:val="fr-FR"/>
              </w:rPr>
              <w:t xml:space="preserve">inverse le sens ou neutralise </w:t>
            </w:r>
            <w:r w:rsidRPr="001B50E6">
              <w:rPr>
                <w:rFonts w:eastAsia="MS Mincho" w:cs="Times New Roman"/>
                <w:noProof/>
                <w:szCs w:val="32"/>
                <w:lang w:val="fr-FR"/>
              </w:rPr>
              <w:t xml:space="preserve"> </w:t>
            </w:r>
            <w:r>
              <w:rPr>
                <w:rFonts w:eastAsia="MS Mincho" w:cs="Times New Roman"/>
                <w:noProof/>
                <w:szCs w:val="32"/>
                <w:lang w:val="fr-FR"/>
              </w:rPr>
              <w:t>les OST flux,</w:t>
            </w:r>
            <w:r w:rsidRPr="00CC3CD6">
              <w:rPr>
                <w:rFonts w:eastAsia="MS Mincho" w:cs="Times New Roman"/>
                <w:noProof/>
                <w:szCs w:val="32"/>
                <w:lang w:val="fr-FR"/>
              </w:rPr>
              <w:t xml:space="preserve"> </w:t>
            </w:r>
            <w:r>
              <w:rPr>
                <w:rFonts w:eastAsia="MS Mincho" w:cs="Times New Roman"/>
                <w:noProof/>
                <w:szCs w:val="32"/>
                <w:lang w:val="fr-FR"/>
              </w:rPr>
              <w:t xml:space="preserve">pouvant </w:t>
            </w:r>
            <w:r w:rsidRPr="00CC3CD6">
              <w:rPr>
                <w:rFonts w:eastAsia="MS Mincho" w:cs="Times New Roman"/>
                <w:noProof/>
                <w:szCs w:val="32"/>
                <w:lang w:val="fr-FR"/>
              </w:rPr>
              <w:t>entraîn</w:t>
            </w:r>
            <w:r>
              <w:rPr>
                <w:rFonts w:eastAsia="MS Mincho" w:cs="Times New Roman"/>
                <w:noProof/>
                <w:szCs w:val="32"/>
                <w:lang w:val="fr-FR"/>
              </w:rPr>
              <w:t xml:space="preserve">er </w:t>
            </w:r>
            <w:r w:rsidRPr="00CC3CD6">
              <w:rPr>
                <w:rFonts w:eastAsia="MS Mincho" w:cs="Times New Roman"/>
                <w:noProof/>
                <w:szCs w:val="32"/>
                <w:lang w:val="fr-FR"/>
              </w:rPr>
              <w:t xml:space="preserve">une opacité </w:t>
            </w:r>
            <w:r>
              <w:rPr>
                <w:rFonts w:eastAsia="MS Mincho" w:cs="Times New Roman"/>
                <w:noProof/>
                <w:szCs w:val="32"/>
                <w:lang w:val="fr-FR"/>
              </w:rPr>
              <w:t xml:space="preserve">dans leur détéction </w:t>
            </w:r>
            <w:r w:rsidRPr="00CC3CD6">
              <w:rPr>
                <w:rFonts w:eastAsia="MS Mincho" w:cs="Times New Roman"/>
                <w:noProof/>
                <w:szCs w:val="32"/>
                <w:lang w:val="fr-FR"/>
              </w:rPr>
              <w:t xml:space="preserve"> par les systèmes d’information des TCC.</w:t>
            </w:r>
          </w:p>
          <w:p w:rsidR="00A970CD"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Pr>
                <w:rFonts w:eastAsia="MS Mincho" w:cs="Times New Roman"/>
                <w:noProof/>
                <w:szCs w:val="32"/>
                <w:lang w:val="fr-FR"/>
              </w:rPr>
              <w:t xml:space="preserve">Ils agissent en modifiant le transfert de propriété et donc le destinataire de l’OST, qui pourrait ne plus être le redevable réel et conduire à un arbitrage fiscal, interdit en France, notamment </w:t>
            </w:r>
            <w:r w:rsidRPr="003D38F5">
              <w:rPr>
                <w:rFonts w:eastAsia="MS Mincho" w:cs="Times New Roman"/>
                <w:noProof/>
                <w:szCs w:val="32"/>
                <w:lang w:val="fr-FR"/>
              </w:rPr>
              <w:t xml:space="preserve">lors d’un </w:t>
            </w:r>
            <w:r>
              <w:rPr>
                <w:rFonts w:eastAsia="MS Mincho" w:cs="Times New Roman"/>
                <w:noProof/>
                <w:szCs w:val="32"/>
                <w:lang w:val="fr-FR"/>
              </w:rPr>
              <w:t>paiement d’intérêt ou dividende,</w:t>
            </w:r>
            <w:r w:rsidRPr="003D38F5">
              <w:rPr>
                <w:rFonts w:eastAsia="MS Mincho" w:cs="Times New Roman"/>
                <w:noProof/>
                <w:szCs w:val="32"/>
                <w:lang w:val="fr-FR"/>
              </w:rPr>
              <w:t xml:space="preserve"> ouvrant droit au crédit d'impôt ou à la retenue à la source</w:t>
            </w:r>
            <w:r>
              <w:rPr>
                <w:rFonts w:eastAsia="MS Mincho" w:cs="Times New Roman"/>
                <w:noProof/>
                <w:szCs w:val="32"/>
                <w:lang w:val="fr-FR"/>
              </w:rPr>
              <w:t xml:space="preserve"> (cf. Annexe II de cette fiche). A noter que l</w:t>
            </w:r>
            <w:r w:rsidRPr="003D38F5">
              <w:rPr>
                <w:rFonts w:eastAsia="MS Mincho" w:cs="Times New Roman"/>
                <w:noProof/>
                <w:szCs w:val="32"/>
                <w:lang w:val="fr-FR"/>
              </w:rPr>
              <w:t>es contrat</w:t>
            </w:r>
            <w:r>
              <w:rPr>
                <w:rFonts w:eastAsia="MS Mincho" w:cs="Times New Roman"/>
                <w:noProof/>
                <w:szCs w:val="32"/>
                <w:lang w:val="fr-FR"/>
              </w:rPr>
              <w:t>s</w:t>
            </w:r>
            <w:r w:rsidRPr="003D38F5">
              <w:rPr>
                <w:rFonts w:eastAsia="MS Mincho" w:cs="Times New Roman"/>
                <w:noProof/>
                <w:szCs w:val="32"/>
                <w:lang w:val="fr-FR"/>
              </w:rPr>
              <w:t xml:space="preserve"> de Droit Français </w:t>
            </w:r>
            <w:r>
              <w:rPr>
                <w:rFonts w:eastAsia="MS Mincho" w:cs="Times New Roman"/>
                <w:noProof/>
                <w:szCs w:val="32"/>
                <w:lang w:val="fr-FR"/>
              </w:rPr>
              <w:t xml:space="preserve">(notamment convention cadre FBF et contrat AFTI) </w:t>
            </w:r>
            <w:r w:rsidRPr="003D38F5">
              <w:rPr>
                <w:rFonts w:eastAsia="MS Mincho" w:cs="Times New Roman"/>
                <w:noProof/>
                <w:szCs w:val="32"/>
                <w:lang w:val="fr-FR"/>
              </w:rPr>
              <w:t>encadrant l’activité de cession temporaire prévoi</w:t>
            </w:r>
            <w:r>
              <w:rPr>
                <w:rFonts w:eastAsia="MS Mincho" w:cs="Times New Roman"/>
                <w:noProof/>
                <w:szCs w:val="32"/>
                <w:lang w:val="fr-FR"/>
              </w:rPr>
              <w:t>en</w:t>
            </w:r>
            <w:r w:rsidRPr="003D38F5">
              <w:rPr>
                <w:rFonts w:eastAsia="MS Mincho" w:cs="Times New Roman"/>
                <w:noProof/>
                <w:szCs w:val="32"/>
                <w:lang w:val="fr-FR"/>
              </w:rPr>
              <w:t xml:space="preserve">t </w:t>
            </w:r>
            <w:r>
              <w:rPr>
                <w:rFonts w:eastAsia="MS Mincho" w:cs="Times New Roman"/>
                <w:noProof/>
                <w:szCs w:val="32"/>
                <w:lang w:val="fr-FR"/>
              </w:rPr>
              <w:t>l’arrêt de l’opération sur ce type d’</w:t>
            </w:r>
            <w:r w:rsidRPr="003D38F5">
              <w:rPr>
                <w:rFonts w:eastAsia="MS Mincho" w:cs="Times New Roman"/>
                <w:noProof/>
                <w:szCs w:val="32"/>
                <w:lang w:val="fr-FR"/>
              </w:rPr>
              <w:t>OST.</w:t>
            </w:r>
          </w:p>
          <w:p w:rsidR="00A970CD" w:rsidRPr="003D38F5" w:rsidRDefault="00A970CD" w:rsidP="00A970CD">
            <w:pPr>
              <w:jc w:val="both"/>
              <w:rPr>
                <w:rFonts w:eastAsia="MS Mincho" w:cs="Times New Roman"/>
                <w:noProof/>
                <w:szCs w:val="32"/>
                <w:lang w:val="fr-FR"/>
              </w:rPr>
            </w:pPr>
          </w:p>
          <w:p w:rsidR="00A970CD" w:rsidRPr="00CC3CD6" w:rsidRDefault="00A970CD" w:rsidP="00A970CD">
            <w:pPr>
              <w:jc w:val="both"/>
              <w:rPr>
                <w:rFonts w:eastAsia="MS Mincho" w:cs="Times New Roman"/>
                <w:noProof/>
                <w:szCs w:val="32"/>
                <w:lang w:val="fr-FR"/>
              </w:rPr>
            </w:pPr>
            <w:r>
              <w:rPr>
                <w:rFonts w:eastAsia="MS Mincho" w:cs="Times New Roman"/>
                <w:noProof/>
                <w:szCs w:val="32"/>
                <w:lang w:val="fr-FR"/>
              </w:rPr>
              <w:t>Cette situation pourrait conduire à ce que l</w:t>
            </w:r>
            <w:r w:rsidRPr="00CC3CD6">
              <w:rPr>
                <w:rFonts w:eastAsia="MS Mincho" w:cs="Times New Roman"/>
                <w:noProof/>
                <w:szCs w:val="32"/>
                <w:lang w:val="fr-FR"/>
              </w:rPr>
              <w:t>a responsabilité de</w:t>
            </w:r>
            <w:r>
              <w:rPr>
                <w:rFonts w:eastAsia="MS Mincho" w:cs="Times New Roman"/>
                <w:noProof/>
                <w:szCs w:val="32"/>
                <w:lang w:val="fr-FR"/>
              </w:rPr>
              <w:t>s TCC</w:t>
            </w:r>
            <w:r w:rsidRPr="00CC3CD6">
              <w:rPr>
                <w:rFonts w:eastAsia="MS Mincho" w:cs="Times New Roman"/>
                <w:noProof/>
                <w:szCs w:val="32"/>
                <w:lang w:val="fr-FR"/>
              </w:rPr>
              <w:t xml:space="preserve"> </w:t>
            </w:r>
            <w:r>
              <w:rPr>
                <w:rFonts w:eastAsia="MS Mincho" w:cs="Times New Roman"/>
                <w:noProof/>
                <w:szCs w:val="32"/>
                <w:lang w:val="fr-FR"/>
              </w:rPr>
              <w:t>soit</w:t>
            </w:r>
            <w:r w:rsidRPr="00CC3CD6">
              <w:rPr>
                <w:rFonts w:eastAsia="MS Mincho" w:cs="Times New Roman"/>
                <w:noProof/>
                <w:szCs w:val="32"/>
                <w:lang w:val="fr-FR"/>
              </w:rPr>
              <w:t xml:space="preserve"> engagée</w:t>
            </w:r>
            <w:r>
              <w:rPr>
                <w:rFonts w:eastAsia="MS Mincho" w:cs="Times New Roman"/>
                <w:noProof/>
                <w:szCs w:val="32"/>
                <w:lang w:val="fr-FR"/>
              </w:rPr>
              <w:t xml:space="preserve"> dans la mesure où ceux-ci sont responsables </w:t>
            </w:r>
            <w:r w:rsidRPr="00CC3CD6">
              <w:rPr>
                <w:rFonts w:eastAsia="MS Mincho" w:cs="Times New Roman"/>
                <w:noProof/>
                <w:szCs w:val="32"/>
                <w:lang w:val="fr-FR"/>
              </w:rPr>
              <w:t>vis-à-vis de l’Administration Fiscale de la collecte des informations fiscales ainsi que des montants collectés</w:t>
            </w:r>
            <w:r>
              <w:rPr>
                <w:rFonts w:eastAsia="MS Mincho" w:cs="Times New Roman"/>
                <w:noProof/>
                <w:szCs w:val="32"/>
                <w:lang w:val="fr-FR"/>
              </w:rPr>
              <w:t>. I</w:t>
            </w:r>
            <w:r w:rsidRPr="00CC3CD6">
              <w:rPr>
                <w:rFonts w:eastAsia="MS Mincho" w:cs="Times New Roman"/>
                <w:noProof/>
                <w:szCs w:val="32"/>
                <w:lang w:val="fr-FR"/>
              </w:rPr>
              <w:t>ls pourraient</w:t>
            </w:r>
            <w:r>
              <w:rPr>
                <w:rFonts w:eastAsia="MS Mincho" w:cs="Times New Roman"/>
                <w:noProof/>
                <w:szCs w:val="32"/>
                <w:lang w:val="fr-FR"/>
              </w:rPr>
              <w:t xml:space="preserve"> notamment</w:t>
            </w:r>
            <w:r w:rsidRPr="00CC3CD6">
              <w:rPr>
                <w:rFonts w:eastAsia="MS Mincho" w:cs="Times New Roman"/>
                <w:noProof/>
                <w:szCs w:val="32"/>
                <w:lang w:val="fr-FR"/>
              </w:rPr>
              <w:t xml:space="preserve"> être tenus responsables de façon directe ou indirecte d’opérations d’arbitrage fisca</w:t>
            </w:r>
            <w:r>
              <w:rPr>
                <w:rFonts w:eastAsia="MS Mincho" w:cs="Times New Roman"/>
                <w:noProof/>
                <w:szCs w:val="32"/>
                <w:lang w:val="fr-FR"/>
              </w:rPr>
              <w:t>l</w:t>
            </w:r>
            <w:r w:rsidRPr="00CC3CD6">
              <w:rPr>
                <w:rFonts w:eastAsia="MS Mincho" w:cs="Times New Roman"/>
                <w:noProof/>
                <w:szCs w:val="32"/>
                <w:lang w:val="fr-FR"/>
              </w:rPr>
              <w:t>.</w:t>
            </w:r>
          </w:p>
          <w:p w:rsidR="00A970CD" w:rsidRPr="00CC3CD6" w:rsidRDefault="00A970CD" w:rsidP="00A970CD">
            <w:pPr>
              <w:jc w:val="both"/>
              <w:rPr>
                <w:rFonts w:eastAsia="MS Mincho" w:cs="Times New Roman"/>
                <w:noProof/>
                <w:szCs w:val="32"/>
                <w:lang w:val="fr-FR"/>
              </w:rPr>
            </w:pPr>
          </w:p>
          <w:p w:rsidR="00A970CD" w:rsidRPr="00CC3CD6" w:rsidRDefault="00A970CD" w:rsidP="00A970CD">
            <w:pPr>
              <w:jc w:val="both"/>
              <w:rPr>
                <w:rFonts w:eastAsia="MS Mincho" w:cs="Times New Roman"/>
                <w:noProof/>
                <w:szCs w:val="32"/>
                <w:lang w:val="fr-FR"/>
              </w:rPr>
            </w:pPr>
            <w:r>
              <w:rPr>
                <w:rFonts w:eastAsia="MS Mincho" w:cs="Times New Roman"/>
                <w:noProof/>
                <w:szCs w:val="32"/>
                <w:lang w:val="fr-FR"/>
              </w:rPr>
              <w:t>A ce stade, il</w:t>
            </w:r>
            <w:r w:rsidRPr="00CC3CD6">
              <w:rPr>
                <w:rFonts w:eastAsia="MS Mincho" w:cs="Times New Roman"/>
                <w:noProof/>
                <w:szCs w:val="32"/>
                <w:lang w:val="fr-FR"/>
              </w:rPr>
              <w:t xml:space="preserve"> importe donc d’être très prudents dans l’utilisation de ces indicateurs</w:t>
            </w:r>
            <w:r>
              <w:rPr>
                <w:rFonts w:eastAsia="MS Mincho" w:cs="Times New Roman"/>
                <w:noProof/>
                <w:szCs w:val="32"/>
                <w:lang w:val="fr-FR"/>
              </w:rPr>
              <w:t>.</w:t>
            </w:r>
          </w:p>
          <w:p w:rsidR="00A970CD" w:rsidRPr="00457610" w:rsidRDefault="00A970CD" w:rsidP="00A970CD">
            <w:pPr>
              <w:jc w:val="both"/>
              <w:rPr>
                <w:rFonts w:eastAsia="MS Mincho" w:cs="Times New Roman"/>
                <w:noProof/>
                <w:szCs w:val="32"/>
                <w:lang w:val="fr-FR"/>
              </w:rPr>
            </w:pPr>
          </w:p>
          <w:p w:rsidR="00A970CD" w:rsidRPr="00457610" w:rsidRDefault="00A970CD" w:rsidP="00A970CD">
            <w:pPr>
              <w:pStyle w:val="ListParagraph"/>
              <w:numPr>
                <w:ilvl w:val="0"/>
                <w:numId w:val="23"/>
              </w:numPr>
              <w:jc w:val="both"/>
              <w:rPr>
                <w:rFonts w:eastAsia="MS Mincho" w:cs="Times New Roman"/>
                <w:noProof/>
                <w:szCs w:val="32"/>
                <w:lang w:val="fr-FR"/>
              </w:rPr>
            </w:pPr>
            <w:r w:rsidRPr="00457610">
              <w:rPr>
                <w:rFonts w:eastAsia="MS Mincho" w:cs="Times New Roman"/>
                <w:noProof/>
                <w:szCs w:val="32"/>
                <w:lang w:val="fr-FR"/>
              </w:rPr>
              <w:t>La problématique du « mismatching » des opérations :</w:t>
            </w:r>
          </w:p>
          <w:p w:rsidR="00A970CD" w:rsidRPr="00457610" w:rsidRDefault="00A970CD" w:rsidP="00A970CD">
            <w:pPr>
              <w:pStyle w:val="ListParagraph"/>
              <w:jc w:val="both"/>
              <w:rPr>
                <w:rFonts w:eastAsia="MS Mincho" w:cs="Times New Roman"/>
                <w:noProof/>
                <w:szCs w:val="32"/>
                <w:lang w:val="fr-FR"/>
              </w:rPr>
            </w:pPr>
          </w:p>
          <w:p w:rsidR="00A970CD" w:rsidRDefault="00A970CD" w:rsidP="00A970CD">
            <w:pPr>
              <w:jc w:val="both"/>
              <w:rPr>
                <w:rFonts w:eastAsia="MS Mincho" w:cs="Times New Roman"/>
                <w:noProof/>
                <w:szCs w:val="32"/>
                <w:lang w:val="fr-FR"/>
              </w:rPr>
            </w:pPr>
            <w:r w:rsidRPr="00457610">
              <w:rPr>
                <w:rFonts w:eastAsia="MS Mincho" w:cs="Times New Roman"/>
                <w:noProof/>
                <w:szCs w:val="32"/>
                <w:lang w:val="fr-FR"/>
              </w:rPr>
              <w:t>Les acteurs du marché des pensions/livrées (opérations portant principalement sur des produits gérés en FMT) et du prêt emprunt (opérations portant principalement sur des produits gérés en UNT) ne souhaitent pas utiliser ces indicateurs dont une utilisation non harmonisée pourrait engendrer des retards d’appariement et éventuellement de dénouement de leurs opérations. Il importe de rappeler que ces indicateurs doivent être alimentés à l’identique par les deux contreparties afin que les instructions soient appariées (matched).</w:t>
            </w:r>
          </w:p>
          <w:p w:rsidR="00A970CD" w:rsidRDefault="00A970CD" w:rsidP="00A970CD">
            <w:pPr>
              <w:jc w:val="both"/>
              <w:rPr>
                <w:rFonts w:eastAsia="MS Mincho" w:cs="Times New Roman"/>
                <w:noProof/>
                <w:szCs w:val="32"/>
                <w:lang w:val="fr-FR"/>
              </w:rPr>
            </w:pPr>
          </w:p>
          <w:p w:rsidR="00A970CD" w:rsidRPr="00457610" w:rsidRDefault="00A970CD" w:rsidP="00A970CD">
            <w:pPr>
              <w:jc w:val="both"/>
              <w:rPr>
                <w:rFonts w:eastAsia="MS Mincho" w:cs="Times New Roman"/>
                <w:noProof/>
                <w:szCs w:val="32"/>
                <w:lang w:val="fr-FR"/>
              </w:rPr>
            </w:pPr>
          </w:p>
          <w:p w:rsidR="00A970CD" w:rsidRPr="00457610" w:rsidRDefault="00A970CD" w:rsidP="00A970CD">
            <w:pPr>
              <w:pStyle w:val="ListParagraph"/>
              <w:numPr>
                <w:ilvl w:val="0"/>
                <w:numId w:val="24"/>
              </w:numPr>
              <w:jc w:val="both"/>
              <w:rPr>
                <w:rFonts w:eastAsia="MS Mincho" w:cs="Times New Roman"/>
                <w:b/>
                <w:noProof/>
                <w:szCs w:val="32"/>
                <w:lang w:val="fr-FR"/>
              </w:rPr>
            </w:pPr>
            <w:r w:rsidRPr="00457610">
              <w:rPr>
                <w:rFonts w:eastAsia="MS Mincho" w:cs="Times New Roman"/>
                <w:b/>
                <w:noProof/>
                <w:szCs w:val="32"/>
                <w:lang w:val="fr-FR"/>
              </w:rPr>
              <w:t>Analyse par type de cessions temporaires</w:t>
            </w:r>
          </w:p>
          <w:p w:rsidR="00A970CD" w:rsidRPr="00457610" w:rsidRDefault="00A970CD" w:rsidP="00A970CD">
            <w:pPr>
              <w:jc w:val="both"/>
              <w:rPr>
                <w:rFonts w:eastAsia="MS Mincho" w:cs="Times New Roman"/>
                <w:noProof/>
                <w:szCs w:val="32"/>
                <w:lang w:val="fr-FR"/>
              </w:rPr>
            </w:pPr>
          </w:p>
          <w:p w:rsidR="00A970CD" w:rsidRPr="00867860" w:rsidRDefault="00A970CD" w:rsidP="00A970CD">
            <w:pPr>
              <w:pStyle w:val="ListParagraph"/>
              <w:numPr>
                <w:ilvl w:val="0"/>
                <w:numId w:val="25"/>
              </w:numPr>
              <w:jc w:val="both"/>
              <w:rPr>
                <w:rFonts w:eastAsia="MS Mincho" w:cs="Times New Roman"/>
                <w:b/>
                <w:noProof/>
                <w:szCs w:val="32"/>
                <w:lang w:val="fr-FR"/>
              </w:rPr>
            </w:pPr>
            <w:r w:rsidRPr="008525E4">
              <w:rPr>
                <w:rFonts w:eastAsia="MS Mincho" w:cs="Times New Roman"/>
                <w:noProof/>
                <w:szCs w:val="32"/>
                <w:lang w:val="fr-FR"/>
              </w:rPr>
              <w:t xml:space="preserve"> </w:t>
            </w:r>
            <w:r w:rsidRPr="00867860">
              <w:rPr>
                <w:rFonts w:eastAsia="MS Mincho" w:cs="Times New Roman"/>
                <w:b/>
                <w:noProof/>
                <w:szCs w:val="32"/>
                <w:lang w:val="fr-FR"/>
              </w:rPr>
              <w:t>Les pension livrées (Repo)</w:t>
            </w:r>
          </w:p>
          <w:p w:rsidR="00A970CD" w:rsidRPr="00457610" w:rsidRDefault="00A970CD" w:rsidP="00A970CD">
            <w:pPr>
              <w:jc w:val="both"/>
              <w:rPr>
                <w:rFonts w:eastAsia="MS Mincho" w:cs="Times New Roman"/>
                <w:noProof/>
                <w:szCs w:val="32"/>
                <w:lang w:val="fr-FR"/>
              </w:rPr>
            </w:pPr>
          </w:p>
          <w:p w:rsidR="00A970CD" w:rsidRPr="00457610" w:rsidRDefault="00A970CD" w:rsidP="00A970CD">
            <w:pPr>
              <w:jc w:val="both"/>
              <w:rPr>
                <w:rFonts w:eastAsia="MS Mincho" w:cs="Times New Roman"/>
                <w:noProof/>
                <w:szCs w:val="32"/>
                <w:u w:val="single"/>
                <w:lang w:val="fr-FR"/>
              </w:rPr>
            </w:pPr>
            <w:r w:rsidRPr="00457610">
              <w:rPr>
                <w:rFonts w:eastAsia="MS Mincho" w:cs="Times New Roman"/>
                <w:noProof/>
                <w:szCs w:val="32"/>
                <w:u w:val="single"/>
                <w:lang w:val="fr-FR"/>
              </w:rPr>
              <w:t>Harmonisation de l’alimentation de la TD :</w:t>
            </w:r>
          </w:p>
          <w:p w:rsidR="00A970CD" w:rsidRDefault="00A970CD" w:rsidP="00A970CD">
            <w:pPr>
              <w:jc w:val="both"/>
              <w:rPr>
                <w:rFonts w:eastAsia="MS Mincho" w:cs="Times New Roman"/>
                <w:noProof/>
                <w:szCs w:val="32"/>
                <w:lang w:val="fr-FR"/>
              </w:rPr>
            </w:pPr>
            <w:r w:rsidRPr="00457610">
              <w:rPr>
                <w:rFonts w:eastAsia="MS Mincho" w:cs="Times New Roman"/>
                <w:noProof/>
                <w:szCs w:val="32"/>
                <w:lang w:val="fr-FR"/>
              </w:rPr>
              <w:t>Le groupe AFTI Marchés Obligataires &amp; Collatéral(MOC) souhaite définir une pratique commune des pensions livrées, notamment  une alimentation de la TD de la restitution = à la TD de la négociation d’origine  (Cf.</w:t>
            </w:r>
            <w:r>
              <w:rPr>
                <w:rFonts w:eastAsia="MS Mincho" w:cs="Times New Roman"/>
                <w:noProof/>
                <w:szCs w:val="32"/>
                <w:lang w:val="fr-FR"/>
              </w:rPr>
              <w:t xml:space="preserve"> MS-SETTL-CESSIONTEMP-02)</w:t>
            </w:r>
            <w:r w:rsidRPr="00457610">
              <w:rPr>
                <w:rFonts w:eastAsia="MS Mincho" w:cs="Times New Roman"/>
                <w:noProof/>
                <w:szCs w:val="32"/>
                <w:lang w:val="fr-FR"/>
              </w:rPr>
              <w:t>. A ce propos, le guide des pratiques de marché des Repos de l’ICMA de juillet 2015 peut être la référence sur laquelle s’appuyer puisque la pratique de marché relative à la cristallisation des pensions livrées (REPO) y fait déjà référence pour la détermination des règles concernant les taux à prendre en compte.</w:t>
            </w:r>
            <w:r>
              <w:rPr>
                <w:rFonts w:eastAsia="MS Mincho" w:cs="Times New Roman"/>
                <w:noProof/>
                <w:szCs w:val="32"/>
                <w:lang w:val="fr-FR"/>
              </w:rPr>
              <w:t xml:space="preserve"> </w:t>
            </w:r>
          </w:p>
          <w:p w:rsidR="00A970CD" w:rsidRPr="00457610" w:rsidRDefault="00A970CD" w:rsidP="00A970CD">
            <w:pPr>
              <w:jc w:val="both"/>
              <w:rPr>
                <w:rFonts w:eastAsia="MS Mincho" w:cs="Times New Roman"/>
                <w:noProof/>
                <w:szCs w:val="32"/>
                <w:lang w:val="fr-FR"/>
              </w:rPr>
            </w:pPr>
          </w:p>
          <w:p w:rsidR="00A970CD" w:rsidRPr="00457610" w:rsidRDefault="00A970CD" w:rsidP="00A970CD">
            <w:pPr>
              <w:jc w:val="both"/>
              <w:rPr>
                <w:rFonts w:eastAsia="MS Mincho" w:cs="Times New Roman"/>
                <w:noProof/>
                <w:szCs w:val="32"/>
                <w:u w:val="single"/>
                <w:lang w:val="fr-FR"/>
              </w:rPr>
            </w:pPr>
            <w:r w:rsidRPr="00457610">
              <w:rPr>
                <w:rFonts w:eastAsia="MS Mincho" w:cs="Times New Roman"/>
                <w:noProof/>
                <w:szCs w:val="32"/>
                <w:u w:val="single"/>
                <w:lang w:val="fr-FR"/>
              </w:rPr>
              <w:t>Analyse fonctionnelle des OST sur flux :</w:t>
            </w:r>
          </w:p>
          <w:p w:rsidR="00A970CD" w:rsidRPr="00457610" w:rsidRDefault="00A970CD" w:rsidP="00A970CD">
            <w:pPr>
              <w:jc w:val="both"/>
              <w:rPr>
                <w:rFonts w:eastAsia="MS Mincho" w:cs="Times New Roman"/>
                <w:noProof/>
                <w:szCs w:val="32"/>
                <w:lang w:val="fr-FR"/>
              </w:rPr>
            </w:pPr>
            <w:r w:rsidRPr="00457610">
              <w:rPr>
                <w:rFonts w:eastAsia="MS Mincho" w:cs="Times New Roman"/>
                <w:noProof/>
                <w:szCs w:val="32"/>
                <w:lang w:val="fr-FR"/>
              </w:rPr>
              <w:t>L’étude en annexe de cette fiche montre que les cas d’OST sur flux sont plus rares sur des produits FMT, même lorsque la TD du retour = à la TD de la négociation d’origine. En effet, elles ne concernent que les instructions « failed » dont le dénouement réel est postérieur au dénouement théorique.</w:t>
            </w:r>
          </w:p>
          <w:p w:rsidR="00A970CD" w:rsidRPr="00457610" w:rsidRDefault="00A970CD" w:rsidP="00A970CD">
            <w:pPr>
              <w:jc w:val="both"/>
              <w:rPr>
                <w:rFonts w:eastAsia="MS Mincho" w:cs="Times New Roman"/>
                <w:noProof/>
                <w:szCs w:val="32"/>
                <w:lang w:val="fr-FR"/>
              </w:rPr>
            </w:pPr>
          </w:p>
          <w:p w:rsidR="00A970CD" w:rsidRPr="00457610" w:rsidRDefault="00A970CD" w:rsidP="00A970CD">
            <w:pPr>
              <w:jc w:val="both"/>
              <w:rPr>
                <w:rFonts w:eastAsia="MS Mincho" w:cs="Times New Roman"/>
                <w:noProof/>
                <w:szCs w:val="32"/>
                <w:lang w:val="fr-FR"/>
              </w:rPr>
            </w:pPr>
            <w:r w:rsidRPr="00457610">
              <w:rPr>
                <w:rFonts w:eastAsia="MS Mincho" w:cs="Times New Roman"/>
                <w:noProof/>
                <w:szCs w:val="32"/>
                <w:lang w:val="fr-FR"/>
              </w:rPr>
              <w:t>A noter que certains REPO s’appuient sur des produits de type UNT (Equities) pour lesquels la problématique des OST sur flux peut être plus fréquemment rencontrée.</w:t>
            </w:r>
          </w:p>
          <w:p w:rsidR="00A970CD" w:rsidRPr="00457610" w:rsidRDefault="00A970CD" w:rsidP="00A970CD">
            <w:pPr>
              <w:jc w:val="both"/>
              <w:rPr>
                <w:rFonts w:eastAsia="MS Mincho" w:cs="Times New Roman"/>
                <w:noProof/>
                <w:szCs w:val="32"/>
                <w:lang w:val="fr-FR"/>
              </w:rPr>
            </w:pPr>
          </w:p>
          <w:p w:rsidR="00A970CD" w:rsidRPr="00867860" w:rsidRDefault="00A970CD" w:rsidP="00A970CD">
            <w:pPr>
              <w:pStyle w:val="ListParagraph"/>
              <w:numPr>
                <w:ilvl w:val="0"/>
                <w:numId w:val="25"/>
              </w:numPr>
              <w:rPr>
                <w:rFonts w:eastAsia="MS Mincho" w:cs="Times New Roman"/>
                <w:b/>
                <w:noProof/>
                <w:szCs w:val="32"/>
                <w:lang w:val="fr-FR"/>
              </w:rPr>
            </w:pPr>
            <w:r w:rsidRPr="00867860">
              <w:rPr>
                <w:rFonts w:eastAsia="MS Mincho" w:cs="Times New Roman"/>
                <w:b/>
                <w:noProof/>
                <w:szCs w:val="32"/>
                <w:lang w:val="fr-FR"/>
              </w:rPr>
              <w:t>Le prêt emprunt de Titres (P/E)</w:t>
            </w:r>
          </w:p>
          <w:p w:rsidR="00A970CD" w:rsidRPr="00457610" w:rsidRDefault="00A970CD" w:rsidP="00A970CD">
            <w:pPr>
              <w:pStyle w:val="ListParagraph"/>
              <w:rPr>
                <w:rFonts w:eastAsia="MS Mincho" w:cs="Times New Roman"/>
                <w:noProof/>
                <w:szCs w:val="32"/>
                <w:lang w:val="fr-FR"/>
              </w:rPr>
            </w:pPr>
          </w:p>
          <w:p w:rsidR="00A970CD" w:rsidRDefault="00A970CD" w:rsidP="00A970CD">
            <w:pPr>
              <w:jc w:val="both"/>
              <w:rPr>
                <w:rFonts w:eastAsia="MS Mincho" w:cs="Times New Roman"/>
                <w:noProof/>
                <w:szCs w:val="32"/>
                <w:lang w:val="fr-FR"/>
              </w:rPr>
            </w:pPr>
            <w:r>
              <w:rPr>
                <w:rFonts w:eastAsia="MS Mincho" w:cs="Times New Roman"/>
                <w:noProof/>
                <w:szCs w:val="32"/>
                <w:lang w:val="fr-FR"/>
              </w:rPr>
              <w:t>Les prêts emprunts sont déjà actuellement traités sous forme d’achat/vente (Gré à Gré ou OTC). Les opérateurs évitent également de traiter en période d’OST pour réduire les cas de régularisation.</w:t>
            </w:r>
          </w:p>
          <w:p w:rsidR="00A970CD" w:rsidRDefault="00A970CD" w:rsidP="00A970CD">
            <w:pPr>
              <w:jc w:val="both"/>
              <w:rPr>
                <w:rFonts w:eastAsia="MS Mincho" w:cs="Times New Roman"/>
                <w:noProof/>
                <w:szCs w:val="32"/>
                <w:lang w:val="fr-FR"/>
              </w:rPr>
            </w:pPr>
            <w:r>
              <w:rPr>
                <w:rFonts w:eastAsia="MS Mincho" w:cs="Times New Roman"/>
                <w:noProof/>
                <w:szCs w:val="32"/>
                <w:lang w:val="fr-FR"/>
              </w:rPr>
              <w:t xml:space="preserve">En matière de PE, il n’y a pas vraiment de nécessité que la TD de la restitution soit calée sur la TD de la mise en place. Les deux opérations de mise en place et de restitutions sont bien distinctes et les contreparties alimentent la TD selon un accord bilatéral et en fonction des évènements de marché. </w:t>
            </w:r>
          </w:p>
          <w:p w:rsidR="00A970CD" w:rsidRDefault="00A970CD" w:rsidP="00A970CD">
            <w:pPr>
              <w:jc w:val="both"/>
              <w:rPr>
                <w:rFonts w:eastAsia="MS Mincho" w:cs="Times New Roman"/>
                <w:noProof/>
                <w:szCs w:val="32"/>
                <w:lang w:val="fr-FR"/>
              </w:rPr>
            </w:pPr>
            <w:r>
              <w:rPr>
                <w:rFonts w:eastAsia="MS Mincho" w:cs="Times New Roman"/>
                <w:noProof/>
                <w:szCs w:val="32"/>
                <w:lang w:val="fr-FR"/>
              </w:rPr>
              <w:t>Pour éviter les OST sur flux, ils peuvent être amenés à caler sur la même journée la TD et le dénouement (J/J).</w:t>
            </w:r>
          </w:p>
          <w:p w:rsidR="00A970CD" w:rsidRDefault="00A970CD" w:rsidP="00A970CD">
            <w:pPr>
              <w:jc w:val="both"/>
              <w:rPr>
                <w:rFonts w:eastAsia="MS Mincho" w:cs="Times New Roman"/>
                <w:noProof/>
                <w:szCs w:val="32"/>
                <w:lang w:val="fr-FR"/>
              </w:rPr>
            </w:pPr>
            <w:r>
              <w:rPr>
                <w:rFonts w:eastAsia="MS Mincho" w:cs="Times New Roman"/>
                <w:noProof/>
                <w:szCs w:val="32"/>
                <w:lang w:val="fr-FR"/>
              </w:rPr>
              <w:t>Du fait des types de produit et des règles d’éligibilité aux OST sur flux (cf. annexe de la fiche), tout écart entre la TD et la date de dénouement théorique (ISD) est susceptible d’entraîner des OST sur flux) lorsqu’une OST se présente pendant la mise en place ou la restitution du prêt emprunt.</w:t>
            </w:r>
          </w:p>
          <w:p w:rsidR="00A970CD" w:rsidRPr="00457610" w:rsidRDefault="00A970CD" w:rsidP="00A970CD">
            <w:pPr>
              <w:jc w:val="both"/>
              <w:rPr>
                <w:rFonts w:eastAsia="MS Mincho" w:cs="Times New Roman"/>
                <w:noProof/>
                <w:szCs w:val="32"/>
                <w:lang w:val="fr-FR"/>
              </w:rPr>
            </w:pPr>
            <w:r w:rsidRPr="00457610">
              <w:rPr>
                <w:rFonts w:eastAsia="MS Mincho" w:cs="Times New Roman"/>
                <w:noProof/>
                <w:szCs w:val="32"/>
                <w:lang w:val="fr-FR"/>
              </w:rPr>
              <w:t>Attention à l’importance de l’harmonisation des pratiques de marché concernant la TD dans T2S (critère de matching).</w:t>
            </w:r>
          </w:p>
          <w:p w:rsidR="00A970CD" w:rsidRDefault="00A970CD" w:rsidP="00A970CD">
            <w:pPr>
              <w:jc w:val="both"/>
              <w:rPr>
                <w:rFonts w:eastAsia="MS Mincho" w:cs="Times New Roman"/>
                <w:noProof/>
                <w:szCs w:val="32"/>
                <w:lang w:val="fr-FR"/>
              </w:rPr>
            </w:pPr>
            <w:r>
              <w:rPr>
                <w:rFonts w:eastAsia="MS Mincho" w:cs="Times New Roman"/>
                <w:noProof/>
                <w:szCs w:val="32"/>
                <w:lang w:val="fr-FR"/>
              </w:rPr>
              <w:t>Comme actuellement, une grande attention des opérateurs devra donc être apportée au suivi de ces opérations.</w:t>
            </w:r>
          </w:p>
          <w:p w:rsidR="00A970CD" w:rsidRPr="00457610" w:rsidRDefault="00A970CD" w:rsidP="00A970CD">
            <w:pPr>
              <w:jc w:val="both"/>
              <w:rPr>
                <w:rFonts w:eastAsia="MS Mincho" w:cs="Times New Roman"/>
                <w:noProof/>
                <w:szCs w:val="32"/>
                <w:lang w:val="fr-FR"/>
              </w:rPr>
            </w:pPr>
          </w:p>
          <w:p w:rsidR="00A970CD" w:rsidRDefault="00A970CD" w:rsidP="00A970CD">
            <w:pPr>
              <w:jc w:val="both"/>
              <w:rPr>
                <w:rFonts w:eastAsia="MS Mincho" w:cs="Times New Roman"/>
                <w:b/>
                <w:noProof/>
                <w:szCs w:val="32"/>
                <w:u w:val="single"/>
                <w:lang w:val="fr-FR"/>
              </w:rPr>
            </w:pPr>
            <w:r w:rsidRPr="00457610">
              <w:rPr>
                <w:rFonts w:eastAsia="MS Mincho" w:cs="Times New Roman"/>
                <w:b/>
                <w:noProof/>
                <w:szCs w:val="32"/>
                <w:u w:val="single"/>
                <w:lang w:val="fr-FR"/>
              </w:rPr>
              <w:lastRenderedPageBreak/>
              <w:t>Conclusion :</w:t>
            </w:r>
          </w:p>
          <w:p w:rsidR="00A970CD" w:rsidRPr="00457610" w:rsidRDefault="00A970CD" w:rsidP="00A970CD">
            <w:pPr>
              <w:jc w:val="both"/>
              <w:rPr>
                <w:rFonts w:eastAsia="MS Mincho" w:cs="Times New Roman"/>
                <w:b/>
                <w:noProof/>
                <w:szCs w:val="32"/>
                <w:u w:val="single"/>
                <w:lang w:val="fr-FR"/>
              </w:rPr>
            </w:pPr>
          </w:p>
          <w:p w:rsidR="00A970CD" w:rsidRPr="00457610" w:rsidRDefault="00A970CD" w:rsidP="00A970CD">
            <w:pPr>
              <w:jc w:val="both"/>
              <w:rPr>
                <w:rFonts w:eastAsia="MS Mincho" w:cs="Times New Roman"/>
                <w:noProof/>
                <w:szCs w:val="32"/>
                <w:lang w:val="fr-FR"/>
              </w:rPr>
            </w:pPr>
            <w:r w:rsidRPr="00457610">
              <w:rPr>
                <w:rFonts w:eastAsia="MS Mincho" w:cs="Times New Roman"/>
                <w:noProof/>
                <w:szCs w:val="32"/>
                <w:lang w:val="fr-FR"/>
              </w:rPr>
              <w:t>Les acteurs doivent être très attentifs à la mise en œuvre des OST sur flux car selon le type d’opération et de produit, les systèmes généreront ou pas d’OST sur flux, l’important étant le respect des contrats et des règles fiscales.</w:t>
            </w:r>
          </w:p>
          <w:p w:rsidR="00A970CD" w:rsidRDefault="00A970CD" w:rsidP="00A970CD">
            <w:pPr>
              <w:jc w:val="both"/>
              <w:rPr>
                <w:rFonts w:eastAsia="MS Mincho" w:cs="Times New Roman"/>
                <w:noProof/>
                <w:szCs w:val="32"/>
                <w:lang w:val="fr-FR"/>
              </w:rPr>
            </w:pPr>
          </w:p>
          <w:p w:rsidR="00A970CD" w:rsidRPr="00457610" w:rsidRDefault="00A970CD" w:rsidP="00A970CD">
            <w:pPr>
              <w:jc w:val="both"/>
              <w:rPr>
                <w:rFonts w:eastAsia="MS Mincho" w:cs="Times New Roman"/>
                <w:noProof/>
                <w:szCs w:val="32"/>
                <w:lang w:val="fr-FR"/>
              </w:rPr>
            </w:pPr>
            <w:r>
              <w:rPr>
                <w:rFonts w:eastAsia="MS Mincho" w:cs="Times New Roman"/>
                <w:noProof/>
                <w:szCs w:val="32"/>
                <w:lang w:val="fr-FR"/>
              </w:rPr>
              <w:t xml:space="preserve">En raison de l’exposé ci-dessus les indiacteurs (critères additionnels de matching) OPT-OUT, CUM/EX, ne sont pas recommandés à l’utilisation et doivent être </w:t>
            </w:r>
            <w:r w:rsidRPr="00457610">
              <w:rPr>
                <w:rFonts w:eastAsia="MS Mincho" w:cs="Times New Roman"/>
                <w:noProof/>
                <w:szCs w:val="32"/>
                <w:lang w:val="fr-FR"/>
              </w:rPr>
              <w:t>alimentés « à blanc ».</w:t>
            </w:r>
          </w:p>
          <w:p w:rsidR="00A970CD" w:rsidRPr="00E656DF" w:rsidRDefault="00A970CD" w:rsidP="00A970CD">
            <w:pPr>
              <w:jc w:val="both"/>
              <w:rPr>
                <w:rFonts w:eastAsia="MS Mincho" w:cs="Times New Roman"/>
                <w:noProof/>
                <w:szCs w:val="32"/>
                <w:lang w:val="fr-FR"/>
              </w:rPr>
            </w:pPr>
          </w:p>
          <w:p w:rsidR="00A970CD" w:rsidRPr="00E656DF" w:rsidRDefault="00A970CD" w:rsidP="00A970CD">
            <w:pPr>
              <w:jc w:val="both"/>
              <w:rPr>
                <w:rFonts w:eastAsia="MS Mincho" w:cs="Times New Roman"/>
                <w:noProof/>
                <w:szCs w:val="32"/>
                <w:lang w:val="fr-FR"/>
              </w:rPr>
            </w:pPr>
            <w:r w:rsidRPr="00457610">
              <w:rPr>
                <w:rFonts w:eastAsia="MS Mincho" w:cs="Times New Roman"/>
                <w:noProof/>
                <w:szCs w:val="32"/>
                <w:lang w:val="fr-FR"/>
              </w:rPr>
              <w:t>Les contreparties de la cession temporaires (clients ou intermédiaires financiers) devront donc veiller à ce que les régularisations nécessaires soient effectuées, soit par le biais d’une OST sur flux, soit de manière bilatérale, afin que le prêteur obtienne les revenus payés selon les termes du contrat et les conditions du paiement du revenu qui y sont prévues, sans oublier l’impact fiscal de la distribution.</w:t>
            </w:r>
          </w:p>
          <w:p w:rsidR="00A970CD" w:rsidRDefault="00A970CD" w:rsidP="00A970CD">
            <w:pPr>
              <w:jc w:val="both"/>
              <w:rPr>
                <w:rFonts w:eastAsia="MS Mincho" w:cs="Times New Roman"/>
                <w:noProof/>
                <w:szCs w:val="32"/>
                <w:lang w:val="fr-FR"/>
              </w:rPr>
            </w:pPr>
          </w:p>
          <w:p w:rsidR="00AA1FDB" w:rsidRPr="00A970CD" w:rsidRDefault="00A970CD" w:rsidP="00A970CD">
            <w:pPr>
              <w:jc w:val="both"/>
              <w:rPr>
                <w:rFonts w:eastAsia="MS Mincho" w:cs="Times New Roman"/>
                <w:noProof/>
                <w:szCs w:val="32"/>
                <w:lang w:val="fr-FR"/>
              </w:rPr>
            </w:pPr>
            <w:r>
              <w:rPr>
                <w:rFonts w:eastAsia="MS Mincho" w:cs="Times New Roman"/>
                <w:noProof/>
                <w:szCs w:val="32"/>
                <w:lang w:val="fr-FR"/>
              </w:rPr>
              <w:t>Les établissements devront organiser la réinternalisation des OST sur flux en relation avec leurs clients.</w:t>
            </w:r>
          </w:p>
        </w:tc>
      </w:tr>
      <w:tr w:rsidR="0081511D" w:rsidRPr="00FA4417"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85743B" w:rsidRDefault="0085743B">
      <w:pPr>
        <w:rPr>
          <w:rFonts w:eastAsia="MS Mincho" w:cs="Times New Roman"/>
          <w:b/>
          <w:caps/>
          <w:noProof/>
          <w:sz w:val="32"/>
          <w:szCs w:val="32"/>
          <w:lang w:val="fr-FR"/>
        </w:rPr>
      </w:pPr>
      <w:r>
        <w:rPr>
          <w:rFonts w:eastAsia="MS Mincho" w:cs="Times New Roman"/>
          <w:b/>
          <w:caps/>
          <w:noProof/>
          <w:sz w:val="32"/>
          <w:szCs w:val="32"/>
          <w:lang w:val="fr-FR"/>
        </w:rPr>
        <w:br w:type="page"/>
      </w: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FA4417"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A970CD" w:rsidRDefault="00A970CD" w:rsidP="00A970CD">
            <w:pPr>
              <w:jc w:val="center"/>
              <w:rPr>
                <w:rFonts w:ascii="Wingdings" w:hAnsi="Wingdings" w:cs="Wingdings"/>
                <w:sz w:val="26"/>
                <w:szCs w:val="26"/>
              </w:rPr>
            </w:pPr>
            <w:r>
              <w:rPr>
                <w:rFonts w:ascii="Wingdings" w:hAnsi="Wingdings" w:cs="Wingdings"/>
                <w:sz w:val="26"/>
                <w:szCs w:val="26"/>
              </w:rPr>
              <w:t></w:t>
            </w:r>
          </w:p>
          <w:p w:rsidR="00140482" w:rsidRDefault="00A970CD" w:rsidP="00A970CD">
            <w:pPr>
              <w:jc w:val="center"/>
              <w:rPr>
                <w:rFonts w:eastAsia="MS Mincho" w:cs="Times New Roman"/>
                <w:noProof/>
                <w:szCs w:val="32"/>
                <w:lang w:val="fr-FR"/>
              </w:rPr>
            </w:pPr>
            <w:r w:rsidRPr="00785264">
              <w:rPr>
                <w:rFonts w:cs="Wingdings"/>
                <w:szCs w:val="26"/>
              </w:rPr>
              <w:t xml:space="preserve">Date: </w:t>
            </w:r>
            <w:r>
              <w:rPr>
                <w:rFonts w:cs="Wingdings"/>
                <w:szCs w:val="26"/>
              </w:rPr>
              <w:t>________</w:t>
            </w:r>
          </w:p>
        </w:tc>
        <w:tc>
          <w:tcPr>
            <w:tcW w:w="2438" w:type="dxa"/>
            <w:gridSpan w:val="2"/>
            <w:tcBorders>
              <w:bottom w:val="single" w:sz="4" w:space="0" w:color="auto"/>
            </w:tcBorders>
          </w:tcPr>
          <w:p w:rsidR="00140482" w:rsidRDefault="00A970CD"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8B1A1E">
              <w:rPr>
                <w:rFonts w:ascii="Wingdings" w:hAnsi="Wingdings" w:cs="Wingdings"/>
                <w:sz w:val="26"/>
                <w:szCs w:val="26"/>
              </w:rPr>
              <w:t></w:t>
            </w:r>
          </w:p>
        </w:tc>
      </w:tr>
    </w:tbl>
    <w:p w:rsidR="00FA4417" w:rsidRDefault="00FA4417" w:rsidP="001E0D83">
      <w:pPr>
        <w:spacing w:after="0" w:line="240" w:lineRule="auto"/>
        <w:rPr>
          <w:rFonts w:eastAsia="MS Mincho" w:cs="Times New Roman"/>
          <w:noProof/>
          <w:szCs w:val="32"/>
          <w:lang w:val="fr-FR"/>
        </w:rPr>
      </w:pPr>
    </w:p>
    <w:p w:rsidR="00FA4417" w:rsidRDefault="00FA4417">
      <w:pPr>
        <w:rPr>
          <w:rFonts w:eastAsia="MS Mincho" w:cs="Times New Roman"/>
          <w:noProof/>
          <w:szCs w:val="32"/>
          <w:lang w:val="fr-FR"/>
        </w:rPr>
      </w:pPr>
      <w:r>
        <w:rPr>
          <w:rFonts w:eastAsia="MS Mincho" w:cs="Times New Roman"/>
          <w:noProof/>
          <w:szCs w:val="32"/>
          <w:lang w:val="fr-FR"/>
        </w:rPr>
        <w:br w:type="page"/>
      </w:r>
    </w:p>
    <w:p w:rsidR="00A970CD" w:rsidRPr="00A970CD" w:rsidRDefault="00FA4417" w:rsidP="00A970CD">
      <w:pPr>
        <w:spacing w:after="0" w:line="240" w:lineRule="auto"/>
        <w:jc w:val="center"/>
        <w:rPr>
          <w:rFonts w:eastAsia="MS Mincho" w:cs="Times New Roman"/>
          <w:b/>
          <w:noProof/>
          <w:sz w:val="32"/>
          <w:szCs w:val="32"/>
          <w:lang w:val="fr-FR"/>
        </w:rPr>
      </w:pPr>
      <w:r w:rsidRPr="00FA4417">
        <w:rPr>
          <w:rFonts w:eastAsia="MS Mincho" w:cs="Times New Roman"/>
          <w:b/>
          <w:noProof/>
          <w:sz w:val="32"/>
          <w:szCs w:val="32"/>
          <w:lang w:val="fr-FR"/>
        </w:rPr>
        <w:lastRenderedPageBreak/>
        <w:t>ANNEXE</w:t>
      </w:r>
      <w:r w:rsidR="00A970CD">
        <w:rPr>
          <w:rFonts w:eastAsia="MS Mincho" w:cs="Times New Roman"/>
          <w:b/>
          <w:noProof/>
          <w:sz w:val="32"/>
          <w:szCs w:val="32"/>
          <w:lang w:val="fr-FR"/>
        </w:rPr>
        <w:t xml:space="preserve"> 1 – </w:t>
      </w:r>
      <w:r w:rsidR="00A970CD" w:rsidRPr="00A970CD">
        <w:rPr>
          <w:rFonts w:eastAsia="MS Mincho" w:cs="Times New Roman"/>
          <w:b/>
          <w:caps/>
          <w:noProof/>
          <w:sz w:val="32"/>
          <w:szCs w:val="32"/>
          <w:lang w:val="fr-FR"/>
        </w:rPr>
        <w:t>Etude Fonctionnelle des regles d’eligibilite des ost sur flux</w:t>
      </w:r>
    </w:p>
    <w:p w:rsidR="00A970CD" w:rsidRDefault="00A970CD" w:rsidP="00A970CD">
      <w:pPr>
        <w:pStyle w:val="ListParagraph"/>
        <w:spacing w:after="0" w:line="240" w:lineRule="auto"/>
        <w:ind w:left="284"/>
        <w:rPr>
          <w:rFonts w:eastAsia="MS Mincho" w:cs="Times New Roman"/>
          <w:b/>
          <w:caps/>
          <w:noProof/>
          <w:sz w:val="32"/>
          <w:szCs w:val="32"/>
          <w:lang w:val="fr-FR"/>
        </w:rPr>
      </w:pPr>
    </w:p>
    <w:p w:rsidR="00A970CD" w:rsidRDefault="00A970CD" w:rsidP="00A970CD">
      <w:pPr>
        <w:pStyle w:val="ListParagraph"/>
        <w:spacing w:after="0" w:line="240" w:lineRule="auto"/>
        <w:ind w:left="284"/>
        <w:jc w:val="both"/>
        <w:rPr>
          <w:rFonts w:eastAsia="MS Mincho" w:cs="Times New Roman"/>
          <w:noProof/>
          <w:szCs w:val="32"/>
          <w:lang w:val="fr-FR"/>
        </w:rPr>
      </w:pPr>
      <w:r>
        <w:rPr>
          <w:rFonts w:eastAsia="MS Mincho" w:cs="Times New Roman"/>
          <w:noProof/>
          <w:szCs w:val="32"/>
          <w:lang w:val="fr-FR"/>
        </w:rPr>
        <w:t xml:space="preserve">Cette annexe a vocation à </w:t>
      </w:r>
      <w:r w:rsidRPr="00AA7580">
        <w:rPr>
          <w:rFonts w:eastAsia="MS Mincho" w:cs="Times New Roman"/>
          <w:noProof/>
          <w:szCs w:val="32"/>
          <w:lang w:val="fr-FR"/>
        </w:rPr>
        <w:t>détaille</w:t>
      </w:r>
      <w:r>
        <w:rPr>
          <w:rFonts w:eastAsia="MS Mincho" w:cs="Times New Roman"/>
          <w:noProof/>
          <w:szCs w:val="32"/>
          <w:lang w:val="fr-FR"/>
        </w:rPr>
        <w:t>r</w:t>
      </w:r>
      <w:r w:rsidRPr="00AA7580">
        <w:rPr>
          <w:rFonts w:eastAsia="MS Mincho" w:cs="Times New Roman"/>
          <w:noProof/>
          <w:szCs w:val="32"/>
          <w:lang w:val="fr-FR"/>
        </w:rPr>
        <w:t xml:space="preserve"> les règles applicables aux cessions temporaires et </w:t>
      </w:r>
      <w:r>
        <w:rPr>
          <w:rFonts w:eastAsia="MS Mincho" w:cs="Times New Roman"/>
          <w:noProof/>
          <w:szCs w:val="32"/>
          <w:lang w:val="fr-FR"/>
        </w:rPr>
        <w:t xml:space="preserve">uniquement </w:t>
      </w:r>
      <w:r w:rsidRPr="00AA7580">
        <w:rPr>
          <w:rFonts w:eastAsia="MS Mincho" w:cs="Times New Roman"/>
          <w:noProof/>
          <w:szCs w:val="32"/>
          <w:lang w:val="fr-FR"/>
        </w:rPr>
        <w:t xml:space="preserve">leurs conséquences </w:t>
      </w:r>
      <w:r>
        <w:rPr>
          <w:rFonts w:eastAsia="MS Mincho" w:cs="Times New Roman"/>
          <w:noProof/>
          <w:szCs w:val="32"/>
          <w:lang w:val="fr-FR"/>
        </w:rPr>
        <w:t xml:space="preserve">opérationnelles </w:t>
      </w:r>
      <w:r w:rsidRPr="00AA7580">
        <w:rPr>
          <w:rFonts w:eastAsia="MS Mincho" w:cs="Times New Roman"/>
          <w:noProof/>
          <w:szCs w:val="32"/>
          <w:lang w:val="fr-FR"/>
        </w:rPr>
        <w:t>en matière d’OST sur flux</w:t>
      </w:r>
      <w:r>
        <w:rPr>
          <w:rFonts w:eastAsia="MS Mincho" w:cs="Times New Roman"/>
          <w:noProof/>
          <w:szCs w:val="32"/>
          <w:lang w:val="fr-FR"/>
        </w:rPr>
        <w:t xml:space="preserve"> telles que prévues dans les DSD.</w:t>
      </w:r>
    </w:p>
    <w:p w:rsidR="00A970CD" w:rsidRDefault="00A970CD" w:rsidP="00A970CD">
      <w:pPr>
        <w:pStyle w:val="ListParagraph"/>
        <w:spacing w:after="0" w:line="240" w:lineRule="auto"/>
        <w:ind w:left="284"/>
        <w:jc w:val="both"/>
        <w:rPr>
          <w:rFonts w:eastAsia="MS Mincho" w:cs="Times New Roman"/>
          <w:noProof/>
          <w:szCs w:val="32"/>
          <w:lang w:val="fr-FR"/>
        </w:rPr>
      </w:pPr>
    </w:p>
    <w:p w:rsidR="00A970CD" w:rsidRDefault="00A970CD" w:rsidP="00A970CD">
      <w:pPr>
        <w:pStyle w:val="ListParagraph"/>
        <w:spacing w:after="0" w:line="240" w:lineRule="auto"/>
        <w:ind w:left="284"/>
        <w:jc w:val="both"/>
        <w:rPr>
          <w:rFonts w:eastAsia="MS Mincho" w:cs="Times New Roman"/>
          <w:noProof/>
          <w:szCs w:val="32"/>
          <w:lang w:val="fr-FR"/>
        </w:rPr>
      </w:pPr>
      <w:r>
        <w:rPr>
          <w:rFonts w:eastAsia="MS Mincho" w:cs="Times New Roman"/>
          <w:noProof/>
          <w:szCs w:val="32"/>
          <w:lang w:val="fr-FR"/>
        </w:rPr>
        <w:t>Les cessions temporaires emportent transfert de propriété :</w:t>
      </w:r>
    </w:p>
    <w:p w:rsidR="00A970CD" w:rsidRDefault="00A970CD" w:rsidP="00A970CD">
      <w:pPr>
        <w:pStyle w:val="ListParagraph"/>
        <w:spacing w:after="0" w:line="240" w:lineRule="auto"/>
        <w:ind w:left="284"/>
        <w:jc w:val="both"/>
        <w:rPr>
          <w:rFonts w:eastAsia="MS Mincho" w:cs="Times New Roman"/>
          <w:noProof/>
          <w:szCs w:val="32"/>
          <w:lang w:val="fr-FR"/>
        </w:rPr>
      </w:pPr>
    </w:p>
    <w:p w:rsidR="00A970CD" w:rsidRDefault="00A970CD" w:rsidP="00A970CD">
      <w:pPr>
        <w:pStyle w:val="ListParagraph"/>
        <w:numPr>
          <w:ilvl w:val="0"/>
          <w:numId w:val="28"/>
        </w:numPr>
        <w:spacing w:after="0" w:line="240" w:lineRule="auto"/>
        <w:jc w:val="both"/>
        <w:rPr>
          <w:rFonts w:eastAsia="Times New Roman" w:cstheme="minorHAnsi"/>
          <w:i/>
          <w:sz w:val="20"/>
          <w:szCs w:val="20"/>
          <w:lang w:val="fr-FR" w:eastAsia="fr-FR"/>
        </w:rPr>
      </w:pPr>
      <w:r w:rsidRPr="00B13236">
        <w:rPr>
          <w:rFonts w:eastAsia="Times New Roman" w:cstheme="minorHAnsi"/>
          <w:i/>
          <w:sz w:val="20"/>
          <w:szCs w:val="20"/>
          <w:lang w:val="fr-FR" w:eastAsia="fr-FR"/>
        </w:rPr>
        <w:t xml:space="preserve">Un prêt de titres est une transaction contractualisée engageant une partie à prêter et une autre à emprunter des titres sur une période, selon un taux le taux de rémunération retenue. L'emprunteur des titres est supposé livrer le collatéral sous forme de titres ou de liquidités au prêteur des titres, et est également supposé payer une rémunération, pour l'utilisation des titres empruntés. </w:t>
      </w:r>
    </w:p>
    <w:p w:rsidR="00A970CD" w:rsidRPr="00B13236" w:rsidRDefault="00A970CD" w:rsidP="00A970CD">
      <w:pPr>
        <w:pStyle w:val="ListParagraph"/>
        <w:numPr>
          <w:ilvl w:val="1"/>
          <w:numId w:val="28"/>
        </w:numPr>
        <w:spacing w:after="0" w:line="240" w:lineRule="auto"/>
        <w:jc w:val="both"/>
        <w:rPr>
          <w:rFonts w:eastAsia="Times New Roman" w:cstheme="minorHAnsi"/>
          <w:i/>
          <w:sz w:val="20"/>
          <w:szCs w:val="20"/>
          <w:lang w:val="fr-FR" w:eastAsia="fr-FR"/>
        </w:rPr>
      </w:pPr>
      <w:r w:rsidRPr="00151FC6">
        <w:rPr>
          <w:rFonts w:eastAsia="Times New Roman" w:cstheme="minorHAnsi"/>
          <w:i/>
          <w:sz w:val="20"/>
          <w:szCs w:val="20"/>
          <w:lang w:val="fr-FR" w:eastAsia="fr-FR"/>
        </w:rPr>
        <w:t>Le prêteur a toujours droit à tout ou partie de l’usufruit selon les modalités du contrat, à l’exception des droits de vote, sous forme d’indemnité (</w:t>
      </w:r>
      <w:proofErr w:type="spellStart"/>
      <w:r w:rsidRPr="00151FC6">
        <w:rPr>
          <w:rFonts w:eastAsia="Times New Roman" w:cstheme="minorHAnsi"/>
          <w:i/>
          <w:sz w:val="20"/>
          <w:szCs w:val="20"/>
          <w:lang w:val="fr-FR" w:eastAsia="fr-FR"/>
        </w:rPr>
        <w:t>manufactured-dividend</w:t>
      </w:r>
      <w:proofErr w:type="spellEnd"/>
      <w:r w:rsidRPr="00151FC6">
        <w:rPr>
          <w:rFonts w:eastAsia="Times New Roman" w:cstheme="minorHAnsi"/>
          <w:i/>
          <w:sz w:val="20"/>
          <w:szCs w:val="20"/>
          <w:lang w:val="fr-FR" w:eastAsia="fr-FR"/>
        </w:rPr>
        <w:t>) ou à un partage selon le contrat AFTI, «  hors 1987 », OSLA, GMSLA.</w:t>
      </w:r>
    </w:p>
    <w:p w:rsidR="00A970CD" w:rsidRDefault="00A970CD" w:rsidP="00A970CD">
      <w:pPr>
        <w:pStyle w:val="ListParagraph"/>
        <w:jc w:val="both"/>
        <w:rPr>
          <w:rFonts w:eastAsia="Times New Roman" w:cstheme="minorHAnsi"/>
          <w:sz w:val="20"/>
          <w:szCs w:val="20"/>
          <w:lang w:val="fr-FR" w:eastAsia="fr-FR"/>
        </w:rPr>
      </w:pPr>
    </w:p>
    <w:p w:rsidR="00A970CD" w:rsidRDefault="00A970CD" w:rsidP="00A970CD">
      <w:pPr>
        <w:pStyle w:val="ListParagraph"/>
        <w:numPr>
          <w:ilvl w:val="0"/>
          <w:numId w:val="29"/>
        </w:numPr>
        <w:spacing w:after="0" w:line="240" w:lineRule="auto"/>
        <w:jc w:val="both"/>
        <w:rPr>
          <w:rFonts w:eastAsia="Times New Roman" w:cstheme="minorHAnsi"/>
          <w:i/>
          <w:sz w:val="20"/>
          <w:szCs w:val="20"/>
          <w:lang w:val="fr-FR" w:eastAsia="fr-FR"/>
        </w:rPr>
      </w:pPr>
      <w:r w:rsidRPr="00B13236">
        <w:rPr>
          <w:rFonts w:eastAsia="Times New Roman" w:cstheme="minorHAnsi"/>
          <w:sz w:val="20"/>
          <w:szCs w:val="20"/>
          <w:lang w:val="fr-FR" w:eastAsia="fr-FR"/>
        </w:rPr>
        <w:t xml:space="preserve">En France Article L211-27 du </w:t>
      </w:r>
      <w:proofErr w:type="spellStart"/>
      <w:r w:rsidRPr="00B13236">
        <w:rPr>
          <w:rFonts w:eastAsia="Times New Roman" w:cstheme="minorHAnsi"/>
          <w:sz w:val="20"/>
          <w:szCs w:val="20"/>
          <w:lang w:val="fr-FR" w:eastAsia="fr-FR"/>
        </w:rPr>
        <w:t>comofi</w:t>
      </w:r>
      <w:proofErr w:type="spellEnd"/>
      <w:r w:rsidRPr="00B13236">
        <w:rPr>
          <w:rFonts w:eastAsia="Times New Roman" w:cstheme="minorHAnsi"/>
          <w:sz w:val="20"/>
          <w:szCs w:val="20"/>
          <w:lang w:val="fr-FR" w:eastAsia="fr-FR"/>
        </w:rPr>
        <w:t xml:space="preserve"> définit que </w:t>
      </w:r>
      <w:r w:rsidRPr="00B13236">
        <w:rPr>
          <w:rFonts w:eastAsia="Times New Roman" w:cstheme="minorHAnsi"/>
          <w:i/>
          <w:sz w:val="20"/>
          <w:szCs w:val="20"/>
          <w:lang w:val="fr-FR" w:eastAsia="fr-FR"/>
        </w:rPr>
        <w:t>"La pension est l'opération par laquelle une personne morale, un Fonds Commun de Pension ou un Fonds Commun de Créances, cède en pleine propriété à une autre personne morale (…) moyennant à un prix convenu, des valeurs, titres ou effets définis (…) et par laquelle le cédant et le cessionnaire s'engagent respectivement et irrévocablement, le premier à reprendre les valeurs, titres ou effets, le second à les rétrocéder pour un prix et à une date convenus".</w:t>
      </w:r>
    </w:p>
    <w:p w:rsidR="00A970CD" w:rsidRPr="00151FC6" w:rsidRDefault="00A970CD" w:rsidP="00A970CD">
      <w:pPr>
        <w:pStyle w:val="ListParagraph"/>
        <w:numPr>
          <w:ilvl w:val="1"/>
          <w:numId w:val="28"/>
        </w:numPr>
        <w:spacing w:after="0" w:line="240" w:lineRule="auto"/>
        <w:jc w:val="both"/>
        <w:rPr>
          <w:rFonts w:eastAsia="Times New Roman" w:cstheme="minorHAnsi"/>
          <w:i/>
          <w:sz w:val="20"/>
          <w:szCs w:val="20"/>
          <w:lang w:val="fr-FR" w:eastAsia="fr-FR"/>
        </w:rPr>
      </w:pPr>
      <w:r w:rsidRPr="00151FC6">
        <w:rPr>
          <w:rFonts w:eastAsia="Times New Roman" w:cstheme="minorHAnsi"/>
          <w:i/>
          <w:sz w:val="20"/>
          <w:szCs w:val="20"/>
          <w:lang w:val="fr-FR" w:eastAsia="fr-FR"/>
        </w:rPr>
        <w:t>Dans les REPO(s) : Lorsqu</w:t>
      </w:r>
      <w:r w:rsidRPr="00151FC6">
        <w:rPr>
          <w:rFonts w:eastAsia="Times New Roman" w:cstheme="minorHAnsi" w:hint="eastAsia"/>
          <w:i/>
          <w:sz w:val="20"/>
          <w:szCs w:val="20"/>
          <w:lang w:val="fr-FR" w:eastAsia="fr-FR"/>
        </w:rPr>
        <w:t>’</w:t>
      </w:r>
      <w:r w:rsidRPr="00151FC6">
        <w:rPr>
          <w:rFonts w:eastAsia="Times New Roman" w:cstheme="minorHAnsi"/>
          <w:i/>
          <w:sz w:val="20"/>
          <w:szCs w:val="20"/>
          <w:lang w:val="fr-FR" w:eastAsia="fr-FR"/>
        </w:rPr>
        <w:t>un coupon est versé sur la période du REPO, il appartient à l</w:t>
      </w:r>
      <w:r w:rsidRPr="00151FC6">
        <w:rPr>
          <w:rFonts w:eastAsia="Times New Roman" w:cstheme="minorHAnsi" w:hint="eastAsia"/>
          <w:i/>
          <w:sz w:val="20"/>
          <w:szCs w:val="20"/>
          <w:lang w:val="fr-FR" w:eastAsia="fr-FR"/>
        </w:rPr>
        <w:t>’</w:t>
      </w:r>
      <w:r w:rsidRPr="00151FC6">
        <w:rPr>
          <w:rFonts w:eastAsia="Times New Roman" w:cstheme="minorHAnsi"/>
          <w:i/>
          <w:sz w:val="20"/>
          <w:szCs w:val="20"/>
          <w:lang w:val="fr-FR" w:eastAsia="fr-FR"/>
        </w:rPr>
        <w:t>emprunteur de titres suite au transfert de propriété. Néanmoins il est dû immédiatement au prêteur de titres au terme du contrat de REPO</w:t>
      </w:r>
    </w:p>
    <w:p w:rsidR="00A970CD" w:rsidRDefault="00A970CD" w:rsidP="00A970CD">
      <w:pPr>
        <w:pStyle w:val="ListParagraph"/>
        <w:spacing w:after="0" w:line="240" w:lineRule="auto"/>
        <w:ind w:left="644"/>
        <w:jc w:val="both"/>
        <w:rPr>
          <w:rFonts w:eastAsia="MS Mincho" w:cs="Times New Roman"/>
          <w:noProof/>
          <w:szCs w:val="32"/>
          <w:lang w:val="fr-FR"/>
        </w:rPr>
      </w:pPr>
    </w:p>
    <w:p w:rsidR="00A970CD" w:rsidRDefault="00A970CD" w:rsidP="00A970CD">
      <w:pPr>
        <w:pStyle w:val="ListParagraph"/>
        <w:spacing w:after="0" w:line="240" w:lineRule="auto"/>
        <w:ind w:left="284"/>
        <w:jc w:val="both"/>
        <w:rPr>
          <w:rFonts w:eastAsia="MS Mincho" w:cs="Times New Roman"/>
          <w:noProof/>
          <w:szCs w:val="32"/>
          <w:lang w:val="fr-FR"/>
        </w:rPr>
      </w:pPr>
      <w:r>
        <w:rPr>
          <w:rFonts w:eastAsia="MS Mincho" w:cs="Times New Roman"/>
          <w:noProof/>
          <w:szCs w:val="32"/>
          <w:lang w:val="fr-FR"/>
        </w:rPr>
        <w:t xml:space="preserve">L’analyse opérationnelle réalisée a montré que l’on peut rencontrer une grande variété de situations, ce qui a pu conduire à réfléchir à la  à la non application systématique des OST sur flux. </w:t>
      </w:r>
    </w:p>
    <w:p w:rsidR="00A970CD" w:rsidRDefault="00A970CD" w:rsidP="00A970CD">
      <w:pPr>
        <w:pStyle w:val="ListParagraph"/>
        <w:spacing w:after="0" w:line="240" w:lineRule="auto"/>
        <w:ind w:left="284"/>
        <w:jc w:val="both"/>
        <w:rPr>
          <w:rFonts w:eastAsia="MS Mincho" w:cs="Times New Roman"/>
          <w:noProof/>
          <w:szCs w:val="32"/>
          <w:lang w:val="fr-FR"/>
        </w:rPr>
      </w:pPr>
    </w:p>
    <w:p w:rsidR="00A970CD" w:rsidRDefault="00A970CD" w:rsidP="00A970CD">
      <w:pPr>
        <w:pStyle w:val="ListParagraph"/>
        <w:spacing w:after="0" w:line="240" w:lineRule="auto"/>
        <w:ind w:left="284"/>
        <w:jc w:val="center"/>
        <w:rPr>
          <w:rFonts w:eastAsia="MS Mincho" w:cs="Times New Roman"/>
          <w:noProof/>
          <w:szCs w:val="32"/>
          <w:lang w:val="fr-FR"/>
        </w:rPr>
      </w:pPr>
      <w:r>
        <w:rPr>
          <w:rFonts w:eastAsia="MS Mincho" w:cs="Times New Roman"/>
          <w:noProof/>
          <w:szCs w:val="32"/>
          <w:lang w:val="fr-FR"/>
        </w:rPr>
        <w:t>***</w:t>
      </w:r>
    </w:p>
    <w:p w:rsidR="00A970CD" w:rsidRDefault="00A970CD" w:rsidP="00A970CD">
      <w:pPr>
        <w:pStyle w:val="ListParagraph"/>
        <w:spacing w:after="0" w:line="240" w:lineRule="auto"/>
        <w:ind w:left="284"/>
        <w:jc w:val="both"/>
        <w:rPr>
          <w:rFonts w:eastAsia="MS Mincho" w:cs="Times New Roman"/>
          <w:noProof/>
          <w:szCs w:val="32"/>
          <w:lang w:val="fr-FR"/>
        </w:rPr>
      </w:pPr>
    </w:p>
    <w:p w:rsidR="00A970CD" w:rsidRDefault="00A970CD" w:rsidP="00A970CD">
      <w:pPr>
        <w:pStyle w:val="ListParagraph"/>
        <w:spacing w:after="0" w:line="240" w:lineRule="auto"/>
        <w:ind w:left="284"/>
        <w:jc w:val="both"/>
        <w:rPr>
          <w:rFonts w:eastAsia="MS Mincho" w:cs="Times New Roman"/>
          <w:noProof/>
          <w:szCs w:val="32"/>
          <w:lang w:val="fr-FR"/>
        </w:rPr>
      </w:pPr>
      <w:r>
        <w:rPr>
          <w:rFonts w:eastAsia="MS Mincho" w:cs="Times New Roman"/>
          <w:noProof/>
          <w:szCs w:val="32"/>
          <w:lang w:val="fr-FR"/>
        </w:rPr>
        <w:t>Les exemples présentés ci-après correspondent à des instructions de restitution d’une cession temporaire.</w:t>
      </w:r>
    </w:p>
    <w:p w:rsidR="00A970CD" w:rsidRDefault="00A970CD" w:rsidP="00A970CD">
      <w:pPr>
        <w:pStyle w:val="ListParagraph"/>
        <w:spacing w:after="0" w:line="240" w:lineRule="auto"/>
        <w:ind w:left="284"/>
        <w:jc w:val="both"/>
        <w:rPr>
          <w:rFonts w:eastAsia="MS Mincho" w:cs="Times New Roman"/>
          <w:noProof/>
          <w:szCs w:val="32"/>
          <w:lang w:val="fr-FR"/>
        </w:rPr>
      </w:pPr>
    </w:p>
    <w:p w:rsidR="00A970CD" w:rsidRDefault="00A970CD" w:rsidP="00A970CD">
      <w:pPr>
        <w:pStyle w:val="ListParagraph"/>
        <w:spacing w:after="0" w:line="240" w:lineRule="auto"/>
        <w:ind w:left="284"/>
        <w:jc w:val="both"/>
        <w:rPr>
          <w:rFonts w:eastAsia="MS Mincho" w:cs="Times New Roman"/>
          <w:noProof/>
          <w:szCs w:val="32"/>
          <w:lang w:val="fr-FR"/>
        </w:rPr>
      </w:pPr>
      <w:r>
        <w:rPr>
          <w:rFonts w:eastAsia="MS Mincho" w:cs="Times New Roman"/>
          <w:noProof/>
          <w:szCs w:val="32"/>
          <w:lang w:val="fr-FR"/>
        </w:rPr>
        <w:t>Dans certains cas, l’application des OST sur flux nécessiterait de mettre en œuvre une rétrocession en bilatéral en faveur du prêteur pour annuler l’effet erroné de l’OST sur flux</w:t>
      </w:r>
      <w:r w:rsidRPr="00AA7580">
        <w:rPr>
          <w:rFonts w:eastAsia="MS Mincho" w:cs="Times New Roman"/>
          <w:noProof/>
          <w:szCs w:val="32"/>
          <w:lang w:val="fr-FR"/>
        </w:rPr>
        <w:t>.</w:t>
      </w:r>
    </w:p>
    <w:p w:rsidR="00A970CD" w:rsidRDefault="00A970CD" w:rsidP="00A970CD">
      <w:pPr>
        <w:pStyle w:val="ListParagraph"/>
        <w:spacing w:after="0" w:line="240" w:lineRule="auto"/>
        <w:ind w:left="284"/>
        <w:jc w:val="both"/>
        <w:rPr>
          <w:rFonts w:eastAsia="MS Mincho" w:cs="Times New Roman"/>
          <w:noProof/>
          <w:szCs w:val="32"/>
          <w:lang w:val="fr-FR"/>
        </w:rPr>
      </w:pPr>
    </w:p>
    <w:p w:rsidR="00A970CD" w:rsidRPr="00CF7FAD" w:rsidRDefault="00A970CD" w:rsidP="00A970CD">
      <w:pPr>
        <w:spacing w:before="120"/>
        <w:ind w:left="284"/>
        <w:jc w:val="both"/>
        <w:rPr>
          <w:rFonts w:eastAsia="MS Mincho" w:cs="Times New Roman"/>
          <w:noProof/>
          <w:szCs w:val="32"/>
          <w:lang w:val="fr-FR"/>
        </w:rPr>
      </w:pPr>
      <w:r w:rsidRPr="00CF7FAD">
        <w:rPr>
          <w:rFonts w:eastAsia="MS Mincho" w:cs="Times New Roman"/>
          <w:noProof/>
          <w:szCs w:val="32"/>
          <w:lang w:val="fr-FR"/>
        </w:rPr>
        <w:t xml:space="preserve">Par symétrie, les </w:t>
      </w:r>
      <w:r>
        <w:rPr>
          <w:rFonts w:eastAsia="MS Mincho" w:cs="Times New Roman"/>
          <w:noProof/>
          <w:szCs w:val="32"/>
          <w:lang w:val="fr-FR"/>
        </w:rPr>
        <w:t>mêmes règles d’</w:t>
      </w:r>
      <w:r w:rsidRPr="00CF7FAD">
        <w:rPr>
          <w:rFonts w:eastAsia="MS Mincho" w:cs="Times New Roman"/>
          <w:noProof/>
          <w:szCs w:val="32"/>
          <w:lang w:val="fr-FR"/>
        </w:rPr>
        <w:t>OST sur Flux s’aplique</w:t>
      </w:r>
      <w:r>
        <w:rPr>
          <w:rFonts w:eastAsia="MS Mincho" w:cs="Times New Roman"/>
          <w:noProof/>
          <w:szCs w:val="32"/>
          <w:lang w:val="fr-FR"/>
        </w:rPr>
        <w:t>raien</w:t>
      </w:r>
      <w:r w:rsidRPr="00CF7FAD">
        <w:rPr>
          <w:rFonts w:eastAsia="MS Mincho" w:cs="Times New Roman"/>
          <w:noProof/>
          <w:szCs w:val="32"/>
          <w:lang w:val="fr-FR"/>
        </w:rPr>
        <w:t xml:space="preserve">t </w:t>
      </w:r>
      <w:r>
        <w:rPr>
          <w:rFonts w:eastAsia="MS Mincho" w:cs="Times New Roman"/>
          <w:noProof/>
          <w:szCs w:val="32"/>
          <w:lang w:val="fr-FR"/>
        </w:rPr>
        <w:t>également</w:t>
      </w:r>
      <w:r w:rsidRPr="00CF7FAD">
        <w:rPr>
          <w:rFonts w:eastAsia="MS Mincho" w:cs="Times New Roman"/>
          <w:noProof/>
          <w:szCs w:val="32"/>
          <w:lang w:val="fr-FR"/>
        </w:rPr>
        <w:t xml:space="preserve"> aux saisies sur les jambes « aller ».</w:t>
      </w:r>
    </w:p>
    <w:p w:rsidR="00A970CD" w:rsidRDefault="00A970CD" w:rsidP="00A970CD">
      <w:pPr>
        <w:pStyle w:val="ListParagraph"/>
        <w:spacing w:after="0" w:line="240" w:lineRule="auto"/>
        <w:ind w:left="284"/>
        <w:jc w:val="both"/>
        <w:rPr>
          <w:rFonts w:eastAsia="MS Mincho" w:cs="Times New Roman"/>
          <w:noProof/>
          <w:szCs w:val="32"/>
          <w:lang w:val="fr-FR"/>
        </w:rPr>
      </w:pPr>
    </w:p>
    <w:p w:rsidR="00A970CD" w:rsidRDefault="00A970CD" w:rsidP="00A970CD">
      <w:pPr>
        <w:pStyle w:val="ListParagraph"/>
        <w:spacing w:before="120"/>
        <w:ind w:left="360"/>
        <w:rPr>
          <w:rFonts w:eastAsia="MS Mincho" w:cs="Times New Roman"/>
          <w:noProof/>
          <w:szCs w:val="32"/>
          <w:lang w:val="fr-FR"/>
        </w:rPr>
      </w:pPr>
      <w:r>
        <w:rPr>
          <w:rFonts w:eastAsia="MS Mincho" w:cs="Times New Roman"/>
          <w:noProof/>
          <w:szCs w:val="32"/>
          <w:lang w:val="fr-FR"/>
        </w:rPr>
        <w:t>Exemples d’Impact des OST sur flux sur la restitution d’une cession temporaire :</w:t>
      </w:r>
    </w:p>
    <w:p w:rsidR="00A970CD" w:rsidRDefault="00A970CD" w:rsidP="00A970CD">
      <w:pPr>
        <w:pStyle w:val="ListParagraph"/>
        <w:spacing w:before="120"/>
        <w:ind w:left="360"/>
        <w:rPr>
          <w:rFonts w:eastAsia="MS Mincho" w:cs="Times New Roman"/>
          <w:noProof/>
          <w:szCs w:val="32"/>
          <w:lang w:val="fr-FR"/>
        </w:rPr>
      </w:pPr>
    </w:p>
    <w:p w:rsidR="00A970CD" w:rsidRPr="004F2D73" w:rsidRDefault="00A970CD" w:rsidP="00A970CD">
      <w:pPr>
        <w:pStyle w:val="ListParagraph"/>
        <w:numPr>
          <w:ilvl w:val="0"/>
          <w:numId w:val="26"/>
        </w:numPr>
        <w:spacing w:before="120"/>
        <w:jc w:val="both"/>
        <w:rPr>
          <w:rFonts w:eastAsia="MS Mincho" w:cs="Times New Roman"/>
          <w:b/>
          <w:noProof/>
          <w:szCs w:val="32"/>
          <w:lang w:val="fr-FR"/>
        </w:rPr>
      </w:pPr>
      <w:r w:rsidRPr="00D63095">
        <w:rPr>
          <w:rFonts w:eastAsia="MS Mincho" w:cs="Times New Roman"/>
          <w:b/>
          <w:noProof/>
          <w:color w:val="00B050"/>
          <w:szCs w:val="32"/>
          <w:lang w:val="fr-FR"/>
        </w:rPr>
        <w:t>Règle (1)</w:t>
      </w:r>
      <w:r w:rsidRPr="004F2D73">
        <w:rPr>
          <w:rFonts w:eastAsia="MS Mincho" w:cs="Times New Roman"/>
          <w:b/>
          <w:noProof/>
          <w:szCs w:val="32"/>
          <w:lang w:val="fr-FR"/>
        </w:rPr>
        <w:t xml:space="preserve"> de détection pour les </w:t>
      </w:r>
      <w:r>
        <w:rPr>
          <w:rFonts w:eastAsia="MS Mincho" w:cs="Times New Roman"/>
          <w:b/>
          <w:noProof/>
          <w:szCs w:val="32"/>
          <w:lang w:val="fr-FR"/>
        </w:rPr>
        <w:t>T</w:t>
      </w:r>
      <w:r w:rsidRPr="004F2D73">
        <w:rPr>
          <w:rFonts w:eastAsia="MS Mincho" w:cs="Times New Roman"/>
          <w:b/>
          <w:noProof/>
          <w:szCs w:val="32"/>
          <w:lang w:val="fr-FR"/>
        </w:rPr>
        <w:t>itres de capitaux en UNITE</w:t>
      </w:r>
      <w:r>
        <w:rPr>
          <w:rFonts w:eastAsia="MS Mincho" w:cs="Times New Roman"/>
          <w:b/>
          <w:noProof/>
          <w:szCs w:val="32"/>
          <w:lang w:val="fr-FR"/>
        </w:rPr>
        <w:t xml:space="preserve"> et </w:t>
      </w:r>
    </w:p>
    <w:p w:rsidR="00A970CD" w:rsidRPr="004F2D73" w:rsidRDefault="00A970CD" w:rsidP="00A970CD">
      <w:pPr>
        <w:pStyle w:val="ListParagraph"/>
        <w:spacing w:before="120"/>
        <w:jc w:val="both"/>
        <w:rPr>
          <w:rFonts w:eastAsia="MS Mincho" w:cs="Times New Roman"/>
          <w:b/>
          <w:noProof/>
          <w:szCs w:val="32"/>
          <w:lang w:val="fr-FR"/>
        </w:rPr>
      </w:pPr>
      <w:r w:rsidRPr="00D63095">
        <w:rPr>
          <w:rFonts w:eastAsia="MS Mincho" w:cs="Times New Roman"/>
          <w:b/>
          <w:bCs/>
          <w:noProof/>
          <w:color w:val="00B050"/>
          <w:szCs w:val="32"/>
          <w:lang w:val="fr-FR"/>
        </w:rPr>
        <w:lastRenderedPageBreak/>
        <w:t xml:space="preserve">Règle (2) </w:t>
      </w:r>
      <w:r w:rsidRPr="004F2D73">
        <w:rPr>
          <w:rFonts w:eastAsia="MS Mincho" w:cs="Times New Roman"/>
          <w:b/>
          <w:bCs/>
          <w:noProof/>
          <w:szCs w:val="32"/>
          <w:lang w:val="fr-FR"/>
        </w:rPr>
        <w:t xml:space="preserve">de détection pour les Titres de </w:t>
      </w:r>
      <w:r>
        <w:rPr>
          <w:rFonts w:eastAsia="MS Mincho" w:cs="Times New Roman"/>
          <w:b/>
          <w:bCs/>
          <w:noProof/>
          <w:szCs w:val="32"/>
          <w:lang w:val="fr-FR"/>
        </w:rPr>
        <w:t>Taux comptabilisés</w:t>
      </w:r>
      <w:r w:rsidRPr="004F2D73">
        <w:rPr>
          <w:rFonts w:eastAsia="MS Mincho" w:cs="Times New Roman"/>
          <w:b/>
          <w:bCs/>
          <w:noProof/>
          <w:szCs w:val="32"/>
          <w:lang w:val="fr-FR"/>
        </w:rPr>
        <w:t xml:space="preserve"> en UNITE  </w:t>
      </w:r>
      <w:r>
        <w:rPr>
          <w:rFonts w:eastAsia="MS Mincho" w:cs="Times New Roman"/>
          <w:b/>
          <w:bCs/>
          <w:noProof/>
          <w:szCs w:val="32"/>
          <w:lang w:val="fr-FR"/>
        </w:rPr>
        <w:t>avec</w:t>
      </w:r>
      <w:r w:rsidRPr="004F2D73">
        <w:rPr>
          <w:rFonts w:eastAsia="MS Mincho" w:cs="Times New Roman"/>
          <w:b/>
          <w:bCs/>
          <w:noProof/>
          <w:szCs w:val="32"/>
          <w:lang w:val="fr-FR"/>
        </w:rPr>
        <w:t xml:space="preserve"> </w:t>
      </w:r>
      <w:r>
        <w:rPr>
          <w:rFonts w:eastAsia="MS Mincho" w:cs="Times New Roman"/>
          <w:b/>
          <w:bCs/>
          <w:noProof/>
          <w:szCs w:val="32"/>
          <w:lang w:val="fr-FR"/>
        </w:rPr>
        <w:t>(</w:t>
      </w:r>
      <w:r w:rsidRPr="004F2D73">
        <w:rPr>
          <w:rFonts w:eastAsia="MS Mincho" w:cs="Times New Roman"/>
          <w:b/>
          <w:bCs/>
          <w:noProof/>
          <w:szCs w:val="32"/>
          <w:lang w:val="fr-FR"/>
        </w:rPr>
        <w:t>l’Ex-Date = la Payment-Date</w:t>
      </w:r>
      <w:r>
        <w:rPr>
          <w:rFonts w:eastAsia="MS Mincho" w:cs="Times New Roman"/>
          <w:b/>
          <w:bCs/>
          <w:noProof/>
          <w:szCs w:val="32"/>
          <w:lang w:val="fr-FR"/>
        </w:rPr>
        <w:t>)</w:t>
      </w:r>
      <w:r w:rsidRPr="004F2D73">
        <w:rPr>
          <w:rFonts w:eastAsia="MS Mincho" w:cs="Times New Roman"/>
          <w:b/>
          <w:bCs/>
          <w:noProof/>
          <w:szCs w:val="32"/>
          <w:lang w:val="fr-FR"/>
        </w:rPr>
        <w:t xml:space="preserve"> : </w:t>
      </w:r>
    </w:p>
    <w:p w:rsidR="00A970CD" w:rsidRDefault="00A970CD" w:rsidP="00A970CD">
      <w:pPr>
        <w:pStyle w:val="ListParagraph"/>
        <w:numPr>
          <w:ilvl w:val="1"/>
          <w:numId w:val="26"/>
        </w:numPr>
        <w:spacing w:before="120"/>
        <w:jc w:val="both"/>
        <w:rPr>
          <w:rFonts w:eastAsia="MS Mincho" w:cs="Times New Roman"/>
          <w:noProof/>
          <w:szCs w:val="32"/>
          <w:lang w:val="fr-FR"/>
        </w:rPr>
      </w:pPr>
      <w:r w:rsidRPr="004F2D73">
        <w:rPr>
          <w:rFonts w:eastAsia="MS Mincho" w:cs="Times New Roman"/>
          <w:noProof/>
          <w:szCs w:val="32"/>
          <w:lang w:val="fr-FR"/>
        </w:rPr>
        <w:t xml:space="preserve">TD avant </w:t>
      </w:r>
      <w:r>
        <w:rPr>
          <w:rFonts w:eastAsia="MS Mincho" w:cs="Times New Roman"/>
          <w:noProof/>
          <w:szCs w:val="32"/>
          <w:lang w:val="fr-FR"/>
        </w:rPr>
        <w:t>ExD (E</w:t>
      </w:r>
      <w:r w:rsidRPr="004F2D73">
        <w:rPr>
          <w:rFonts w:eastAsia="MS Mincho" w:cs="Times New Roman"/>
          <w:noProof/>
          <w:szCs w:val="32"/>
          <w:lang w:val="fr-FR"/>
        </w:rPr>
        <w:t>x-date</w:t>
      </w:r>
      <w:r>
        <w:rPr>
          <w:rFonts w:eastAsia="MS Mincho" w:cs="Times New Roman"/>
          <w:noProof/>
          <w:szCs w:val="32"/>
          <w:lang w:val="fr-FR"/>
        </w:rPr>
        <w:t>)</w:t>
      </w:r>
      <w:r w:rsidRPr="004F2D73">
        <w:rPr>
          <w:rFonts w:eastAsia="MS Mincho" w:cs="Times New Roman"/>
          <w:noProof/>
          <w:szCs w:val="32"/>
          <w:lang w:val="fr-FR"/>
        </w:rPr>
        <w:t xml:space="preserve"> et ASD</w:t>
      </w:r>
      <w:r>
        <w:rPr>
          <w:rFonts w:eastAsia="MS Mincho" w:cs="Times New Roman"/>
          <w:noProof/>
          <w:szCs w:val="32"/>
          <w:lang w:val="fr-FR"/>
        </w:rPr>
        <w:t xml:space="preserve"> (date de dénouement réelle) </w:t>
      </w:r>
      <w:r w:rsidRPr="004F2D73">
        <w:rPr>
          <w:rFonts w:eastAsia="MS Mincho" w:cs="Times New Roman"/>
          <w:noProof/>
          <w:szCs w:val="32"/>
          <w:lang w:val="fr-FR"/>
        </w:rPr>
        <w:t xml:space="preserve">après RD </w:t>
      </w:r>
      <w:r>
        <w:rPr>
          <w:rFonts w:eastAsia="MS Mincho" w:cs="Times New Roman"/>
          <w:noProof/>
          <w:szCs w:val="32"/>
          <w:lang w:val="fr-FR"/>
        </w:rPr>
        <w:t>=&gt; (</w:t>
      </w:r>
      <w:r w:rsidRPr="004F2D73">
        <w:rPr>
          <w:rFonts w:eastAsia="MS Mincho" w:cs="Times New Roman"/>
          <w:noProof/>
          <w:szCs w:val="32"/>
          <w:lang w:val="fr-FR"/>
        </w:rPr>
        <w:t>OST sur f</w:t>
      </w:r>
      <w:r>
        <w:rPr>
          <w:rFonts w:eastAsia="MS Mincho" w:cs="Times New Roman"/>
          <w:noProof/>
          <w:szCs w:val="32"/>
          <w:lang w:val="fr-FR"/>
        </w:rPr>
        <w:t>lux pour allocation du produit au prêteur)</w:t>
      </w:r>
    </w:p>
    <w:p w:rsidR="00A970CD" w:rsidRPr="0039607F" w:rsidRDefault="00A970CD" w:rsidP="00A970CD">
      <w:pPr>
        <w:pStyle w:val="ListParagraph"/>
        <w:numPr>
          <w:ilvl w:val="1"/>
          <w:numId w:val="26"/>
        </w:numPr>
        <w:spacing w:before="120"/>
        <w:jc w:val="both"/>
        <w:rPr>
          <w:rFonts w:eastAsia="MS Mincho" w:cs="Times New Roman"/>
          <w:noProof/>
          <w:szCs w:val="32"/>
          <w:lang w:val="fr-FR"/>
        </w:rPr>
      </w:pPr>
      <w:r w:rsidRPr="0039607F">
        <w:rPr>
          <w:rFonts w:eastAsia="MS Mincho" w:cs="Times New Roman"/>
          <w:noProof/>
          <w:szCs w:val="32"/>
          <w:lang w:val="fr-FR"/>
        </w:rPr>
        <w:t>TD après ExD et ASD avant RD =&gt; (OST sur flux avec allocation du produit à l’emprunteur. A rétrocéder en bilatéral au prêteur).</w:t>
      </w:r>
    </w:p>
    <w:p w:rsidR="00A970CD" w:rsidRDefault="00A970CD" w:rsidP="00A970CD">
      <w:pPr>
        <w:pStyle w:val="ListParagraph"/>
        <w:numPr>
          <w:ilvl w:val="1"/>
          <w:numId w:val="26"/>
        </w:numPr>
        <w:spacing w:before="120"/>
        <w:jc w:val="both"/>
        <w:rPr>
          <w:rFonts w:eastAsia="MS Mincho" w:cs="Times New Roman"/>
          <w:noProof/>
          <w:szCs w:val="32"/>
          <w:lang w:val="fr-FR"/>
        </w:rPr>
      </w:pPr>
      <w:r w:rsidRPr="00626D78">
        <w:rPr>
          <w:rFonts w:eastAsia="MS Mincho" w:cs="Times New Roman"/>
          <w:noProof/>
          <w:szCs w:val="32"/>
          <w:lang w:val="fr-FR"/>
        </w:rPr>
        <w:t>Règles applicables aux instructions pending et</w:t>
      </w:r>
      <w:r>
        <w:rPr>
          <w:rFonts w:eastAsia="MS Mincho" w:cs="Times New Roman"/>
          <w:noProof/>
          <w:szCs w:val="32"/>
          <w:lang w:val="fr-FR"/>
        </w:rPr>
        <w:t>/ou</w:t>
      </w:r>
      <w:r w:rsidRPr="00626D78">
        <w:rPr>
          <w:rFonts w:eastAsia="MS Mincho" w:cs="Times New Roman"/>
          <w:noProof/>
          <w:szCs w:val="32"/>
          <w:lang w:val="fr-FR"/>
        </w:rPr>
        <w:t xml:space="preserve"> failed </w:t>
      </w:r>
      <w:r w:rsidRPr="00AD066B">
        <w:rPr>
          <w:rFonts w:eastAsia="MS Mincho" w:cs="Times New Roman"/>
          <w:b/>
          <w:noProof/>
          <w:color w:val="1F497D" w:themeColor="text2"/>
          <w:szCs w:val="32"/>
          <w:lang w:val="fr-FR"/>
        </w:rPr>
        <w:t>(*)</w:t>
      </w:r>
    </w:p>
    <w:p w:rsidR="00A970CD" w:rsidRPr="00626D78" w:rsidRDefault="00A970CD" w:rsidP="00A970CD">
      <w:pPr>
        <w:pStyle w:val="ListParagraph"/>
        <w:spacing w:before="120"/>
        <w:ind w:left="1080"/>
        <w:jc w:val="both"/>
        <w:rPr>
          <w:rFonts w:eastAsia="MS Mincho" w:cs="Times New Roman"/>
          <w:noProof/>
          <w:szCs w:val="32"/>
          <w:lang w:val="fr-FR"/>
        </w:rPr>
      </w:pPr>
    </w:p>
    <w:p w:rsidR="00A970CD" w:rsidRPr="004F2D73" w:rsidRDefault="00A970CD" w:rsidP="00A970CD">
      <w:pPr>
        <w:pStyle w:val="ListParagraph"/>
        <w:numPr>
          <w:ilvl w:val="0"/>
          <w:numId w:val="26"/>
        </w:numPr>
        <w:spacing w:before="120"/>
        <w:jc w:val="both"/>
        <w:rPr>
          <w:rFonts w:eastAsia="MS Mincho" w:cs="Times New Roman"/>
          <w:noProof/>
          <w:szCs w:val="32"/>
          <w:lang w:val="fr-FR"/>
        </w:rPr>
      </w:pPr>
      <w:r w:rsidRPr="00D63095">
        <w:rPr>
          <w:rFonts w:eastAsia="MS Mincho" w:cs="Times New Roman"/>
          <w:b/>
          <w:bCs/>
          <w:noProof/>
          <w:color w:val="00B050"/>
          <w:szCs w:val="32"/>
          <w:lang w:val="fr-FR"/>
        </w:rPr>
        <w:t>Règle (3)</w:t>
      </w:r>
      <w:r>
        <w:rPr>
          <w:rFonts w:eastAsia="MS Mincho" w:cs="Times New Roman"/>
          <w:b/>
          <w:bCs/>
          <w:noProof/>
          <w:szCs w:val="32"/>
          <w:lang w:val="fr-FR"/>
        </w:rPr>
        <w:t xml:space="preserve"> </w:t>
      </w:r>
      <w:r w:rsidRPr="004F2D73">
        <w:rPr>
          <w:rFonts w:eastAsia="MS Mincho" w:cs="Times New Roman"/>
          <w:b/>
          <w:bCs/>
          <w:noProof/>
          <w:szCs w:val="32"/>
          <w:lang w:val="fr-FR"/>
        </w:rPr>
        <w:t xml:space="preserve">de détection pour titres  de </w:t>
      </w:r>
      <w:r>
        <w:rPr>
          <w:rFonts w:eastAsia="MS Mincho" w:cs="Times New Roman"/>
          <w:b/>
          <w:bCs/>
          <w:noProof/>
          <w:szCs w:val="32"/>
          <w:lang w:val="fr-FR"/>
        </w:rPr>
        <w:t>Taux</w:t>
      </w:r>
      <w:r w:rsidRPr="004F2D73">
        <w:rPr>
          <w:rFonts w:eastAsia="MS Mincho" w:cs="Times New Roman"/>
          <w:b/>
          <w:bCs/>
          <w:noProof/>
          <w:szCs w:val="32"/>
          <w:lang w:val="fr-FR"/>
        </w:rPr>
        <w:t xml:space="preserve"> comptabilisé</w:t>
      </w:r>
      <w:r>
        <w:rPr>
          <w:rFonts w:eastAsia="MS Mincho" w:cs="Times New Roman"/>
          <w:b/>
          <w:bCs/>
          <w:noProof/>
          <w:szCs w:val="32"/>
          <w:lang w:val="fr-FR"/>
        </w:rPr>
        <w:t xml:space="preserve">s en </w:t>
      </w:r>
      <w:r w:rsidRPr="004F2D73">
        <w:rPr>
          <w:rFonts w:eastAsia="MS Mincho" w:cs="Times New Roman"/>
          <w:b/>
          <w:bCs/>
          <w:noProof/>
          <w:szCs w:val="32"/>
          <w:lang w:val="fr-FR"/>
        </w:rPr>
        <w:t xml:space="preserve">FMT : </w:t>
      </w:r>
    </w:p>
    <w:p w:rsidR="00A970CD" w:rsidRPr="0039607F" w:rsidRDefault="00A970CD" w:rsidP="00A970CD">
      <w:pPr>
        <w:pStyle w:val="ListParagraph"/>
        <w:numPr>
          <w:ilvl w:val="1"/>
          <w:numId w:val="26"/>
        </w:numPr>
        <w:spacing w:before="120"/>
        <w:jc w:val="both"/>
        <w:rPr>
          <w:rFonts w:eastAsia="MS Mincho" w:cs="Times New Roman"/>
          <w:noProof/>
          <w:szCs w:val="32"/>
          <w:lang w:val="fr-FR"/>
        </w:rPr>
      </w:pPr>
      <w:r w:rsidRPr="006F4AF5">
        <w:rPr>
          <w:rFonts w:eastAsia="MS Mincho" w:cs="Times New Roman"/>
          <w:noProof/>
          <w:szCs w:val="32"/>
          <w:lang w:val="fr-FR"/>
        </w:rPr>
        <w:t xml:space="preserve">Si </w:t>
      </w:r>
      <w:r>
        <w:rPr>
          <w:rFonts w:eastAsia="MS Mincho" w:cs="Times New Roman"/>
          <w:noProof/>
          <w:szCs w:val="32"/>
          <w:lang w:val="fr-FR"/>
        </w:rPr>
        <w:t xml:space="preserve">la </w:t>
      </w:r>
      <w:r w:rsidRPr="006F4AF5">
        <w:rPr>
          <w:rFonts w:eastAsia="MS Mincho" w:cs="Times New Roman"/>
          <w:noProof/>
          <w:szCs w:val="32"/>
          <w:lang w:val="fr-FR"/>
        </w:rPr>
        <w:t>date de dénouement théorique (</w:t>
      </w:r>
      <w:r>
        <w:rPr>
          <w:rFonts w:eastAsia="MS Mincho" w:cs="Times New Roman"/>
          <w:noProof/>
          <w:szCs w:val="32"/>
          <w:lang w:val="fr-FR"/>
        </w:rPr>
        <w:t>ISD</w:t>
      </w:r>
      <w:r w:rsidRPr="006F4AF5">
        <w:rPr>
          <w:rFonts w:eastAsia="MS Mincho" w:cs="Times New Roman"/>
          <w:noProof/>
          <w:szCs w:val="32"/>
          <w:lang w:val="fr-FR"/>
        </w:rPr>
        <w:t>) est située avant ou à la RD et S</w:t>
      </w:r>
      <w:r>
        <w:rPr>
          <w:rFonts w:eastAsia="MS Mincho" w:cs="Times New Roman"/>
          <w:noProof/>
          <w:szCs w:val="32"/>
          <w:lang w:val="fr-FR"/>
        </w:rPr>
        <w:t>i l’</w:t>
      </w:r>
      <w:r w:rsidRPr="006F4AF5">
        <w:rPr>
          <w:rFonts w:eastAsia="MS Mincho" w:cs="Times New Roman"/>
          <w:noProof/>
          <w:szCs w:val="32"/>
          <w:lang w:val="fr-FR"/>
        </w:rPr>
        <w:t xml:space="preserve">ASD est située après la RD </w:t>
      </w:r>
      <w:r>
        <w:rPr>
          <w:rFonts w:eastAsia="MS Mincho" w:cs="Times New Roman"/>
          <w:noProof/>
          <w:szCs w:val="32"/>
          <w:lang w:val="fr-FR"/>
        </w:rPr>
        <w:t xml:space="preserve">=&gt; </w:t>
      </w:r>
      <w:r w:rsidRPr="0039607F">
        <w:rPr>
          <w:rFonts w:eastAsia="MS Mincho" w:cs="Times New Roman"/>
          <w:noProof/>
          <w:szCs w:val="32"/>
          <w:lang w:val="fr-FR"/>
        </w:rPr>
        <w:t>(OST sur flux pour allocation du produit au prêteur)</w:t>
      </w:r>
    </w:p>
    <w:p w:rsidR="00A970CD" w:rsidRDefault="00A970CD" w:rsidP="00A970CD">
      <w:pPr>
        <w:pStyle w:val="ListParagraph"/>
        <w:numPr>
          <w:ilvl w:val="1"/>
          <w:numId w:val="26"/>
        </w:numPr>
        <w:spacing w:before="120"/>
        <w:jc w:val="both"/>
        <w:rPr>
          <w:rFonts w:eastAsia="MS Mincho" w:cs="Times New Roman"/>
          <w:noProof/>
          <w:szCs w:val="32"/>
          <w:lang w:val="fr-FR"/>
        </w:rPr>
      </w:pPr>
      <w:r w:rsidRPr="004F2D73">
        <w:rPr>
          <w:rFonts w:eastAsia="MS Mincho" w:cs="Times New Roman"/>
          <w:noProof/>
          <w:szCs w:val="32"/>
          <w:lang w:val="fr-FR"/>
        </w:rPr>
        <w:t>La Trade date n’</w:t>
      </w:r>
      <w:r>
        <w:rPr>
          <w:rFonts w:eastAsia="MS Mincho" w:cs="Times New Roman"/>
          <w:noProof/>
          <w:szCs w:val="32"/>
          <w:lang w:val="fr-FR"/>
        </w:rPr>
        <w:t xml:space="preserve">est pas prise en compte dans </w:t>
      </w:r>
      <w:r w:rsidRPr="004F2D73">
        <w:rPr>
          <w:rFonts w:eastAsia="MS Mincho" w:cs="Times New Roman"/>
          <w:noProof/>
          <w:szCs w:val="32"/>
          <w:lang w:val="fr-FR"/>
        </w:rPr>
        <w:t xml:space="preserve">les règles de détection  </w:t>
      </w:r>
    </w:p>
    <w:p w:rsidR="00A970CD" w:rsidRPr="00AD066B" w:rsidRDefault="00A970CD" w:rsidP="00A970CD">
      <w:pPr>
        <w:pStyle w:val="ListParagraph"/>
        <w:numPr>
          <w:ilvl w:val="1"/>
          <w:numId w:val="26"/>
        </w:numPr>
        <w:spacing w:before="120"/>
        <w:jc w:val="both"/>
        <w:rPr>
          <w:rFonts w:eastAsia="MS Mincho" w:cs="Times New Roman"/>
          <w:b/>
          <w:noProof/>
          <w:szCs w:val="32"/>
          <w:lang w:val="fr-FR"/>
        </w:rPr>
      </w:pPr>
      <w:r w:rsidRPr="00626D78">
        <w:rPr>
          <w:rFonts w:eastAsia="MS Mincho" w:cs="Times New Roman"/>
          <w:noProof/>
          <w:szCs w:val="32"/>
          <w:lang w:val="fr-FR"/>
        </w:rPr>
        <w:t xml:space="preserve">Règles </w:t>
      </w:r>
      <w:r>
        <w:rPr>
          <w:rFonts w:eastAsia="MS Mincho" w:cs="Times New Roman"/>
          <w:noProof/>
          <w:szCs w:val="32"/>
          <w:lang w:val="fr-FR"/>
        </w:rPr>
        <w:t xml:space="preserve">concernant </w:t>
      </w:r>
      <w:r w:rsidRPr="00626D78">
        <w:rPr>
          <w:rFonts w:eastAsia="MS Mincho" w:cs="Times New Roman"/>
          <w:noProof/>
          <w:szCs w:val="32"/>
          <w:lang w:val="fr-FR"/>
        </w:rPr>
        <w:t>les instruction</w:t>
      </w:r>
      <w:r>
        <w:rPr>
          <w:rFonts w:eastAsia="MS Mincho" w:cs="Times New Roman"/>
          <w:noProof/>
          <w:szCs w:val="32"/>
          <w:lang w:val="fr-FR"/>
        </w:rPr>
        <w:t>s</w:t>
      </w:r>
      <w:r w:rsidRPr="00626D78">
        <w:rPr>
          <w:rFonts w:eastAsia="MS Mincho" w:cs="Times New Roman"/>
          <w:noProof/>
          <w:szCs w:val="32"/>
          <w:lang w:val="fr-FR"/>
        </w:rPr>
        <w:t xml:space="preserve"> failed </w:t>
      </w:r>
      <w:r>
        <w:rPr>
          <w:rFonts w:eastAsia="MS Mincho" w:cs="Times New Roman"/>
          <w:noProof/>
          <w:szCs w:val="32"/>
          <w:lang w:val="fr-FR"/>
        </w:rPr>
        <w:t xml:space="preserve">uniquement </w:t>
      </w:r>
      <w:r w:rsidRPr="0039607F">
        <w:rPr>
          <w:rFonts w:eastAsia="MS Mincho" w:cs="Times New Roman"/>
          <w:noProof/>
          <w:szCs w:val="32"/>
          <w:lang w:val="fr-FR"/>
        </w:rPr>
        <w:t>(*)</w:t>
      </w:r>
    </w:p>
    <w:p w:rsidR="00A970CD" w:rsidRPr="00626D78" w:rsidRDefault="00A970CD" w:rsidP="00A970CD">
      <w:pPr>
        <w:pStyle w:val="ListParagraph"/>
        <w:spacing w:before="120"/>
        <w:ind w:left="360"/>
        <w:rPr>
          <w:rFonts w:eastAsia="MS Mincho" w:cs="Times New Roman"/>
          <w:noProof/>
          <w:szCs w:val="32"/>
          <w:lang w:val="fr-FR"/>
        </w:rPr>
      </w:pPr>
    </w:p>
    <w:p w:rsidR="00A970CD" w:rsidRPr="00626D78" w:rsidRDefault="00A970CD" w:rsidP="00A970CD">
      <w:pPr>
        <w:pStyle w:val="ListParagraph"/>
        <w:numPr>
          <w:ilvl w:val="0"/>
          <w:numId w:val="27"/>
        </w:numPr>
        <w:spacing w:before="120"/>
        <w:rPr>
          <w:rFonts w:eastAsia="MS Mincho" w:cs="Times New Roman"/>
          <w:b/>
          <w:noProof/>
          <w:color w:val="1F497D" w:themeColor="text2"/>
          <w:szCs w:val="32"/>
        </w:rPr>
      </w:pPr>
      <w:r>
        <w:rPr>
          <w:rFonts w:eastAsia="MS Mincho" w:cs="Times New Roman"/>
          <w:b/>
          <w:noProof/>
          <w:color w:val="1F497D" w:themeColor="text2"/>
          <w:szCs w:val="32"/>
        </w:rPr>
        <w:t xml:space="preserve">(*) </w:t>
      </w:r>
      <w:r w:rsidRPr="00626D78">
        <w:rPr>
          <w:rFonts w:eastAsia="MS Mincho" w:cs="Times New Roman"/>
          <w:b/>
          <w:bCs/>
          <w:noProof/>
          <w:color w:val="1F497D" w:themeColor="text2"/>
          <w:szCs w:val="32"/>
        </w:rPr>
        <w:t xml:space="preserve">Notion d’instruction Pending Vs Failed : </w:t>
      </w:r>
    </w:p>
    <w:p w:rsidR="00A970CD" w:rsidRPr="00626D78" w:rsidRDefault="00A970CD" w:rsidP="00A970CD">
      <w:pPr>
        <w:pStyle w:val="ListParagraph"/>
        <w:spacing w:before="120"/>
        <w:ind w:left="360"/>
        <w:rPr>
          <w:rFonts w:eastAsia="MS Mincho" w:cs="Times New Roman"/>
          <w:noProof/>
          <w:szCs w:val="32"/>
          <w:lang w:val="fr-FR"/>
        </w:rPr>
      </w:pPr>
      <w:r w:rsidRPr="00626D78">
        <w:rPr>
          <w:rFonts w:eastAsia="MS Mincho" w:cs="Times New Roman"/>
          <w:noProof/>
          <w:szCs w:val="32"/>
          <w:lang w:val="fr-FR"/>
        </w:rPr>
        <w:t xml:space="preserve">Les instructions pending sont des instructions en attente de dénouement que l’ISD soit avant ou après la RD. En revanche, une instruction failed est une notion plus restrictive car l’ISD est antérieure à la RD, mais l’ASD postérieure. </w:t>
      </w:r>
    </w:p>
    <w:p w:rsidR="00A970CD" w:rsidRPr="004F2D73" w:rsidRDefault="00A970CD" w:rsidP="00A970CD">
      <w:pPr>
        <w:pStyle w:val="ListParagraph"/>
        <w:spacing w:before="120"/>
        <w:ind w:left="360"/>
        <w:rPr>
          <w:rFonts w:eastAsia="MS Mincho" w:cs="Times New Roman"/>
          <w:noProof/>
          <w:szCs w:val="32"/>
          <w:lang w:val="fr-FR"/>
        </w:rPr>
      </w:pPr>
    </w:p>
    <w:p w:rsidR="00A970CD" w:rsidRDefault="00A970CD" w:rsidP="00A970CD">
      <w:pPr>
        <w:pStyle w:val="ListParagraph"/>
        <w:numPr>
          <w:ilvl w:val="0"/>
          <w:numId w:val="21"/>
        </w:numPr>
        <w:spacing w:before="120"/>
        <w:rPr>
          <w:rFonts w:eastAsia="MS Mincho" w:cs="Times New Roman"/>
          <w:noProof/>
          <w:szCs w:val="32"/>
          <w:lang w:val="fr-FR"/>
        </w:rPr>
      </w:pPr>
      <w:r>
        <w:rPr>
          <w:rFonts w:eastAsia="MS Mincho" w:cs="Times New Roman"/>
          <w:noProof/>
          <w:szCs w:val="32"/>
          <w:lang w:val="fr-FR"/>
        </w:rPr>
        <w:t xml:space="preserve">Les modalités de gestion des OST sur Flux dépendent aussi du moment de la saisie et de l’appariement de la jambe retour dans le système. </w:t>
      </w:r>
    </w:p>
    <w:p w:rsidR="00A970CD" w:rsidRPr="006F4AF5" w:rsidRDefault="00A970CD" w:rsidP="00A970CD">
      <w:pPr>
        <w:jc w:val="both"/>
        <w:rPr>
          <w:rFonts w:eastAsia="MS Mincho" w:cs="Times New Roman"/>
          <w:noProof/>
          <w:szCs w:val="32"/>
          <w:lang w:val="fr-FR"/>
        </w:rPr>
      </w:pPr>
    </w:p>
    <w:p w:rsidR="00A970CD" w:rsidRPr="006F4AF5" w:rsidRDefault="00A970CD" w:rsidP="00A970CD">
      <w:pPr>
        <w:pStyle w:val="ListParagraph"/>
        <w:numPr>
          <w:ilvl w:val="0"/>
          <w:numId w:val="15"/>
        </w:numPr>
        <w:spacing w:before="120"/>
        <w:jc w:val="both"/>
        <w:rPr>
          <w:rFonts w:eastAsia="MS Mincho" w:cs="Times New Roman"/>
          <w:noProof/>
          <w:szCs w:val="32"/>
          <w:lang w:val="fr-FR"/>
        </w:rPr>
      </w:pPr>
      <w:r w:rsidRPr="006F4AF5">
        <w:rPr>
          <w:rFonts w:eastAsia="MS Mincho" w:cs="Times New Roman"/>
          <w:noProof/>
          <w:szCs w:val="32"/>
          <w:lang w:val="fr-FR"/>
        </w:rPr>
        <w:t xml:space="preserve">Si </w:t>
      </w:r>
      <w:r>
        <w:rPr>
          <w:rFonts w:eastAsia="MS Mincho" w:cs="Times New Roman"/>
          <w:noProof/>
          <w:szCs w:val="32"/>
          <w:lang w:val="fr-FR"/>
        </w:rPr>
        <w:t>la S</w:t>
      </w:r>
      <w:r w:rsidRPr="006F4AF5">
        <w:rPr>
          <w:rFonts w:eastAsia="MS Mincho" w:cs="Times New Roman"/>
          <w:noProof/>
          <w:szCs w:val="32"/>
          <w:lang w:val="fr-FR"/>
        </w:rPr>
        <w:t>aisie</w:t>
      </w:r>
      <w:r>
        <w:rPr>
          <w:rFonts w:eastAsia="MS Mincho" w:cs="Times New Roman"/>
          <w:noProof/>
          <w:szCs w:val="32"/>
          <w:lang w:val="fr-FR"/>
        </w:rPr>
        <w:t>/Appariement de la jambe retour est concomitante à</w:t>
      </w:r>
      <w:r w:rsidRPr="006F4AF5">
        <w:rPr>
          <w:rFonts w:eastAsia="MS Mincho" w:cs="Times New Roman"/>
          <w:noProof/>
          <w:szCs w:val="32"/>
          <w:lang w:val="fr-FR"/>
        </w:rPr>
        <w:t xml:space="preserve"> la mise en place de la cession temporaire, la détection des </w:t>
      </w:r>
      <w:r>
        <w:rPr>
          <w:rFonts w:eastAsia="MS Mincho" w:cs="Times New Roman"/>
          <w:noProof/>
          <w:szCs w:val="32"/>
          <w:lang w:val="fr-FR"/>
        </w:rPr>
        <w:t xml:space="preserve">OST sur flux est assurée durant la vie du contrat, jusqu’à son dénouement. </w:t>
      </w:r>
    </w:p>
    <w:p w:rsidR="00A970CD" w:rsidRDefault="00A970CD" w:rsidP="00A970CD">
      <w:pPr>
        <w:pStyle w:val="ListParagraph"/>
        <w:spacing w:before="120"/>
        <w:jc w:val="both"/>
        <w:rPr>
          <w:rFonts w:eastAsia="MS Mincho" w:cs="Times New Roman"/>
          <w:noProof/>
          <w:szCs w:val="32"/>
          <w:lang w:val="fr-FR"/>
        </w:rPr>
      </w:pPr>
    </w:p>
    <w:p w:rsidR="00A970CD" w:rsidRDefault="00A970CD" w:rsidP="00A970CD">
      <w:pPr>
        <w:pStyle w:val="ListParagraph"/>
        <w:numPr>
          <w:ilvl w:val="2"/>
          <w:numId w:val="15"/>
        </w:numPr>
        <w:spacing w:before="120"/>
        <w:jc w:val="both"/>
        <w:rPr>
          <w:rFonts w:eastAsia="MS Mincho" w:cs="Times New Roman"/>
          <w:noProof/>
          <w:szCs w:val="32"/>
          <w:lang w:val="fr-FR"/>
        </w:rPr>
      </w:pPr>
      <w:r>
        <w:rPr>
          <w:rFonts w:eastAsia="MS Mincho" w:cs="Times New Roman"/>
          <w:noProof/>
          <w:szCs w:val="32"/>
          <w:lang w:val="fr-FR"/>
        </w:rPr>
        <w:t>Cette solution est viable :</w:t>
      </w:r>
    </w:p>
    <w:p w:rsidR="00A970CD" w:rsidRDefault="00A970CD" w:rsidP="00A970CD">
      <w:pPr>
        <w:pStyle w:val="ListParagraph"/>
        <w:numPr>
          <w:ilvl w:val="3"/>
          <w:numId w:val="15"/>
        </w:numPr>
        <w:spacing w:before="120"/>
        <w:jc w:val="both"/>
        <w:rPr>
          <w:rFonts w:eastAsia="MS Mincho" w:cs="Times New Roman"/>
          <w:noProof/>
          <w:szCs w:val="32"/>
          <w:lang w:val="fr-FR"/>
        </w:rPr>
      </w:pPr>
      <w:r w:rsidRPr="00FD7135">
        <w:rPr>
          <w:rFonts w:eastAsia="MS Mincho" w:cs="Times New Roman"/>
          <w:noProof/>
          <w:szCs w:val="32"/>
          <w:lang w:val="fr-FR"/>
        </w:rPr>
        <w:t xml:space="preserve">Pour les cessions temporaires à taux fixe ou « Sec » </w:t>
      </w:r>
    </w:p>
    <w:p w:rsidR="00A970CD" w:rsidRDefault="00A970CD" w:rsidP="00A970CD">
      <w:pPr>
        <w:pStyle w:val="ListParagraph"/>
        <w:numPr>
          <w:ilvl w:val="3"/>
          <w:numId w:val="15"/>
        </w:numPr>
        <w:spacing w:before="120"/>
        <w:jc w:val="both"/>
        <w:rPr>
          <w:rFonts w:eastAsia="MS Mincho" w:cs="Times New Roman"/>
          <w:noProof/>
          <w:szCs w:val="32"/>
          <w:lang w:val="fr-FR"/>
        </w:rPr>
      </w:pPr>
      <w:r w:rsidRPr="00FD7135">
        <w:rPr>
          <w:rFonts w:eastAsia="MS Mincho" w:cs="Times New Roman"/>
          <w:noProof/>
          <w:szCs w:val="32"/>
          <w:lang w:val="fr-FR"/>
        </w:rPr>
        <w:t>Pour les valeurs en UNT ou la TD est discriminante pour la détection des OST sur flux. La TD de la jambe retour étant  égale à la TD de la jambe aller. (</w:t>
      </w:r>
      <w:r w:rsidRPr="00FD7135">
        <w:rPr>
          <w:rFonts w:eastAsia="MS Mincho" w:cs="Times New Roman"/>
          <w:i/>
          <w:noProof/>
          <w:szCs w:val="32"/>
          <w:lang w:val="fr-FR"/>
        </w:rPr>
        <w:t xml:space="preserve">Cf. MS-SETTL-PENSION-02, </w:t>
      </w:r>
      <w:r w:rsidRPr="00FD7135">
        <w:rPr>
          <w:rFonts w:eastAsia="MS Mincho" w:cs="Times New Roman"/>
          <w:i/>
          <w:noProof/>
          <w:color w:val="00B050"/>
          <w:szCs w:val="32"/>
          <w:lang w:val="fr-FR"/>
        </w:rPr>
        <w:t>Cf.Règles (1) et (2)</w:t>
      </w:r>
      <w:r w:rsidRPr="00FD7135">
        <w:rPr>
          <w:rFonts w:eastAsia="MS Mincho" w:cs="Times New Roman"/>
          <w:i/>
          <w:noProof/>
          <w:szCs w:val="32"/>
          <w:lang w:val="fr-FR"/>
        </w:rPr>
        <w:t>)</w:t>
      </w:r>
      <w:r w:rsidRPr="00FD7135">
        <w:rPr>
          <w:rFonts w:eastAsia="MS Mincho" w:cs="Times New Roman"/>
          <w:noProof/>
          <w:szCs w:val="32"/>
          <w:lang w:val="fr-FR"/>
        </w:rPr>
        <w:t>.</w:t>
      </w:r>
    </w:p>
    <w:p w:rsidR="00A970CD" w:rsidRPr="00945650" w:rsidRDefault="00A970CD" w:rsidP="00A970CD">
      <w:pPr>
        <w:pStyle w:val="ListParagraph"/>
        <w:numPr>
          <w:ilvl w:val="3"/>
          <w:numId w:val="15"/>
        </w:numPr>
        <w:spacing w:before="120"/>
        <w:jc w:val="both"/>
        <w:rPr>
          <w:rFonts w:eastAsia="MS Mincho" w:cs="Times New Roman"/>
          <w:i/>
          <w:noProof/>
          <w:szCs w:val="32"/>
          <w:lang w:val="fr-FR"/>
        </w:rPr>
      </w:pPr>
      <w:r w:rsidRPr="00945650">
        <w:rPr>
          <w:rFonts w:eastAsia="MS Mincho" w:cs="Times New Roman"/>
          <w:noProof/>
          <w:szCs w:val="32"/>
          <w:lang w:val="fr-FR"/>
        </w:rPr>
        <w:t>Illustration (non exhaustive)</w:t>
      </w:r>
    </w:p>
    <w:p w:rsidR="00A970CD" w:rsidRDefault="00A970CD" w:rsidP="00A970CD">
      <w:pPr>
        <w:pStyle w:val="ListParagraph"/>
        <w:spacing w:before="120"/>
        <w:ind w:left="1800"/>
        <w:jc w:val="both"/>
        <w:rPr>
          <w:rFonts w:eastAsia="MS Mincho" w:cs="Times New Roman"/>
          <w:noProof/>
          <w:szCs w:val="32"/>
          <w:lang w:val="fr-FR"/>
        </w:rPr>
      </w:pPr>
    </w:p>
    <w:p w:rsidR="00A970CD" w:rsidRDefault="00A970CD" w:rsidP="00A970CD">
      <w:pPr>
        <w:pStyle w:val="ListParagraph"/>
        <w:spacing w:before="120"/>
        <w:ind w:left="1800"/>
        <w:jc w:val="both"/>
        <w:rPr>
          <w:rFonts w:eastAsia="MS Mincho" w:cs="Times New Roman"/>
          <w:noProof/>
          <w:szCs w:val="32"/>
          <w:lang w:val="fr-FR"/>
        </w:rPr>
      </w:pPr>
    </w:p>
    <w:p w:rsidR="00A970CD" w:rsidRDefault="00A970CD" w:rsidP="00A970CD">
      <w:pPr>
        <w:pStyle w:val="ListParagraph"/>
        <w:spacing w:before="120"/>
        <w:ind w:left="0"/>
        <w:jc w:val="both"/>
        <w:rPr>
          <w:rFonts w:eastAsia="MS Mincho" w:cs="Times New Roman"/>
          <w:noProof/>
          <w:szCs w:val="32"/>
          <w:lang w:val="fr-FR"/>
        </w:rPr>
      </w:pPr>
      <w:r>
        <w:rPr>
          <w:rFonts w:eastAsia="MS Mincho" w:cs="Times New Roman"/>
          <w:noProof/>
          <w:szCs w:val="32"/>
        </w:rPr>
        <w:lastRenderedPageBreak/>
        <w:drawing>
          <wp:inline distT="0" distB="0" distL="0" distR="0" wp14:anchorId="0E7630D4" wp14:editId="673C0077">
            <wp:extent cx="5049078" cy="240924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62690" cy="2415740"/>
                    </a:xfrm>
                    <a:prstGeom prst="rect">
                      <a:avLst/>
                    </a:prstGeom>
                    <a:noFill/>
                  </pic:spPr>
                </pic:pic>
              </a:graphicData>
            </a:graphic>
          </wp:inline>
        </w:drawing>
      </w:r>
    </w:p>
    <w:p w:rsidR="00A970CD" w:rsidRPr="00203095" w:rsidRDefault="00A970CD" w:rsidP="00A970CD">
      <w:pPr>
        <w:pStyle w:val="ListParagraph"/>
        <w:spacing w:before="120"/>
        <w:ind w:left="1800"/>
        <w:jc w:val="both"/>
        <w:rPr>
          <w:rFonts w:eastAsia="MS Mincho" w:cs="Times New Roman"/>
          <w:noProof/>
          <w:szCs w:val="32"/>
          <w:lang w:val="fr-FR"/>
        </w:rPr>
      </w:pPr>
    </w:p>
    <w:p w:rsidR="00A970CD" w:rsidRDefault="00A970CD" w:rsidP="00A970CD">
      <w:pPr>
        <w:pStyle w:val="ListParagraph"/>
        <w:numPr>
          <w:ilvl w:val="2"/>
          <w:numId w:val="15"/>
        </w:numPr>
        <w:spacing w:before="120"/>
        <w:jc w:val="both"/>
        <w:rPr>
          <w:rFonts w:eastAsia="MS Mincho" w:cs="Times New Roman"/>
          <w:noProof/>
          <w:szCs w:val="32"/>
          <w:lang w:val="fr-FR"/>
        </w:rPr>
      </w:pPr>
      <w:r>
        <w:rPr>
          <w:rFonts w:eastAsia="MS Mincho" w:cs="Times New Roman"/>
          <w:noProof/>
          <w:szCs w:val="32"/>
          <w:lang w:val="fr-FR"/>
        </w:rPr>
        <w:t xml:space="preserve">Cette solution n’est pas efficiente </w:t>
      </w:r>
    </w:p>
    <w:p w:rsidR="00A970CD" w:rsidRDefault="00A970CD" w:rsidP="00A970CD">
      <w:pPr>
        <w:pStyle w:val="ListParagraph"/>
        <w:numPr>
          <w:ilvl w:val="3"/>
          <w:numId w:val="15"/>
        </w:numPr>
        <w:spacing w:before="120"/>
        <w:jc w:val="both"/>
        <w:rPr>
          <w:rFonts w:eastAsia="MS Mincho" w:cs="Times New Roman"/>
          <w:noProof/>
          <w:szCs w:val="32"/>
          <w:lang w:val="fr-FR"/>
        </w:rPr>
      </w:pPr>
      <w:r>
        <w:rPr>
          <w:rFonts w:eastAsia="MS Mincho" w:cs="Times New Roman"/>
          <w:noProof/>
          <w:szCs w:val="32"/>
          <w:lang w:val="fr-FR"/>
        </w:rPr>
        <w:t>Pour les cessions temporaires à taux variables necéssitant d’instruire la restituation à l’échéance du contrat en raison du calcul de la rémunération. (</w:t>
      </w:r>
      <w:r w:rsidRPr="00EF13A1">
        <w:rPr>
          <w:rFonts w:eastAsia="MS Mincho" w:cs="Times New Roman"/>
          <w:noProof/>
          <w:szCs w:val="32"/>
          <w:lang w:val="fr-FR"/>
        </w:rPr>
        <w:t>Cf. MS-SETTL-CRISTALLISATION-REPOS-01</w:t>
      </w:r>
      <w:r>
        <w:rPr>
          <w:rFonts w:eastAsia="MS Mincho" w:cs="Times New Roman"/>
          <w:noProof/>
          <w:szCs w:val="32"/>
          <w:lang w:val="fr-FR"/>
        </w:rPr>
        <w:t xml:space="preserve">). </w:t>
      </w:r>
    </w:p>
    <w:p w:rsidR="00A970CD" w:rsidRDefault="00A970CD" w:rsidP="00A970CD">
      <w:pPr>
        <w:pStyle w:val="ListParagraph"/>
        <w:numPr>
          <w:ilvl w:val="3"/>
          <w:numId w:val="15"/>
        </w:numPr>
        <w:spacing w:before="120"/>
        <w:jc w:val="both"/>
        <w:rPr>
          <w:rFonts w:eastAsia="MS Mincho" w:cs="Times New Roman"/>
          <w:i/>
          <w:noProof/>
          <w:szCs w:val="32"/>
          <w:lang w:val="fr-FR"/>
        </w:rPr>
      </w:pPr>
      <w:r>
        <w:rPr>
          <w:rFonts w:eastAsia="MS Mincho" w:cs="Times New Roman"/>
          <w:noProof/>
          <w:szCs w:val="32"/>
          <w:lang w:val="fr-FR"/>
        </w:rPr>
        <w:t>Pour les valeurs en FMT. Les règles de détections ne s’appuient pas sur la TD. Dans cette configuration, même en cas de saisie concomitante des jambes Aller/Retour, seules les dates de dénouement théoriques et réelles (ISD/ASD) seront efficientes pour la détection</w:t>
      </w:r>
      <w:r w:rsidRPr="00EF13A1">
        <w:rPr>
          <w:rFonts w:eastAsia="MS Mincho" w:cs="Times New Roman"/>
          <w:i/>
          <w:noProof/>
          <w:szCs w:val="32"/>
          <w:lang w:val="fr-FR"/>
        </w:rPr>
        <w:t xml:space="preserve">.  </w:t>
      </w:r>
      <w:r w:rsidRPr="00D63095">
        <w:rPr>
          <w:rFonts w:eastAsia="MS Mincho" w:cs="Times New Roman"/>
          <w:i/>
          <w:noProof/>
          <w:color w:val="00B050"/>
          <w:szCs w:val="32"/>
          <w:lang w:val="fr-FR"/>
        </w:rPr>
        <w:t>Cf.Règle (3)</w:t>
      </w:r>
      <w:r>
        <w:rPr>
          <w:rFonts w:eastAsia="MS Mincho" w:cs="Times New Roman"/>
          <w:i/>
          <w:noProof/>
          <w:szCs w:val="32"/>
          <w:lang w:val="fr-FR"/>
        </w:rPr>
        <w:t>.</w:t>
      </w:r>
    </w:p>
    <w:p w:rsidR="00A970CD" w:rsidRPr="00945650" w:rsidRDefault="00A970CD" w:rsidP="00A970CD">
      <w:pPr>
        <w:pStyle w:val="ListParagraph"/>
        <w:numPr>
          <w:ilvl w:val="3"/>
          <w:numId w:val="15"/>
        </w:numPr>
        <w:spacing w:before="120"/>
        <w:jc w:val="both"/>
        <w:rPr>
          <w:rFonts w:eastAsia="MS Mincho" w:cs="Times New Roman"/>
          <w:i/>
          <w:noProof/>
          <w:szCs w:val="32"/>
          <w:lang w:val="fr-FR"/>
        </w:rPr>
      </w:pPr>
      <w:r w:rsidRPr="00DC5394">
        <w:rPr>
          <w:rFonts w:eastAsia="MS Mincho" w:cs="Times New Roman"/>
          <w:noProof/>
          <w:szCs w:val="32"/>
          <w:lang w:val="fr-FR"/>
        </w:rPr>
        <w:t>Toutes les OST intervenant avant la rétrocession ne sont pas détectées et feront l’objet d’une rétrocession bilatérale (cas le plus fréquent).</w:t>
      </w:r>
    </w:p>
    <w:p w:rsidR="00A970CD" w:rsidRPr="00945650" w:rsidRDefault="00A970CD" w:rsidP="00A970CD">
      <w:pPr>
        <w:pStyle w:val="ListParagraph"/>
        <w:numPr>
          <w:ilvl w:val="3"/>
          <w:numId w:val="15"/>
        </w:numPr>
        <w:spacing w:before="120"/>
        <w:jc w:val="both"/>
        <w:rPr>
          <w:rFonts w:eastAsia="MS Mincho" w:cs="Times New Roman"/>
          <w:i/>
          <w:noProof/>
          <w:szCs w:val="32"/>
          <w:lang w:val="fr-FR"/>
        </w:rPr>
      </w:pPr>
      <w:r w:rsidRPr="00945650">
        <w:rPr>
          <w:rFonts w:eastAsia="MS Mincho" w:cs="Times New Roman"/>
          <w:noProof/>
          <w:szCs w:val="32"/>
          <w:lang w:val="fr-FR"/>
        </w:rPr>
        <w:t>Illustration (non exhaustive)</w:t>
      </w:r>
    </w:p>
    <w:p w:rsidR="00A970CD" w:rsidRDefault="00A970CD" w:rsidP="00A970CD">
      <w:pPr>
        <w:pStyle w:val="ListParagraph"/>
        <w:spacing w:before="120"/>
        <w:ind w:left="1800"/>
        <w:jc w:val="both"/>
        <w:rPr>
          <w:rFonts w:eastAsia="MS Mincho" w:cs="Times New Roman"/>
          <w:i/>
          <w:noProof/>
          <w:szCs w:val="32"/>
          <w:lang w:val="fr-FR"/>
        </w:rPr>
      </w:pPr>
    </w:p>
    <w:p w:rsidR="00A970CD" w:rsidRPr="00EF13A1" w:rsidRDefault="00A970CD" w:rsidP="00A970CD">
      <w:pPr>
        <w:pStyle w:val="ListParagraph"/>
        <w:spacing w:before="120"/>
        <w:ind w:left="0"/>
        <w:jc w:val="both"/>
        <w:rPr>
          <w:rFonts w:eastAsia="MS Mincho" w:cs="Times New Roman"/>
          <w:i/>
          <w:noProof/>
          <w:szCs w:val="32"/>
          <w:lang w:val="fr-FR"/>
        </w:rPr>
      </w:pPr>
      <w:r>
        <w:rPr>
          <w:rFonts w:eastAsia="MS Mincho" w:cs="Times New Roman"/>
          <w:noProof/>
          <w:szCs w:val="32"/>
        </w:rPr>
        <w:drawing>
          <wp:inline distT="0" distB="0" distL="0" distR="0" wp14:anchorId="535C8C17" wp14:editId="20773C94">
            <wp:extent cx="5041127" cy="1900361"/>
            <wp:effectExtent l="0" t="0" r="7620" b="508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6152" cy="1902255"/>
                    </a:xfrm>
                    <a:prstGeom prst="rect">
                      <a:avLst/>
                    </a:prstGeom>
                    <a:noFill/>
                  </pic:spPr>
                </pic:pic>
              </a:graphicData>
            </a:graphic>
          </wp:inline>
        </w:drawing>
      </w:r>
    </w:p>
    <w:p w:rsidR="00A970CD" w:rsidRPr="00D63095" w:rsidRDefault="00A970CD" w:rsidP="00A970CD">
      <w:pPr>
        <w:spacing w:before="120"/>
        <w:jc w:val="both"/>
        <w:rPr>
          <w:rFonts w:eastAsia="MS Mincho" w:cs="Times New Roman"/>
          <w:noProof/>
          <w:szCs w:val="32"/>
          <w:lang w:val="fr-FR"/>
        </w:rPr>
      </w:pPr>
    </w:p>
    <w:p w:rsidR="00A970CD" w:rsidRDefault="00A970CD" w:rsidP="00A970CD">
      <w:pPr>
        <w:pStyle w:val="ListParagraph"/>
        <w:numPr>
          <w:ilvl w:val="0"/>
          <w:numId w:val="15"/>
        </w:numPr>
        <w:spacing w:before="120"/>
        <w:jc w:val="both"/>
        <w:rPr>
          <w:rFonts w:eastAsia="MS Mincho" w:cs="Times New Roman"/>
          <w:noProof/>
          <w:szCs w:val="32"/>
          <w:lang w:val="fr-FR"/>
        </w:rPr>
      </w:pPr>
      <w:r w:rsidRPr="006F4AF5">
        <w:rPr>
          <w:rFonts w:eastAsia="MS Mincho" w:cs="Times New Roman"/>
          <w:noProof/>
          <w:szCs w:val="32"/>
          <w:lang w:val="fr-FR"/>
        </w:rPr>
        <w:t>Si l</w:t>
      </w:r>
      <w:r>
        <w:rPr>
          <w:rFonts w:eastAsia="MS Mincho" w:cs="Times New Roman"/>
          <w:noProof/>
          <w:szCs w:val="32"/>
          <w:lang w:val="fr-FR"/>
        </w:rPr>
        <w:t>e moment de la S</w:t>
      </w:r>
      <w:r w:rsidRPr="006F4AF5">
        <w:rPr>
          <w:rFonts w:eastAsia="MS Mincho" w:cs="Times New Roman"/>
          <w:noProof/>
          <w:szCs w:val="32"/>
          <w:lang w:val="fr-FR"/>
        </w:rPr>
        <w:t>aisie</w:t>
      </w:r>
      <w:r>
        <w:rPr>
          <w:rFonts w:eastAsia="MS Mincho" w:cs="Times New Roman"/>
          <w:noProof/>
          <w:szCs w:val="32"/>
          <w:lang w:val="fr-FR"/>
        </w:rPr>
        <w:t>/Appariement</w:t>
      </w:r>
      <w:r w:rsidRPr="006F4AF5">
        <w:rPr>
          <w:rFonts w:eastAsia="MS Mincho" w:cs="Times New Roman"/>
          <w:noProof/>
          <w:szCs w:val="32"/>
          <w:lang w:val="fr-FR"/>
        </w:rPr>
        <w:t xml:space="preserve"> </w:t>
      </w:r>
      <w:r>
        <w:rPr>
          <w:rFonts w:eastAsia="MS Mincho" w:cs="Times New Roman"/>
          <w:noProof/>
          <w:szCs w:val="32"/>
          <w:lang w:val="fr-FR"/>
        </w:rPr>
        <w:t xml:space="preserve">des jambes Aller/Retour est dissocié, impliquant une saisie de la restitution à l’échéance du contrat,  les règles de détections </w:t>
      </w:r>
      <w:r w:rsidRPr="006F4AF5">
        <w:rPr>
          <w:rFonts w:eastAsia="MS Mincho" w:cs="Times New Roman"/>
          <w:noProof/>
          <w:szCs w:val="32"/>
          <w:lang w:val="fr-FR"/>
        </w:rPr>
        <w:t xml:space="preserve">des </w:t>
      </w:r>
      <w:r>
        <w:rPr>
          <w:rFonts w:eastAsia="MS Mincho" w:cs="Times New Roman"/>
          <w:noProof/>
          <w:szCs w:val="32"/>
          <w:lang w:val="fr-FR"/>
        </w:rPr>
        <w:t xml:space="preserve">OST sur flux sont </w:t>
      </w:r>
      <w:r>
        <w:rPr>
          <w:rFonts w:eastAsia="MS Mincho" w:cs="Times New Roman"/>
          <w:noProof/>
          <w:szCs w:val="32"/>
          <w:lang w:val="fr-FR"/>
        </w:rPr>
        <w:lastRenderedPageBreak/>
        <w:t xml:space="preserve">contraintes par une limite de temps de 20 jours après la RD de l’OST peu importe l’antériorité de la TD.  </w:t>
      </w:r>
    </w:p>
    <w:p w:rsidR="00A970CD" w:rsidRDefault="00A970CD" w:rsidP="00A970CD">
      <w:pPr>
        <w:pStyle w:val="ListParagraph"/>
        <w:spacing w:before="120"/>
        <w:jc w:val="both"/>
        <w:rPr>
          <w:rFonts w:eastAsia="MS Mincho" w:cs="Times New Roman"/>
          <w:noProof/>
          <w:szCs w:val="32"/>
          <w:lang w:val="fr-FR"/>
        </w:rPr>
      </w:pPr>
    </w:p>
    <w:p w:rsidR="00A970CD" w:rsidRDefault="00A970CD" w:rsidP="00A970CD">
      <w:pPr>
        <w:pStyle w:val="ListParagraph"/>
        <w:numPr>
          <w:ilvl w:val="1"/>
          <w:numId w:val="15"/>
        </w:numPr>
        <w:spacing w:before="120"/>
        <w:jc w:val="both"/>
        <w:rPr>
          <w:rFonts w:eastAsia="MS Mincho" w:cs="Times New Roman"/>
          <w:noProof/>
          <w:szCs w:val="32"/>
          <w:lang w:val="fr-FR"/>
        </w:rPr>
      </w:pPr>
      <w:r w:rsidRPr="00A50FBE">
        <w:rPr>
          <w:rFonts w:eastAsia="MS Mincho" w:cs="Times New Roman"/>
          <w:noProof/>
          <w:szCs w:val="32"/>
          <w:lang w:val="fr-FR"/>
        </w:rPr>
        <w:t>Comportement de</w:t>
      </w:r>
      <w:r>
        <w:rPr>
          <w:rFonts w:eastAsia="MS Mincho" w:cs="Times New Roman"/>
          <w:noProof/>
          <w:szCs w:val="32"/>
          <w:lang w:val="fr-FR"/>
        </w:rPr>
        <w:t xml:space="preserve">s </w:t>
      </w:r>
      <w:r w:rsidRPr="00A50FBE">
        <w:rPr>
          <w:rFonts w:eastAsia="MS Mincho" w:cs="Times New Roman"/>
          <w:noProof/>
          <w:szCs w:val="32"/>
          <w:lang w:val="fr-FR"/>
        </w:rPr>
        <w:t xml:space="preserve"> </w:t>
      </w:r>
      <w:r w:rsidRPr="00A50FBE">
        <w:rPr>
          <w:rFonts w:eastAsia="MS Mincho" w:cs="Times New Roman"/>
          <w:b/>
          <w:noProof/>
          <w:color w:val="00B050"/>
          <w:szCs w:val="32"/>
          <w:lang w:val="fr-FR"/>
        </w:rPr>
        <w:t>Règle</w:t>
      </w:r>
      <w:r>
        <w:rPr>
          <w:rFonts w:eastAsia="MS Mincho" w:cs="Times New Roman"/>
          <w:b/>
          <w:noProof/>
          <w:color w:val="00B050"/>
          <w:szCs w:val="32"/>
          <w:lang w:val="fr-FR"/>
        </w:rPr>
        <w:t>s</w:t>
      </w:r>
      <w:r w:rsidRPr="00A50FBE">
        <w:rPr>
          <w:rFonts w:eastAsia="MS Mincho" w:cs="Times New Roman"/>
          <w:b/>
          <w:noProof/>
          <w:color w:val="00B050"/>
          <w:szCs w:val="32"/>
          <w:lang w:val="fr-FR"/>
        </w:rPr>
        <w:t xml:space="preserve"> (1)</w:t>
      </w:r>
      <w:r w:rsidRPr="00A50FBE">
        <w:rPr>
          <w:rFonts w:eastAsia="MS Mincho" w:cs="Times New Roman"/>
          <w:noProof/>
          <w:szCs w:val="32"/>
          <w:lang w:val="fr-FR"/>
        </w:rPr>
        <w:t xml:space="preserve"> </w:t>
      </w:r>
      <w:r w:rsidRPr="00DC5394">
        <w:rPr>
          <w:rFonts w:eastAsia="MS Mincho" w:cs="Times New Roman"/>
          <w:b/>
          <w:noProof/>
          <w:color w:val="00B050"/>
          <w:szCs w:val="32"/>
          <w:lang w:val="fr-FR"/>
        </w:rPr>
        <w:t>et (2)</w:t>
      </w:r>
      <w:r w:rsidRPr="00DC5394">
        <w:rPr>
          <w:rFonts w:eastAsia="MS Mincho" w:cs="Times New Roman"/>
          <w:noProof/>
          <w:color w:val="00B050"/>
          <w:szCs w:val="32"/>
          <w:lang w:val="fr-FR"/>
        </w:rPr>
        <w:t xml:space="preserve"> </w:t>
      </w:r>
      <w:r w:rsidRPr="00A50FBE">
        <w:rPr>
          <w:rFonts w:eastAsia="MS Mincho" w:cs="Times New Roman"/>
          <w:noProof/>
          <w:szCs w:val="32"/>
          <w:lang w:val="fr-FR"/>
        </w:rPr>
        <w:t>pour les Titres de capitaux en UNITE</w:t>
      </w:r>
      <w:r>
        <w:rPr>
          <w:rFonts w:eastAsia="MS Mincho" w:cs="Times New Roman"/>
          <w:noProof/>
          <w:szCs w:val="32"/>
          <w:lang w:val="fr-FR"/>
        </w:rPr>
        <w:t>.</w:t>
      </w:r>
    </w:p>
    <w:p w:rsidR="00A970CD" w:rsidRDefault="00A970CD" w:rsidP="00A970CD">
      <w:pPr>
        <w:pStyle w:val="ListParagraph"/>
        <w:numPr>
          <w:ilvl w:val="3"/>
          <w:numId w:val="15"/>
        </w:numPr>
        <w:spacing w:before="120"/>
        <w:ind w:left="1565" w:hanging="425"/>
        <w:jc w:val="both"/>
        <w:rPr>
          <w:rFonts w:eastAsia="MS Mincho" w:cs="Times New Roman"/>
          <w:noProof/>
          <w:szCs w:val="32"/>
          <w:lang w:val="fr-FR"/>
        </w:rPr>
      </w:pPr>
      <w:r w:rsidRPr="00A50FBE">
        <w:rPr>
          <w:rFonts w:eastAsia="MS Mincho" w:cs="Times New Roman"/>
          <w:noProof/>
          <w:szCs w:val="32"/>
          <w:lang w:val="fr-FR"/>
        </w:rPr>
        <w:t>La détection des OST sur flux est soumise à des conditions particul</w:t>
      </w:r>
      <w:r>
        <w:rPr>
          <w:rFonts w:eastAsia="MS Mincho" w:cs="Times New Roman"/>
          <w:noProof/>
          <w:szCs w:val="32"/>
          <w:lang w:val="fr-FR"/>
        </w:rPr>
        <w:t xml:space="preserve">ières et n’est pas systématique. </w:t>
      </w:r>
      <w:r w:rsidRPr="00A50FBE">
        <w:rPr>
          <w:rFonts w:eastAsia="MS Mincho" w:cs="Times New Roman"/>
          <w:noProof/>
          <w:szCs w:val="32"/>
          <w:lang w:val="fr-FR"/>
        </w:rPr>
        <w:t xml:space="preserve">Toutes les OST intervenant avant la rétrocession </w:t>
      </w:r>
      <w:r>
        <w:rPr>
          <w:rFonts w:eastAsia="MS Mincho" w:cs="Times New Roman"/>
          <w:noProof/>
          <w:szCs w:val="32"/>
          <w:lang w:val="fr-FR"/>
        </w:rPr>
        <w:t xml:space="preserve">et dont le TD et l’ASD ne répondent pas aux critères de détections, </w:t>
      </w:r>
      <w:r w:rsidRPr="00A50FBE">
        <w:rPr>
          <w:rFonts w:eastAsia="MS Mincho" w:cs="Times New Roman"/>
          <w:noProof/>
          <w:szCs w:val="32"/>
          <w:lang w:val="fr-FR"/>
        </w:rPr>
        <w:t>ne sont pas détectées et feront l’objet d’une rétrocession bilatérale (cas le plus fréquent).</w:t>
      </w:r>
    </w:p>
    <w:p w:rsidR="00A970CD" w:rsidRPr="00DC5394" w:rsidRDefault="00A970CD" w:rsidP="00A970CD">
      <w:pPr>
        <w:pStyle w:val="ListParagraph"/>
        <w:numPr>
          <w:ilvl w:val="3"/>
          <w:numId w:val="15"/>
        </w:numPr>
        <w:spacing w:before="120"/>
        <w:ind w:left="1565" w:hanging="425"/>
        <w:jc w:val="both"/>
        <w:rPr>
          <w:rFonts w:eastAsia="MS Mincho" w:cs="Times New Roman"/>
          <w:noProof/>
          <w:szCs w:val="32"/>
          <w:lang w:val="fr-FR"/>
        </w:rPr>
      </w:pPr>
      <w:r>
        <w:rPr>
          <w:rFonts w:eastAsia="MS Mincho" w:cs="Times New Roman"/>
          <w:noProof/>
          <w:szCs w:val="32"/>
          <w:lang w:val="fr-FR"/>
        </w:rPr>
        <w:t xml:space="preserve">Le comportement est sensiblement le même pour les valeurs répondant de la </w:t>
      </w:r>
      <w:r w:rsidRPr="00DC5394">
        <w:rPr>
          <w:rFonts w:eastAsia="MS Mincho" w:cs="Times New Roman"/>
          <w:b/>
          <w:noProof/>
          <w:color w:val="00B050"/>
          <w:szCs w:val="32"/>
          <w:lang w:val="fr-FR"/>
        </w:rPr>
        <w:t>règle (2)</w:t>
      </w:r>
      <w:r w:rsidRPr="00DC5394">
        <w:rPr>
          <w:rFonts w:eastAsia="MS Mincho" w:cs="Times New Roman"/>
          <w:noProof/>
          <w:color w:val="00B050"/>
          <w:szCs w:val="32"/>
          <w:lang w:val="fr-FR"/>
        </w:rPr>
        <w:t xml:space="preserve"> </w:t>
      </w:r>
      <w:r>
        <w:rPr>
          <w:rFonts w:eastAsia="MS Mincho" w:cs="Times New Roman"/>
          <w:noProof/>
          <w:szCs w:val="32"/>
          <w:lang w:val="fr-FR"/>
        </w:rPr>
        <w:t xml:space="preserve">pour laquelle le séquencement de date est différent </w:t>
      </w:r>
      <w:r w:rsidRPr="00DC5394">
        <w:rPr>
          <w:rFonts w:eastAsia="MS Mincho" w:cs="Times New Roman"/>
          <w:noProof/>
          <w:szCs w:val="32"/>
          <w:lang w:val="fr-FR"/>
        </w:rPr>
        <w:t xml:space="preserve">(l’Ex-Date = la Payment-Date) </w:t>
      </w:r>
    </w:p>
    <w:p w:rsidR="00A970CD" w:rsidRDefault="00A970CD" w:rsidP="00A970CD">
      <w:pPr>
        <w:pStyle w:val="ListParagraph"/>
        <w:numPr>
          <w:ilvl w:val="3"/>
          <w:numId w:val="15"/>
        </w:numPr>
        <w:spacing w:before="120"/>
        <w:ind w:left="1565" w:hanging="425"/>
        <w:jc w:val="both"/>
        <w:rPr>
          <w:rFonts w:eastAsia="MS Mincho" w:cs="Times New Roman"/>
          <w:noProof/>
          <w:szCs w:val="32"/>
          <w:lang w:val="fr-FR"/>
        </w:rPr>
      </w:pPr>
      <w:r>
        <w:rPr>
          <w:rFonts w:eastAsia="MS Mincho" w:cs="Times New Roman"/>
          <w:noProof/>
          <w:szCs w:val="32"/>
          <w:lang w:val="fr-FR"/>
        </w:rPr>
        <w:t>Illustration (non exhaustive)</w:t>
      </w:r>
    </w:p>
    <w:p w:rsidR="00A970CD" w:rsidRPr="00A50FBE" w:rsidRDefault="00A970CD" w:rsidP="00A970CD">
      <w:pPr>
        <w:pStyle w:val="ListParagraph"/>
        <w:spacing w:before="120"/>
        <w:ind w:left="1565"/>
        <w:jc w:val="both"/>
        <w:rPr>
          <w:rFonts w:eastAsia="MS Mincho" w:cs="Times New Roman"/>
          <w:noProof/>
          <w:szCs w:val="32"/>
          <w:lang w:val="fr-FR"/>
        </w:rPr>
      </w:pPr>
    </w:p>
    <w:p w:rsidR="00A970CD" w:rsidRDefault="00A970CD" w:rsidP="00A970CD">
      <w:pPr>
        <w:spacing w:before="120"/>
        <w:rPr>
          <w:rFonts w:eastAsia="MS Mincho" w:cs="Times New Roman"/>
          <w:noProof/>
          <w:szCs w:val="32"/>
          <w:lang w:val="fr-FR"/>
        </w:rPr>
      </w:pPr>
      <w:r>
        <w:rPr>
          <w:rFonts w:eastAsia="MS Mincho" w:cs="Times New Roman"/>
          <w:noProof/>
          <w:szCs w:val="32"/>
        </w:rPr>
        <w:drawing>
          <wp:inline distT="0" distB="0" distL="0" distR="0" wp14:anchorId="182A7DC1" wp14:editId="312724B0">
            <wp:extent cx="5025224" cy="2411460"/>
            <wp:effectExtent l="0" t="0" r="4445" b="8255"/>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7927" cy="2412757"/>
                    </a:xfrm>
                    <a:prstGeom prst="rect">
                      <a:avLst/>
                    </a:prstGeom>
                    <a:noFill/>
                  </pic:spPr>
                </pic:pic>
              </a:graphicData>
            </a:graphic>
          </wp:inline>
        </w:drawing>
      </w:r>
    </w:p>
    <w:p w:rsidR="00A970CD" w:rsidRDefault="00A970CD" w:rsidP="00A970CD">
      <w:pPr>
        <w:pStyle w:val="ListParagraph"/>
        <w:spacing w:before="120"/>
        <w:ind w:left="1080"/>
        <w:jc w:val="both"/>
        <w:rPr>
          <w:rFonts w:eastAsia="MS Mincho" w:cs="Times New Roman"/>
          <w:noProof/>
          <w:szCs w:val="32"/>
          <w:lang w:val="fr-FR"/>
        </w:rPr>
      </w:pPr>
    </w:p>
    <w:p w:rsidR="00A970CD" w:rsidRDefault="00A970CD" w:rsidP="00A970CD">
      <w:pPr>
        <w:pStyle w:val="ListParagraph"/>
        <w:numPr>
          <w:ilvl w:val="1"/>
          <w:numId w:val="15"/>
        </w:numPr>
        <w:spacing w:before="120"/>
        <w:jc w:val="both"/>
        <w:rPr>
          <w:rFonts w:eastAsia="MS Mincho" w:cs="Times New Roman"/>
          <w:noProof/>
          <w:szCs w:val="32"/>
          <w:lang w:val="fr-FR"/>
        </w:rPr>
      </w:pPr>
      <w:r w:rsidRPr="00A50FBE">
        <w:rPr>
          <w:rFonts w:eastAsia="MS Mincho" w:cs="Times New Roman"/>
          <w:noProof/>
          <w:szCs w:val="32"/>
          <w:lang w:val="fr-FR"/>
        </w:rPr>
        <w:t>Comportement de</w:t>
      </w:r>
      <w:r>
        <w:rPr>
          <w:rFonts w:eastAsia="MS Mincho" w:cs="Times New Roman"/>
          <w:noProof/>
          <w:szCs w:val="32"/>
          <w:lang w:val="fr-FR"/>
        </w:rPr>
        <w:t xml:space="preserve">s </w:t>
      </w:r>
      <w:r w:rsidRPr="00A50FBE">
        <w:rPr>
          <w:rFonts w:eastAsia="MS Mincho" w:cs="Times New Roman"/>
          <w:noProof/>
          <w:szCs w:val="32"/>
          <w:lang w:val="fr-FR"/>
        </w:rPr>
        <w:t xml:space="preserve"> </w:t>
      </w:r>
      <w:r w:rsidRPr="00A50FBE">
        <w:rPr>
          <w:rFonts w:eastAsia="MS Mincho" w:cs="Times New Roman"/>
          <w:b/>
          <w:noProof/>
          <w:color w:val="00B050"/>
          <w:szCs w:val="32"/>
          <w:lang w:val="fr-FR"/>
        </w:rPr>
        <w:t>Règle</w:t>
      </w:r>
      <w:r>
        <w:rPr>
          <w:rFonts w:eastAsia="MS Mincho" w:cs="Times New Roman"/>
          <w:b/>
          <w:noProof/>
          <w:color w:val="00B050"/>
          <w:szCs w:val="32"/>
          <w:lang w:val="fr-FR"/>
        </w:rPr>
        <w:t>s</w:t>
      </w:r>
      <w:r w:rsidRPr="00A50FBE">
        <w:rPr>
          <w:rFonts w:eastAsia="MS Mincho" w:cs="Times New Roman"/>
          <w:b/>
          <w:noProof/>
          <w:color w:val="00B050"/>
          <w:szCs w:val="32"/>
          <w:lang w:val="fr-FR"/>
        </w:rPr>
        <w:t xml:space="preserve"> (</w:t>
      </w:r>
      <w:r>
        <w:rPr>
          <w:rFonts w:eastAsia="MS Mincho" w:cs="Times New Roman"/>
          <w:b/>
          <w:noProof/>
          <w:color w:val="00B050"/>
          <w:szCs w:val="32"/>
          <w:lang w:val="fr-FR"/>
        </w:rPr>
        <w:t>3</w:t>
      </w:r>
      <w:r w:rsidRPr="00A50FBE">
        <w:rPr>
          <w:rFonts w:eastAsia="MS Mincho" w:cs="Times New Roman"/>
          <w:b/>
          <w:noProof/>
          <w:color w:val="00B050"/>
          <w:szCs w:val="32"/>
          <w:lang w:val="fr-FR"/>
        </w:rPr>
        <w:t>)</w:t>
      </w:r>
      <w:r w:rsidRPr="00A50FBE">
        <w:rPr>
          <w:rFonts w:eastAsia="MS Mincho" w:cs="Times New Roman"/>
          <w:noProof/>
          <w:szCs w:val="32"/>
          <w:lang w:val="fr-FR"/>
        </w:rPr>
        <w:t xml:space="preserve"> pour les Titres de </w:t>
      </w:r>
      <w:r>
        <w:rPr>
          <w:rFonts w:eastAsia="MS Mincho" w:cs="Times New Roman"/>
          <w:noProof/>
          <w:szCs w:val="32"/>
          <w:lang w:val="fr-FR"/>
        </w:rPr>
        <w:t xml:space="preserve">taux en FMT. </w:t>
      </w:r>
    </w:p>
    <w:p w:rsidR="00A970CD" w:rsidRDefault="00A970CD" w:rsidP="00A970CD">
      <w:pPr>
        <w:pStyle w:val="ListParagraph"/>
        <w:numPr>
          <w:ilvl w:val="3"/>
          <w:numId w:val="15"/>
        </w:numPr>
        <w:spacing w:before="120"/>
        <w:ind w:left="1565" w:hanging="425"/>
        <w:jc w:val="both"/>
        <w:rPr>
          <w:rFonts w:eastAsia="MS Mincho" w:cs="Times New Roman"/>
          <w:noProof/>
          <w:szCs w:val="32"/>
          <w:lang w:val="fr-FR"/>
        </w:rPr>
      </w:pPr>
      <w:r w:rsidRPr="00DC5394">
        <w:rPr>
          <w:rFonts w:eastAsia="MS Mincho" w:cs="Times New Roman"/>
          <w:noProof/>
          <w:szCs w:val="32"/>
          <w:lang w:val="fr-FR"/>
        </w:rPr>
        <w:t xml:space="preserve">Les règles de détection </w:t>
      </w:r>
      <w:r>
        <w:rPr>
          <w:rFonts w:eastAsia="MS Mincho" w:cs="Times New Roman"/>
          <w:noProof/>
          <w:szCs w:val="32"/>
          <w:lang w:val="fr-FR"/>
        </w:rPr>
        <w:t xml:space="preserve">tiennent compte de la double condition liée vis-à-vis de la RD, l’antériorité de l’ISD et la postériorité de l’ASD. </w:t>
      </w:r>
      <w:r w:rsidRPr="00DC5394">
        <w:rPr>
          <w:rFonts w:eastAsia="MS Mincho" w:cs="Times New Roman"/>
          <w:noProof/>
          <w:szCs w:val="32"/>
          <w:lang w:val="fr-FR"/>
        </w:rPr>
        <w:t>Toutes les OST</w:t>
      </w:r>
      <w:r>
        <w:rPr>
          <w:rFonts w:eastAsia="MS Mincho" w:cs="Times New Roman"/>
          <w:noProof/>
          <w:szCs w:val="32"/>
          <w:lang w:val="fr-FR"/>
        </w:rPr>
        <w:t xml:space="preserve"> sur flux</w:t>
      </w:r>
      <w:r w:rsidRPr="00DC5394">
        <w:rPr>
          <w:rFonts w:eastAsia="MS Mincho" w:cs="Times New Roman"/>
          <w:noProof/>
          <w:szCs w:val="32"/>
          <w:lang w:val="fr-FR"/>
        </w:rPr>
        <w:t xml:space="preserve"> intervenant avant la </w:t>
      </w:r>
      <w:r>
        <w:rPr>
          <w:rFonts w:eastAsia="MS Mincho" w:cs="Times New Roman"/>
          <w:noProof/>
          <w:szCs w:val="32"/>
          <w:lang w:val="fr-FR"/>
        </w:rPr>
        <w:t xml:space="preserve">date de dénouement théorique de la restitution </w:t>
      </w:r>
      <w:r w:rsidRPr="00DC5394">
        <w:rPr>
          <w:rFonts w:eastAsia="MS Mincho" w:cs="Times New Roman"/>
          <w:noProof/>
          <w:szCs w:val="32"/>
          <w:lang w:val="fr-FR"/>
        </w:rPr>
        <w:t xml:space="preserve">sont </w:t>
      </w:r>
      <w:r>
        <w:rPr>
          <w:rFonts w:eastAsia="MS Mincho" w:cs="Times New Roman"/>
          <w:noProof/>
          <w:szCs w:val="32"/>
          <w:lang w:val="fr-FR"/>
        </w:rPr>
        <w:t xml:space="preserve">exclues de la détection. Les </w:t>
      </w:r>
      <w:r w:rsidRPr="00DC5394">
        <w:rPr>
          <w:rFonts w:eastAsia="MS Mincho" w:cs="Times New Roman"/>
          <w:noProof/>
          <w:szCs w:val="32"/>
          <w:lang w:val="fr-FR"/>
        </w:rPr>
        <w:t xml:space="preserve"> rétrocession</w:t>
      </w:r>
      <w:r>
        <w:rPr>
          <w:rFonts w:eastAsia="MS Mincho" w:cs="Times New Roman"/>
          <w:noProof/>
          <w:szCs w:val="32"/>
          <w:lang w:val="fr-FR"/>
        </w:rPr>
        <w:t xml:space="preserve"> seront</w:t>
      </w:r>
      <w:r w:rsidRPr="00DC5394">
        <w:rPr>
          <w:rFonts w:eastAsia="MS Mincho" w:cs="Times New Roman"/>
          <w:noProof/>
          <w:szCs w:val="32"/>
          <w:lang w:val="fr-FR"/>
        </w:rPr>
        <w:t xml:space="preserve"> bilatérale</w:t>
      </w:r>
      <w:r>
        <w:rPr>
          <w:rFonts w:eastAsia="MS Mincho" w:cs="Times New Roman"/>
          <w:noProof/>
          <w:szCs w:val="32"/>
          <w:lang w:val="fr-FR"/>
        </w:rPr>
        <w:t>s</w:t>
      </w:r>
      <w:r w:rsidRPr="00DC5394">
        <w:rPr>
          <w:rFonts w:eastAsia="MS Mincho" w:cs="Times New Roman"/>
          <w:noProof/>
          <w:szCs w:val="32"/>
          <w:lang w:val="fr-FR"/>
        </w:rPr>
        <w:t xml:space="preserve"> (cas le plus fréquent). </w:t>
      </w:r>
    </w:p>
    <w:p w:rsidR="00A970CD" w:rsidRPr="00A50FBE" w:rsidRDefault="00A970CD" w:rsidP="00A970CD">
      <w:pPr>
        <w:pStyle w:val="ListParagraph"/>
        <w:numPr>
          <w:ilvl w:val="3"/>
          <w:numId w:val="15"/>
        </w:numPr>
        <w:spacing w:before="120"/>
        <w:ind w:left="1565" w:hanging="425"/>
        <w:jc w:val="both"/>
        <w:rPr>
          <w:rFonts w:eastAsia="MS Mincho" w:cs="Times New Roman"/>
          <w:noProof/>
          <w:szCs w:val="32"/>
          <w:lang w:val="fr-FR"/>
        </w:rPr>
      </w:pPr>
      <w:r>
        <w:rPr>
          <w:rFonts w:eastAsia="MS Mincho" w:cs="Times New Roman"/>
          <w:noProof/>
          <w:szCs w:val="32"/>
          <w:lang w:val="fr-FR"/>
        </w:rPr>
        <w:t>Illustration (non exhaustive)</w:t>
      </w:r>
    </w:p>
    <w:p w:rsidR="00A970CD" w:rsidRPr="00DC5394" w:rsidRDefault="00A970CD" w:rsidP="00A970CD">
      <w:pPr>
        <w:pStyle w:val="ListParagraph"/>
        <w:spacing w:before="120"/>
        <w:ind w:left="1565"/>
        <w:jc w:val="both"/>
        <w:rPr>
          <w:rFonts w:eastAsia="MS Mincho" w:cs="Times New Roman"/>
          <w:noProof/>
          <w:szCs w:val="32"/>
          <w:lang w:val="fr-FR"/>
        </w:rPr>
      </w:pPr>
    </w:p>
    <w:p w:rsidR="00A970CD" w:rsidRDefault="00A970CD" w:rsidP="00A970CD">
      <w:pPr>
        <w:spacing w:before="120"/>
        <w:rPr>
          <w:rFonts w:eastAsia="MS Mincho" w:cs="Times New Roman"/>
          <w:noProof/>
          <w:szCs w:val="32"/>
          <w:lang w:val="fr-FR"/>
        </w:rPr>
      </w:pPr>
      <w:r>
        <w:rPr>
          <w:rFonts w:eastAsia="MS Mincho" w:cs="Times New Roman"/>
          <w:noProof/>
          <w:szCs w:val="32"/>
        </w:rPr>
        <w:lastRenderedPageBreak/>
        <w:drawing>
          <wp:inline distT="0" distB="0" distL="0" distR="0" wp14:anchorId="5C40C8F4" wp14:editId="3C6A3193">
            <wp:extent cx="5057029" cy="2313842"/>
            <wp:effectExtent l="0" t="0" r="0" b="0"/>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55827" cy="2313292"/>
                    </a:xfrm>
                    <a:prstGeom prst="rect">
                      <a:avLst/>
                    </a:prstGeom>
                    <a:noFill/>
                  </pic:spPr>
                </pic:pic>
              </a:graphicData>
            </a:graphic>
          </wp:inline>
        </w:drawing>
      </w:r>
    </w:p>
    <w:p w:rsidR="00A970CD" w:rsidRDefault="00A970CD" w:rsidP="00A970CD">
      <w:pPr>
        <w:spacing w:before="120"/>
        <w:rPr>
          <w:rFonts w:eastAsia="MS Mincho" w:cs="Times New Roman"/>
          <w:noProof/>
          <w:szCs w:val="32"/>
          <w:lang w:val="fr-FR"/>
        </w:rPr>
      </w:pPr>
    </w:p>
    <w:p w:rsidR="00A970CD" w:rsidRDefault="00A970CD" w:rsidP="00A970CD">
      <w:pPr>
        <w:pStyle w:val="ListParagraph"/>
        <w:numPr>
          <w:ilvl w:val="0"/>
          <w:numId w:val="21"/>
        </w:numPr>
        <w:spacing w:before="120"/>
        <w:rPr>
          <w:rFonts w:eastAsia="MS Mincho" w:cs="Times New Roman"/>
          <w:noProof/>
          <w:szCs w:val="32"/>
          <w:lang w:val="fr-FR"/>
        </w:rPr>
      </w:pPr>
      <w:r w:rsidRPr="00762083">
        <w:rPr>
          <w:rFonts w:eastAsia="MS Mincho" w:cs="Times New Roman"/>
          <w:noProof/>
          <w:szCs w:val="32"/>
          <w:lang w:val="fr-FR"/>
        </w:rPr>
        <w:t>Tableau de synthèse :</w:t>
      </w:r>
    </w:p>
    <w:p w:rsidR="00A970CD" w:rsidRPr="00762083" w:rsidRDefault="00A970CD" w:rsidP="00A970CD">
      <w:pPr>
        <w:pStyle w:val="ListParagraph"/>
        <w:spacing w:before="120"/>
        <w:ind w:left="360"/>
        <w:rPr>
          <w:rFonts w:eastAsia="MS Mincho" w:cs="Times New Roman"/>
          <w:noProof/>
          <w:szCs w:val="32"/>
          <w:lang w:val="fr-FR"/>
        </w:rPr>
      </w:pPr>
    </w:p>
    <w:tbl>
      <w:tblPr>
        <w:tblStyle w:val="MediumGrid3-Accent1"/>
        <w:tblW w:w="8007" w:type="dxa"/>
        <w:tblLook w:val="0600" w:firstRow="0" w:lastRow="0" w:firstColumn="0" w:lastColumn="0" w:noHBand="1" w:noVBand="1"/>
      </w:tblPr>
      <w:tblGrid>
        <w:gridCol w:w="5783"/>
        <w:gridCol w:w="1030"/>
        <w:gridCol w:w="1194"/>
      </w:tblGrid>
      <w:tr w:rsidR="00A970CD" w:rsidRPr="00762083" w:rsidTr="00D527CF">
        <w:trPr>
          <w:trHeight w:val="277"/>
        </w:trPr>
        <w:tc>
          <w:tcPr>
            <w:tcW w:w="5783" w:type="dxa"/>
            <w:shd w:val="clear" w:color="auto" w:fill="4BACC6" w:themeFill="accent5"/>
            <w:hideMark/>
          </w:tcPr>
          <w:p w:rsidR="00A970CD" w:rsidRPr="00762083" w:rsidRDefault="00A970CD" w:rsidP="00D527CF">
            <w:pPr>
              <w:spacing w:before="120"/>
              <w:jc w:val="center"/>
              <w:rPr>
                <w:rFonts w:eastAsia="MS Mincho" w:cs="Times New Roman"/>
                <w:noProof/>
                <w:sz w:val="18"/>
                <w:szCs w:val="32"/>
                <w:lang w:val="fr-FR"/>
              </w:rPr>
            </w:pPr>
            <w:r w:rsidRPr="00762083">
              <w:rPr>
                <w:rFonts w:eastAsia="MS Mincho" w:cs="Times New Roman"/>
                <w:b/>
                <w:bCs/>
                <w:noProof/>
                <w:sz w:val="18"/>
                <w:szCs w:val="32"/>
                <w:lang w:val="fr-FR"/>
              </w:rPr>
              <w:t>REGLES</w:t>
            </w:r>
          </w:p>
        </w:tc>
        <w:tc>
          <w:tcPr>
            <w:tcW w:w="1030" w:type="dxa"/>
            <w:shd w:val="clear" w:color="auto" w:fill="4BACC6" w:themeFill="accent5"/>
            <w:hideMark/>
          </w:tcPr>
          <w:p w:rsidR="00A970CD" w:rsidRPr="00762083" w:rsidRDefault="00A970CD" w:rsidP="00D527CF">
            <w:pPr>
              <w:spacing w:before="120"/>
              <w:jc w:val="center"/>
              <w:rPr>
                <w:rFonts w:eastAsia="MS Mincho" w:cs="Times New Roman"/>
                <w:noProof/>
                <w:sz w:val="18"/>
                <w:szCs w:val="32"/>
                <w:lang w:val="fr-FR"/>
              </w:rPr>
            </w:pPr>
            <w:r w:rsidRPr="00762083">
              <w:rPr>
                <w:rFonts w:eastAsia="MS Mincho" w:cs="Times New Roman"/>
                <w:b/>
                <w:bCs/>
                <w:noProof/>
                <w:sz w:val="18"/>
                <w:szCs w:val="32"/>
                <w:lang w:val="fr-FR"/>
              </w:rPr>
              <w:t>PENSIONS LIVREES</w:t>
            </w:r>
          </w:p>
        </w:tc>
        <w:tc>
          <w:tcPr>
            <w:tcW w:w="1194" w:type="dxa"/>
            <w:shd w:val="clear" w:color="auto" w:fill="4BACC6" w:themeFill="accent5"/>
            <w:hideMark/>
          </w:tcPr>
          <w:p w:rsidR="00A970CD" w:rsidRPr="00762083" w:rsidRDefault="00A970CD" w:rsidP="00D527CF">
            <w:pPr>
              <w:spacing w:before="120"/>
              <w:jc w:val="center"/>
              <w:rPr>
                <w:rFonts w:eastAsia="MS Mincho" w:cs="Times New Roman"/>
                <w:noProof/>
                <w:sz w:val="18"/>
                <w:szCs w:val="32"/>
                <w:lang w:val="fr-FR"/>
              </w:rPr>
            </w:pPr>
            <w:r w:rsidRPr="00762083">
              <w:rPr>
                <w:rFonts w:eastAsia="MS Mincho" w:cs="Times New Roman"/>
                <w:b/>
                <w:bCs/>
                <w:noProof/>
                <w:sz w:val="18"/>
                <w:szCs w:val="32"/>
                <w:lang w:val="fr-FR"/>
              </w:rPr>
              <w:t>PRETS EMPRUNTS</w:t>
            </w:r>
          </w:p>
        </w:tc>
      </w:tr>
      <w:tr w:rsidR="00A970CD" w:rsidRPr="00A970CD" w:rsidTr="00D527CF">
        <w:trPr>
          <w:trHeight w:val="1941"/>
        </w:trPr>
        <w:tc>
          <w:tcPr>
            <w:tcW w:w="5783" w:type="dxa"/>
            <w:hideMark/>
          </w:tcPr>
          <w:p w:rsidR="00A970CD" w:rsidRPr="00762083" w:rsidRDefault="00A970CD" w:rsidP="00D527CF">
            <w:pPr>
              <w:spacing w:before="120"/>
              <w:rPr>
                <w:rFonts w:eastAsia="MS Mincho" w:cs="Times New Roman"/>
                <w:noProof/>
                <w:sz w:val="18"/>
                <w:szCs w:val="32"/>
                <w:lang w:val="fr-FR"/>
              </w:rPr>
            </w:pPr>
            <w:r w:rsidRPr="00762083">
              <w:rPr>
                <w:rFonts w:eastAsia="MS Mincho" w:cs="Times New Roman"/>
                <w:b/>
                <w:bCs/>
                <w:noProof/>
                <w:sz w:val="18"/>
                <w:szCs w:val="32"/>
                <w:lang w:val="fr-FR"/>
              </w:rPr>
              <w:t xml:space="preserve">Règle (1) de détection pour les Titres de capitaux comptabilisés en UNITE et </w:t>
            </w:r>
            <w:r w:rsidRPr="00762083">
              <w:rPr>
                <w:rFonts w:eastAsia="MS Mincho" w:cs="Times New Roman"/>
                <w:b/>
                <w:bCs/>
                <w:noProof/>
                <w:sz w:val="18"/>
                <w:szCs w:val="32"/>
                <w:lang w:val="fr-FR"/>
              </w:rPr>
              <w:br/>
              <w:t xml:space="preserve">Règle (2) de détection pour les Titres de taux </w:t>
            </w:r>
            <w:r>
              <w:rPr>
                <w:rFonts w:eastAsia="MS Mincho" w:cs="Times New Roman"/>
                <w:b/>
                <w:bCs/>
                <w:noProof/>
                <w:sz w:val="18"/>
                <w:szCs w:val="32"/>
                <w:lang w:val="fr-FR"/>
              </w:rPr>
              <w:t xml:space="preserve">comptabilisés </w:t>
            </w:r>
            <w:r w:rsidRPr="00762083">
              <w:rPr>
                <w:rFonts w:eastAsia="MS Mincho" w:cs="Times New Roman"/>
                <w:b/>
                <w:bCs/>
                <w:noProof/>
                <w:sz w:val="18"/>
                <w:szCs w:val="32"/>
                <w:lang w:val="fr-FR"/>
              </w:rPr>
              <w:t xml:space="preserve">en UNITE  avec (l’Ex-Date = la Payment-Date) : </w:t>
            </w:r>
            <w:r w:rsidRPr="00762083">
              <w:rPr>
                <w:rFonts w:eastAsia="MS Mincho" w:cs="Times New Roman"/>
                <w:b/>
                <w:bCs/>
                <w:noProof/>
                <w:sz w:val="18"/>
                <w:szCs w:val="32"/>
                <w:lang w:val="fr-FR"/>
              </w:rPr>
              <w:br/>
            </w:r>
            <w:r w:rsidRPr="00762083">
              <w:rPr>
                <w:rFonts w:eastAsia="MS Mincho" w:cs="Times New Roman"/>
                <w:b/>
                <w:bCs/>
                <w:noProof/>
                <w:sz w:val="18"/>
                <w:szCs w:val="32"/>
                <w:lang w:val="fr-FR"/>
              </w:rPr>
              <w:tab/>
              <w:t xml:space="preserve">i) TD avant ExD (Ex-date) et ASD (date de dénouement réelle) après </w:t>
            </w:r>
            <w:r>
              <w:rPr>
                <w:rFonts w:eastAsia="MS Mincho" w:cs="Times New Roman"/>
                <w:b/>
                <w:bCs/>
                <w:noProof/>
                <w:sz w:val="18"/>
                <w:szCs w:val="32"/>
                <w:lang w:val="fr-FR"/>
              </w:rPr>
              <w:t xml:space="preserve">              </w:t>
            </w:r>
            <w:r w:rsidRPr="00762083">
              <w:rPr>
                <w:rFonts w:eastAsia="MS Mincho" w:cs="Times New Roman"/>
                <w:b/>
                <w:bCs/>
                <w:noProof/>
                <w:sz w:val="18"/>
                <w:szCs w:val="32"/>
                <w:lang w:val="fr-FR"/>
              </w:rPr>
              <w:t xml:space="preserve">RD </w:t>
            </w:r>
          </w:p>
          <w:p w:rsidR="00A970CD" w:rsidRPr="00762083" w:rsidRDefault="00A970CD" w:rsidP="00D527CF">
            <w:pPr>
              <w:spacing w:before="120"/>
              <w:rPr>
                <w:rFonts w:eastAsia="MS Mincho" w:cs="Times New Roman"/>
                <w:noProof/>
                <w:sz w:val="18"/>
                <w:szCs w:val="32"/>
                <w:lang w:val="fr-FR"/>
              </w:rPr>
            </w:pPr>
            <w:r w:rsidRPr="00762083">
              <w:rPr>
                <w:rFonts w:eastAsia="MS Mincho" w:cs="Times New Roman"/>
                <w:b/>
                <w:bCs/>
                <w:noProof/>
                <w:sz w:val="18"/>
                <w:szCs w:val="32"/>
                <w:lang w:val="fr-FR"/>
              </w:rPr>
              <w:t xml:space="preserve"> </w:t>
            </w:r>
            <w:r w:rsidRPr="00762083">
              <w:rPr>
                <w:rFonts w:eastAsia="MS Mincho" w:cs="Times New Roman"/>
                <w:b/>
                <w:bCs/>
                <w:noProof/>
                <w:sz w:val="18"/>
                <w:szCs w:val="32"/>
                <w:lang w:val="fr-FR"/>
              </w:rPr>
              <w:tab/>
              <w:t xml:space="preserve">ii) TD après ExD et ASD avant RD </w:t>
            </w:r>
          </w:p>
          <w:p w:rsidR="00A970CD" w:rsidRPr="00762083" w:rsidRDefault="00A970CD" w:rsidP="00D527CF">
            <w:pPr>
              <w:spacing w:before="120"/>
              <w:rPr>
                <w:rFonts w:eastAsia="MS Mincho" w:cs="Times New Roman"/>
                <w:noProof/>
                <w:sz w:val="18"/>
                <w:szCs w:val="32"/>
                <w:lang w:val="fr-FR"/>
              </w:rPr>
            </w:pPr>
            <w:r w:rsidRPr="00762083">
              <w:rPr>
                <w:rFonts w:eastAsia="MS Mincho" w:cs="Times New Roman"/>
                <w:b/>
                <w:bCs/>
                <w:noProof/>
                <w:sz w:val="18"/>
                <w:szCs w:val="32"/>
                <w:lang w:val="fr-FR"/>
              </w:rPr>
              <w:tab/>
              <w:t>iii) Règles applicables aux instructions pending et/ou failed (*)</w:t>
            </w:r>
          </w:p>
        </w:tc>
        <w:tc>
          <w:tcPr>
            <w:tcW w:w="1030" w:type="dxa"/>
            <w:vAlign w:val="center"/>
            <w:hideMark/>
          </w:tcPr>
          <w:p w:rsidR="00A970CD" w:rsidRPr="00762083" w:rsidRDefault="00A970CD" w:rsidP="00D527CF">
            <w:pPr>
              <w:spacing w:before="120"/>
              <w:rPr>
                <w:rFonts w:eastAsia="MS Mincho" w:cs="Times New Roman"/>
                <w:noProof/>
                <w:sz w:val="18"/>
                <w:szCs w:val="32"/>
                <w:lang w:val="fr-FR"/>
              </w:rPr>
            </w:pPr>
            <w:r>
              <w:rPr>
                <w:rFonts w:eastAsia="MS Mincho" w:cs="Times New Roman"/>
                <w:b/>
                <w:bCs/>
                <w:noProof/>
                <w:sz w:val="18"/>
                <w:szCs w:val="32"/>
                <w:lang w:val="fr-FR"/>
              </w:rPr>
              <w:t xml:space="preserve">Valeurs de la </w:t>
            </w:r>
            <w:r w:rsidRPr="00762083">
              <w:rPr>
                <w:rFonts w:eastAsia="MS Mincho" w:cs="Times New Roman"/>
                <w:b/>
                <w:bCs/>
                <w:noProof/>
                <w:sz w:val="18"/>
                <w:szCs w:val="32"/>
                <w:lang w:val="fr-FR"/>
              </w:rPr>
              <w:t>Règle (2)</w:t>
            </w:r>
          </w:p>
        </w:tc>
        <w:tc>
          <w:tcPr>
            <w:tcW w:w="1194" w:type="dxa"/>
            <w:vAlign w:val="center"/>
            <w:hideMark/>
          </w:tcPr>
          <w:p w:rsidR="00A970CD" w:rsidRPr="00762083" w:rsidRDefault="00A970CD" w:rsidP="00D527CF">
            <w:pPr>
              <w:spacing w:before="120"/>
              <w:rPr>
                <w:rFonts w:eastAsia="MS Mincho" w:cs="Times New Roman"/>
                <w:noProof/>
                <w:sz w:val="18"/>
                <w:szCs w:val="32"/>
                <w:lang w:val="fr-FR"/>
              </w:rPr>
            </w:pPr>
            <w:r>
              <w:rPr>
                <w:rFonts w:eastAsia="MS Mincho" w:cs="Times New Roman"/>
                <w:b/>
                <w:bCs/>
                <w:noProof/>
                <w:sz w:val="18"/>
                <w:szCs w:val="32"/>
                <w:lang w:val="fr-FR"/>
              </w:rPr>
              <w:t xml:space="preserve">Valeurs de la </w:t>
            </w:r>
            <w:r w:rsidRPr="00762083">
              <w:rPr>
                <w:rFonts w:eastAsia="MS Mincho" w:cs="Times New Roman"/>
                <w:b/>
                <w:bCs/>
                <w:noProof/>
                <w:sz w:val="18"/>
                <w:szCs w:val="32"/>
                <w:lang w:val="fr-FR"/>
              </w:rPr>
              <w:t xml:space="preserve">Règle (1) </w:t>
            </w:r>
            <w:r>
              <w:rPr>
                <w:rFonts w:eastAsia="MS Mincho" w:cs="Times New Roman"/>
                <w:b/>
                <w:bCs/>
                <w:noProof/>
                <w:sz w:val="18"/>
                <w:szCs w:val="32"/>
                <w:lang w:val="fr-FR"/>
              </w:rPr>
              <w:t xml:space="preserve">et </w:t>
            </w:r>
            <w:r w:rsidRPr="00762083">
              <w:rPr>
                <w:rFonts w:eastAsia="MS Mincho" w:cs="Times New Roman"/>
                <w:b/>
                <w:bCs/>
                <w:noProof/>
                <w:sz w:val="18"/>
                <w:szCs w:val="32"/>
                <w:lang w:val="fr-FR"/>
              </w:rPr>
              <w:t>(2)</w:t>
            </w:r>
          </w:p>
        </w:tc>
      </w:tr>
      <w:tr w:rsidR="00A970CD" w:rsidRPr="00A970CD" w:rsidTr="00D527CF">
        <w:trPr>
          <w:trHeight w:val="1220"/>
        </w:trPr>
        <w:tc>
          <w:tcPr>
            <w:tcW w:w="5783" w:type="dxa"/>
            <w:hideMark/>
          </w:tcPr>
          <w:p w:rsidR="00A970CD" w:rsidRPr="00762083" w:rsidRDefault="00A970CD" w:rsidP="00D527CF">
            <w:pPr>
              <w:spacing w:before="120"/>
              <w:rPr>
                <w:rFonts w:eastAsia="MS Mincho" w:cs="Times New Roman"/>
                <w:noProof/>
                <w:sz w:val="18"/>
                <w:szCs w:val="32"/>
                <w:lang w:val="fr-FR"/>
              </w:rPr>
            </w:pPr>
            <w:r w:rsidRPr="00762083">
              <w:rPr>
                <w:rFonts w:eastAsia="MS Mincho" w:cs="Times New Roman"/>
                <w:b/>
                <w:bCs/>
                <w:noProof/>
                <w:sz w:val="18"/>
                <w:szCs w:val="32"/>
                <w:lang w:val="fr-FR"/>
              </w:rPr>
              <w:t xml:space="preserve">Règle (3) de détection pour titres  de taux  comptabilisés en FMT : </w:t>
            </w:r>
          </w:p>
          <w:p w:rsidR="00A970CD" w:rsidRPr="00762083" w:rsidRDefault="00A970CD" w:rsidP="00D527CF">
            <w:pPr>
              <w:spacing w:before="120"/>
              <w:rPr>
                <w:rFonts w:eastAsia="MS Mincho" w:cs="Times New Roman"/>
                <w:noProof/>
                <w:sz w:val="18"/>
                <w:szCs w:val="32"/>
                <w:lang w:val="fr-FR"/>
              </w:rPr>
            </w:pPr>
            <w:r w:rsidRPr="00762083">
              <w:rPr>
                <w:rFonts w:eastAsia="MS Mincho" w:cs="Times New Roman"/>
                <w:b/>
                <w:bCs/>
                <w:noProof/>
                <w:sz w:val="18"/>
                <w:szCs w:val="32"/>
                <w:lang w:val="fr-FR"/>
              </w:rPr>
              <w:tab/>
              <w:t>i) Si la date de dénouement théorique (ISD) est située avant ou à la RD et Si l’ASD est située après la RD</w:t>
            </w:r>
          </w:p>
          <w:p w:rsidR="00A970CD" w:rsidRPr="00762083" w:rsidRDefault="00A970CD" w:rsidP="00D527CF">
            <w:pPr>
              <w:spacing w:before="120"/>
              <w:rPr>
                <w:rFonts w:eastAsia="MS Mincho" w:cs="Times New Roman"/>
                <w:noProof/>
                <w:sz w:val="18"/>
                <w:szCs w:val="32"/>
                <w:lang w:val="fr-FR"/>
              </w:rPr>
            </w:pPr>
            <w:r w:rsidRPr="00762083">
              <w:rPr>
                <w:rFonts w:eastAsia="MS Mincho" w:cs="Times New Roman"/>
                <w:b/>
                <w:bCs/>
                <w:noProof/>
                <w:sz w:val="18"/>
                <w:szCs w:val="32"/>
                <w:lang w:val="fr-FR"/>
              </w:rPr>
              <w:tab/>
              <w:t xml:space="preserve">ii) La Trade date n’est pas prise en compte dans les règles de détection  </w:t>
            </w:r>
          </w:p>
          <w:p w:rsidR="00A970CD" w:rsidRPr="00762083" w:rsidRDefault="00A970CD" w:rsidP="00D527CF">
            <w:pPr>
              <w:spacing w:before="120"/>
              <w:rPr>
                <w:rFonts w:eastAsia="MS Mincho" w:cs="Times New Roman"/>
                <w:noProof/>
                <w:sz w:val="18"/>
                <w:szCs w:val="32"/>
                <w:lang w:val="fr-FR"/>
              </w:rPr>
            </w:pPr>
            <w:r w:rsidRPr="00762083">
              <w:rPr>
                <w:rFonts w:eastAsia="MS Mincho" w:cs="Times New Roman"/>
                <w:b/>
                <w:bCs/>
                <w:noProof/>
                <w:sz w:val="18"/>
                <w:szCs w:val="32"/>
                <w:lang w:val="fr-FR"/>
              </w:rPr>
              <w:tab/>
              <w:t>iii) Règles concernant les instructions failed uniquement (*)</w:t>
            </w:r>
          </w:p>
        </w:tc>
        <w:tc>
          <w:tcPr>
            <w:tcW w:w="1030" w:type="dxa"/>
            <w:vAlign w:val="center"/>
            <w:hideMark/>
          </w:tcPr>
          <w:p w:rsidR="00A970CD" w:rsidRPr="00762083" w:rsidRDefault="00A970CD" w:rsidP="00D527CF">
            <w:pPr>
              <w:spacing w:before="120"/>
              <w:rPr>
                <w:rFonts w:eastAsia="MS Mincho" w:cs="Times New Roman"/>
                <w:noProof/>
                <w:sz w:val="18"/>
                <w:szCs w:val="32"/>
                <w:lang w:val="fr-FR"/>
              </w:rPr>
            </w:pPr>
            <w:r>
              <w:rPr>
                <w:rFonts w:eastAsia="MS Mincho" w:cs="Times New Roman"/>
                <w:b/>
                <w:bCs/>
                <w:noProof/>
                <w:sz w:val="18"/>
                <w:szCs w:val="32"/>
                <w:lang w:val="fr-FR"/>
              </w:rPr>
              <w:t xml:space="preserve">Valeurs de la </w:t>
            </w:r>
            <w:r w:rsidRPr="00762083">
              <w:rPr>
                <w:rFonts w:eastAsia="MS Mincho" w:cs="Times New Roman"/>
                <w:b/>
                <w:bCs/>
                <w:noProof/>
                <w:sz w:val="18"/>
                <w:szCs w:val="32"/>
                <w:lang w:val="fr-FR"/>
              </w:rPr>
              <w:t>Règle (3)</w:t>
            </w:r>
          </w:p>
        </w:tc>
        <w:tc>
          <w:tcPr>
            <w:tcW w:w="1194" w:type="dxa"/>
            <w:vAlign w:val="center"/>
            <w:hideMark/>
          </w:tcPr>
          <w:p w:rsidR="00A970CD" w:rsidRPr="0004250B" w:rsidRDefault="00A970CD" w:rsidP="00D527CF">
            <w:pPr>
              <w:spacing w:before="120"/>
              <w:rPr>
                <w:rFonts w:eastAsia="MS Mincho" w:cs="Times New Roman"/>
                <w:b/>
                <w:noProof/>
                <w:sz w:val="18"/>
                <w:szCs w:val="32"/>
                <w:lang w:val="fr-FR"/>
              </w:rPr>
            </w:pPr>
            <w:r w:rsidRPr="0004250B">
              <w:rPr>
                <w:rFonts w:eastAsia="MS Mincho" w:cs="Times New Roman"/>
                <w:b/>
                <w:noProof/>
                <w:sz w:val="18"/>
                <w:szCs w:val="32"/>
                <w:lang w:val="fr-FR"/>
              </w:rPr>
              <w:t xml:space="preserve">Rarement ou pas </w:t>
            </w:r>
            <w:r>
              <w:rPr>
                <w:rFonts w:eastAsia="MS Mincho" w:cs="Times New Roman"/>
                <w:b/>
                <w:noProof/>
                <w:sz w:val="18"/>
                <w:szCs w:val="32"/>
                <w:lang w:val="fr-FR"/>
              </w:rPr>
              <w:t>utilisée dans ces opérations</w:t>
            </w:r>
          </w:p>
        </w:tc>
      </w:tr>
    </w:tbl>
    <w:p w:rsidR="00A970CD" w:rsidRDefault="00A970CD" w:rsidP="00A970CD">
      <w:pPr>
        <w:rPr>
          <w:rFonts w:eastAsia="MS Mincho" w:cs="Times New Roman"/>
          <w:b/>
          <w:caps/>
          <w:noProof/>
          <w:sz w:val="32"/>
          <w:szCs w:val="32"/>
          <w:lang w:val="fr-FR"/>
        </w:rPr>
      </w:pPr>
    </w:p>
    <w:p w:rsidR="00A970CD" w:rsidRDefault="00A970CD" w:rsidP="00A970CD">
      <w:pPr>
        <w:spacing w:after="0" w:line="240" w:lineRule="auto"/>
        <w:rPr>
          <w:rFonts w:eastAsia="MS Mincho" w:cs="Times New Roman"/>
          <w:noProof/>
          <w:szCs w:val="32"/>
          <w:lang w:val="fr-FR"/>
        </w:rPr>
      </w:pPr>
    </w:p>
    <w:p w:rsidR="00A970CD" w:rsidRDefault="00A970CD">
      <w:pPr>
        <w:rPr>
          <w:rFonts w:eastAsia="MS Mincho" w:cs="Times New Roman"/>
          <w:b/>
          <w:caps/>
          <w:noProof/>
          <w:sz w:val="32"/>
          <w:szCs w:val="32"/>
          <w:lang w:val="fr-FR"/>
        </w:rPr>
      </w:pPr>
      <w:r>
        <w:rPr>
          <w:rFonts w:eastAsia="MS Mincho" w:cs="Times New Roman"/>
          <w:b/>
          <w:caps/>
          <w:noProof/>
          <w:sz w:val="32"/>
          <w:szCs w:val="32"/>
          <w:lang w:val="fr-FR"/>
        </w:rPr>
        <w:br w:type="page"/>
      </w:r>
    </w:p>
    <w:p w:rsidR="00A970CD" w:rsidRPr="00A970CD" w:rsidRDefault="00A970CD" w:rsidP="00A970CD">
      <w:pPr>
        <w:spacing w:after="0" w:line="240" w:lineRule="auto"/>
        <w:jc w:val="center"/>
        <w:rPr>
          <w:rFonts w:eastAsia="MS Mincho" w:cs="Times New Roman"/>
          <w:b/>
          <w:caps/>
          <w:noProof/>
          <w:sz w:val="32"/>
          <w:szCs w:val="32"/>
          <w:lang w:val="fr-FR"/>
        </w:rPr>
      </w:pPr>
      <w:r w:rsidRPr="00A970CD">
        <w:rPr>
          <w:rFonts w:eastAsia="MS Mincho" w:cs="Times New Roman"/>
          <w:b/>
          <w:caps/>
          <w:noProof/>
          <w:sz w:val="32"/>
          <w:szCs w:val="32"/>
          <w:lang w:val="fr-FR"/>
        </w:rPr>
        <w:lastRenderedPageBreak/>
        <w:t xml:space="preserve">ANNEXE </w:t>
      </w:r>
      <w:r>
        <w:rPr>
          <w:rFonts w:eastAsia="MS Mincho" w:cs="Times New Roman"/>
          <w:b/>
          <w:caps/>
          <w:noProof/>
          <w:sz w:val="32"/>
          <w:szCs w:val="32"/>
          <w:lang w:val="fr-FR"/>
        </w:rPr>
        <w:t>2</w:t>
      </w:r>
      <w:r w:rsidRPr="00A970CD">
        <w:rPr>
          <w:rFonts w:eastAsia="MS Mincho" w:cs="Times New Roman"/>
          <w:b/>
          <w:caps/>
          <w:noProof/>
          <w:sz w:val="32"/>
          <w:szCs w:val="32"/>
          <w:lang w:val="fr-FR"/>
        </w:rPr>
        <w:t xml:space="preserve"> </w:t>
      </w:r>
      <w:r>
        <w:rPr>
          <w:rFonts w:eastAsia="MS Mincho" w:cs="Times New Roman"/>
          <w:b/>
          <w:caps/>
          <w:noProof/>
          <w:sz w:val="32"/>
          <w:szCs w:val="32"/>
          <w:lang w:val="fr-FR"/>
        </w:rPr>
        <w:t>–</w:t>
      </w:r>
      <w:r w:rsidRPr="00A970CD">
        <w:rPr>
          <w:rFonts w:eastAsia="MS Mincho" w:cs="Times New Roman"/>
          <w:b/>
          <w:caps/>
          <w:noProof/>
          <w:sz w:val="32"/>
          <w:szCs w:val="32"/>
          <w:lang w:val="fr-FR"/>
        </w:rPr>
        <w:t xml:space="preserve"> IMPACT DES INDICATEURS SUR LE TRANSFERT DE PROPRIéTé</w:t>
      </w:r>
    </w:p>
    <w:p w:rsidR="00A970CD" w:rsidRDefault="00A970CD" w:rsidP="00A970CD">
      <w:pPr>
        <w:pStyle w:val="ListParagraph"/>
        <w:spacing w:after="0" w:line="240" w:lineRule="auto"/>
        <w:ind w:left="284"/>
        <w:rPr>
          <w:rFonts w:eastAsia="MS Mincho" w:cs="Times New Roman"/>
          <w:b/>
          <w:caps/>
          <w:noProof/>
          <w:sz w:val="32"/>
          <w:szCs w:val="32"/>
          <w:lang w:val="fr-FR"/>
        </w:rPr>
      </w:pPr>
    </w:p>
    <w:p w:rsidR="00A970CD" w:rsidRPr="00462FF3" w:rsidRDefault="00A970CD" w:rsidP="00A970CD">
      <w:pPr>
        <w:pStyle w:val="Heading3"/>
        <w:rPr>
          <w:rFonts w:eastAsia="Times New Roman"/>
          <w:lang w:eastAsia="fr-FR"/>
        </w:rPr>
      </w:pPr>
      <w:bookmarkStart w:id="1" w:name="_Toc452477827"/>
      <w:r w:rsidRPr="00462FF3">
        <w:rPr>
          <w:rFonts w:eastAsia="Times New Roman"/>
          <w:lang w:eastAsia="fr-FR"/>
        </w:rPr>
        <w:t xml:space="preserve">A - REPO  sur des </w:t>
      </w:r>
      <w:r>
        <w:rPr>
          <w:rFonts w:eastAsia="Times New Roman"/>
          <w:lang w:eastAsia="fr-FR"/>
        </w:rPr>
        <w:t>valeurs mobilières en FMT (</w:t>
      </w:r>
      <w:proofErr w:type="spellStart"/>
      <w:r w:rsidRPr="00462FF3">
        <w:rPr>
          <w:rFonts w:eastAsia="Times New Roman"/>
          <w:lang w:eastAsia="fr-FR"/>
        </w:rPr>
        <w:t>fixed-income</w:t>
      </w:r>
      <w:proofErr w:type="spellEnd"/>
      <w:r w:rsidRPr="00462FF3">
        <w:rPr>
          <w:rFonts w:eastAsia="Times New Roman"/>
          <w:lang w:eastAsia="fr-FR"/>
        </w:rPr>
        <w:t>)</w:t>
      </w:r>
      <w:bookmarkEnd w:id="1"/>
    </w:p>
    <w:p w:rsidR="00A970CD" w:rsidRDefault="00A970CD" w:rsidP="00A970CD">
      <w:pPr>
        <w:rPr>
          <w:rFonts w:eastAsia="Times New Roman" w:cstheme="minorHAnsi"/>
          <w:sz w:val="20"/>
          <w:szCs w:val="20"/>
          <w:lang w:val="fr-FR" w:eastAsia="fr-FR"/>
        </w:rPr>
      </w:pPr>
    </w:p>
    <w:p w:rsidR="00A970CD" w:rsidRPr="00AC58A3" w:rsidRDefault="00A970CD" w:rsidP="00A970CD">
      <w:pPr>
        <w:pStyle w:val="ListParagraph"/>
        <w:numPr>
          <w:ilvl w:val="0"/>
          <w:numId w:val="30"/>
        </w:numPr>
        <w:spacing w:after="0" w:line="240" w:lineRule="auto"/>
        <w:rPr>
          <w:b/>
          <w:i/>
          <w:color w:val="1F497D" w:themeColor="text2"/>
          <w:lang w:val="fr-FR" w:eastAsia="fr-FR"/>
        </w:rPr>
      </w:pPr>
      <w:r w:rsidRPr="00AE2736">
        <w:rPr>
          <w:rFonts w:eastAsia="Times New Roman" w:cstheme="minorHAnsi"/>
          <w:b/>
          <w:i/>
          <w:color w:val="1F497D" w:themeColor="text2"/>
          <w:sz w:val="20"/>
          <w:szCs w:val="20"/>
          <w:lang w:val="fr-FR" w:eastAsia="fr-FR"/>
        </w:rPr>
        <w:t>La négociation et le dénouement de la mise en place de la pension</w:t>
      </w:r>
    </w:p>
    <w:p w:rsidR="00A970CD" w:rsidRPr="00A1390E" w:rsidRDefault="00A970CD" w:rsidP="00A970CD">
      <w:pPr>
        <w:spacing w:after="0" w:line="240" w:lineRule="auto"/>
        <w:rPr>
          <w:i/>
          <w:color w:val="1F497D" w:themeColor="text2"/>
          <w:lang w:val="fr-FR" w:eastAsia="fr-FR"/>
        </w:rPr>
      </w:pPr>
      <w:r w:rsidRPr="00A1390E">
        <w:rPr>
          <w:i/>
          <w:noProof/>
          <w:color w:val="1F497D" w:themeColor="text2"/>
        </w:rPr>
        <w:drawing>
          <wp:inline distT="0" distB="0" distL="0" distR="0" wp14:anchorId="691578CE" wp14:editId="77C854F1">
            <wp:extent cx="6090249" cy="2967487"/>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7981" cy="2971254"/>
                    </a:xfrm>
                    <a:prstGeom prst="rect">
                      <a:avLst/>
                    </a:prstGeom>
                    <a:noFill/>
                  </pic:spPr>
                </pic:pic>
              </a:graphicData>
            </a:graphic>
          </wp:inline>
        </w:drawing>
      </w:r>
    </w:p>
    <w:p w:rsidR="00A970CD" w:rsidRPr="00A1390E" w:rsidRDefault="00A970CD" w:rsidP="00A970CD">
      <w:pPr>
        <w:pStyle w:val="ListParagraph"/>
        <w:numPr>
          <w:ilvl w:val="0"/>
          <w:numId w:val="30"/>
        </w:numPr>
        <w:spacing w:after="0" w:line="240" w:lineRule="auto"/>
        <w:rPr>
          <w:i/>
          <w:color w:val="1F497D" w:themeColor="text2"/>
          <w:lang w:val="fr-FR" w:eastAsia="fr-FR"/>
        </w:rPr>
      </w:pPr>
      <w:r w:rsidRPr="00A1390E">
        <w:rPr>
          <w:rFonts w:eastAsia="Times New Roman" w:cstheme="minorHAnsi"/>
          <w:i/>
          <w:color w:val="1F497D" w:themeColor="text2"/>
          <w:sz w:val="20"/>
          <w:szCs w:val="20"/>
          <w:lang w:val="fr-FR" w:eastAsia="fr-FR"/>
        </w:rPr>
        <w:t xml:space="preserve">En cours de vie de la pension  </w:t>
      </w:r>
    </w:p>
    <w:p w:rsidR="00A970CD" w:rsidRPr="00AE2736" w:rsidRDefault="00A970CD" w:rsidP="00A970CD">
      <w:pPr>
        <w:rPr>
          <w:i/>
          <w:color w:val="1F497D" w:themeColor="text2"/>
          <w:lang w:val="fr-FR" w:eastAsia="fr-FR"/>
        </w:rPr>
      </w:pPr>
    </w:p>
    <w:p w:rsidR="00A970CD" w:rsidRDefault="00A970CD" w:rsidP="00A970CD">
      <w:pPr>
        <w:jc w:val="center"/>
        <w:rPr>
          <w:lang w:eastAsia="fr-FR"/>
        </w:rPr>
      </w:pPr>
      <w:r>
        <w:rPr>
          <w:noProof/>
        </w:rPr>
        <w:drawing>
          <wp:inline distT="0" distB="0" distL="0" distR="0" wp14:anchorId="0F8A24DD" wp14:editId="41B4E70A">
            <wp:extent cx="5615796" cy="2748544"/>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4163" cy="2747745"/>
                    </a:xfrm>
                    <a:prstGeom prst="rect">
                      <a:avLst/>
                    </a:prstGeom>
                    <a:noFill/>
                  </pic:spPr>
                </pic:pic>
              </a:graphicData>
            </a:graphic>
          </wp:inline>
        </w:drawing>
      </w:r>
    </w:p>
    <w:p w:rsidR="00A970CD" w:rsidRDefault="00A970CD" w:rsidP="00A970CD">
      <w:pPr>
        <w:rPr>
          <w:lang w:eastAsia="fr-FR"/>
        </w:rPr>
      </w:pPr>
    </w:p>
    <w:p w:rsidR="00A970CD" w:rsidRPr="00AE2736" w:rsidRDefault="00A970CD" w:rsidP="00A970CD">
      <w:pPr>
        <w:pStyle w:val="ListParagraph"/>
        <w:numPr>
          <w:ilvl w:val="0"/>
          <w:numId w:val="30"/>
        </w:numPr>
        <w:spacing w:after="0" w:line="240" w:lineRule="auto"/>
        <w:rPr>
          <w:b/>
          <w:lang w:val="fr-FR" w:eastAsia="fr-FR"/>
        </w:rPr>
      </w:pPr>
      <w:r w:rsidRPr="00AE2736">
        <w:rPr>
          <w:rFonts w:eastAsia="Times New Roman" w:cstheme="minorHAnsi"/>
          <w:b/>
          <w:i/>
          <w:color w:val="1F497D" w:themeColor="text2"/>
          <w:sz w:val="20"/>
          <w:szCs w:val="20"/>
          <w:lang w:val="fr-FR" w:eastAsia="fr-FR"/>
        </w:rPr>
        <w:t xml:space="preserve">La négociation et le dénouement de la restitution de pension </w:t>
      </w:r>
    </w:p>
    <w:p w:rsidR="00A970CD" w:rsidRPr="00AE2736" w:rsidRDefault="00A970CD" w:rsidP="00A970CD">
      <w:pPr>
        <w:rPr>
          <w:lang w:val="fr-FR" w:eastAsia="fr-FR"/>
        </w:rPr>
      </w:pPr>
    </w:p>
    <w:p w:rsidR="00A970CD" w:rsidRDefault="00A970CD" w:rsidP="00A970CD">
      <w:pPr>
        <w:jc w:val="center"/>
        <w:rPr>
          <w:lang w:eastAsia="fr-FR"/>
        </w:rPr>
      </w:pPr>
      <w:r>
        <w:rPr>
          <w:noProof/>
        </w:rPr>
        <w:drawing>
          <wp:inline distT="0" distB="0" distL="0" distR="0" wp14:anchorId="79C6964B" wp14:editId="5280C710">
            <wp:extent cx="5926347" cy="306136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1943" cy="3064258"/>
                    </a:xfrm>
                    <a:prstGeom prst="rect">
                      <a:avLst/>
                    </a:prstGeom>
                    <a:noFill/>
                  </pic:spPr>
                </pic:pic>
              </a:graphicData>
            </a:graphic>
          </wp:inline>
        </w:drawing>
      </w:r>
    </w:p>
    <w:p w:rsidR="00A970CD" w:rsidRDefault="00A970CD" w:rsidP="00A970CD">
      <w:pPr>
        <w:jc w:val="center"/>
        <w:rPr>
          <w:lang w:eastAsia="fr-FR"/>
        </w:rPr>
      </w:pPr>
    </w:p>
    <w:p w:rsidR="00A970CD" w:rsidRPr="00462FF3" w:rsidRDefault="00A970CD" w:rsidP="00A970CD">
      <w:pPr>
        <w:pStyle w:val="Heading3"/>
        <w:rPr>
          <w:rFonts w:eastAsia="Times New Roman"/>
          <w:lang w:eastAsia="fr-FR"/>
        </w:rPr>
      </w:pPr>
      <w:bookmarkStart w:id="2" w:name="_Toc452477828"/>
      <w:r>
        <w:rPr>
          <w:rFonts w:eastAsia="Times New Roman"/>
          <w:lang w:eastAsia="fr-FR"/>
        </w:rPr>
        <w:t>B</w:t>
      </w:r>
      <w:r w:rsidRPr="00462FF3">
        <w:rPr>
          <w:rFonts w:eastAsia="Times New Roman"/>
          <w:lang w:eastAsia="fr-FR"/>
        </w:rPr>
        <w:t xml:space="preserve"> </w:t>
      </w:r>
      <w:r>
        <w:rPr>
          <w:rFonts w:eastAsia="Times New Roman"/>
          <w:lang w:eastAsia="fr-FR"/>
        </w:rPr>
        <w:t>–</w:t>
      </w:r>
      <w:r w:rsidRPr="00462FF3">
        <w:rPr>
          <w:rFonts w:eastAsia="Times New Roman"/>
          <w:lang w:eastAsia="fr-FR"/>
        </w:rPr>
        <w:t xml:space="preserve"> </w:t>
      </w:r>
      <w:r>
        <w:rPr>
          <w:rFonts w:eastAsia="Times New Roman"/>
          <w:lang w:eastAsia="fr-FR"/>
        </w:rPr>
        <w:t xml:space="preserve">Prêt Emprunt </w:t>
      </w:r>
      <w:r w:rsidRPr="00462FF3">
        <w:rPr>
          <w:rFonts w:eastAsia="Times New Roman"/>
          <w:lang w:eastAsia="fr-FR"/>
        </w:rPr>
        <w:t xml:space="preserve">sur des </w:t>
      </w:r>
      <w:r>
        <w:rPr>
          <w:rFonts w:eastAsia="Times New Roman"/>
          <w:lang w:eastAsia="fr-FR"/>
        </w:rPr>
        <w:t xml:space="preserve">valeurs mobilières en UNT (type </w:t>
      </w:r>
      <w:proofErr w:type="spellStart"/>
      <w:r>
        <w:rPr>
          <w:rFonts w:eastAsia="Times New Roman"/>
          <w:lang w:eastAsia="fr-FR"/>
        </w:rPr>
        <w:t>Equities</w:t>
      </w:r>
      <w:proofErr w:type="spellEnd"/>
      <w:r>
        <w:rPr>
          <w:rFonts w:eastAsia="Times New Roman"/>
          <w:lang w:eastAsia="fr-FR"/>
        </w:rPr>
        <w:t>)</w:t>
      </w:r>
      <w:bookmarkEnd w:id="2"/>
    </w:p>
    <w:p w:rsidR="00A970CD" w:rsidRPr="00AE2736" w:rsidRDefault="00A970CD" w:rsidP="00A970CD">
      <w:pPr>
        <w:rPr>
          <w:lang w:val="fr-FR" w:eastAsia="fr-FR"/>
        </w:rPr>
      </w:pPr>
    </w:p>
    <w:p w:rsidR="00A970CD" w:rsidRPr="00AE2736" w:rsidRDefault="00A970CD" w:rsidP="00A970CD">
      <w:pPr>
        <w:pStyle w:val="ListParagraph"/>
        <w:numPr>
          <w:ilvl w:val="0"/>
          <w:numId w:val="30"/>
        </w:numPr>
        <w:spacing w:after="0" w:line="240" w:lineRule="auto"/>
        <w:rPr>
          <w:b/>
          <w:i/>
          <w:color w:val="1F497D" w:themeColor="text2"/>
          <w:lang w:val="fr-FR" w:eastAsia="fr-FR"/>
        </w:rPr>
      </w:pPr>
      <w:r w:rsidRPr="00AE2736">
        <w:rPr>
          <w:rFonts w:eastAsia="Times New Roman" w:cstheme="minorHAnsi"/>
          <w:b/>
          <w:i/>
          <w:color w:val="1F497D" w:themeColor="text2"/>
          <w:sz w:val="20"/>
          <w:szCs w:val="20"/>
          <w:lang w:val="fr-FR" w:eastAsia="fr-FR"/>
        </w:rPr>
        <w:t>La négociation et le dénouement de la mise en place du P/E</w:t>
      </w:r>
    </w:p>
    <w:p w:rsidR="00A970CD" w:rsidRPr="00AE2736" w:rsidRDefault="00A970CD" w:rsidP="00A970CD">
      <w:pPr>
        <w:pStyle w:val="ListParagraph"/>
        <w:spacing w:after="0" w:line="240" w:lineRule="auto"/>
        <w:rPr>
          <w:b/>
          <w:i/>
          <w:color w:val="1F497D" w:themeColor="text2"/>
          <w:lang w:val="fr-FR" w:eastAsia="fr-FR"/>
        </w:rPr>
      </w:pPr>
    </w:p>
    <w:p w:rsidR="00A970CD" w:rsidRDefault="00A970CD" w:rsidP="00A970CD">
      <w:pPr>
        <w:jc w:val="center"/>
        <w:rPr>
          <w:lang w:eastAsia="fr-FR"/>
        </w:rPr>
      </w:pPr>
      <w:r>
        <w:rPr>
          <w:noProof/>
        </w:rPr>
        <w:lastRenderedPageBreak/>
        <w:drawing>
          <wp:inline distT="0" distB="0" distL="0" distR="0" wp14:anchorId="5D832C55" wp14:editId="0C489CFD">
            <wp:extent cx="5676180" cy="3174521"/>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83612" cy="3178677"/>
                    </a:xfrm>
                    <a:prstGeom prst="rect">
                      <a:avLst/>
                    </a:prstGeom>
                    <a:noFill/>
                  </pic:spPr>
                </pic:pic>
              </a:graphicData>
            </a:graphic>
          </wp:inline>
        </w:drawing>
      </w:r>
    </w:p>
    <w:p w:rsidR="00A970CD" w:rsidRDefault="00A970CD" w:rsidP="00A970CD">
      <w:pPr>
        <w:jc w:val="center"/>
        <w:rPr>
          <w:lang w:eastAsia="fr-FR"/>
        </w:rPr>
      </w:pPr>
    </w:p>
    <w:p w:rsidR="00A970CD" w:rsidRPr="00AE2736" w:rsidRDefault="00A970CD" w:rsidP="00A970CD">
      <w:pPr>
        <w:pStyle w:val="ListParagraph"/>
        <w:numPr>
          <w:ilvl w:val="0"/>
          <w:numId w:val="30"/>
        </w:numPr>
        <w:spacing w:after="0" w:line="240" w:lineRule="auto"/>
        <w:rPr>
          <w:b/>
          <w:i/>
          <w:color w:val="1F497D" w:themeColor="text2"/>
          <w:lang w:val="fr-FR" w:eastAsia="fr-FR"/>
        </w:rPr>
      </w:pPr>
      <w:r w:rsidRPr="00AE2736">
        <w:rPr>
          <w:rFonts w:eastAsia="Times New Roman" w:cstheme="minorHAnsi"/>
          <w:b/>
          <w:i/>
          <w:color w:val="1F497D" w:themeColor="text2"/>
          <w:sz w:val="20"/>
          <w:szCs w:val="20"/>
          <w:lang w:val="fr-FR" w:eastAsia="fr-FR"/>
        </w:rPr>
        <w:t xml:space="preserve">En cours de vie du P/E  </w:t>
      </w:r>
    </w:p>
    <w:p w:rsidR="00A970CD" w:rsidRPr="00AE2736" w:rsidRDefault="00A970CD" w:rsidP="00A970CD">
      <w:pPr>
        <w:rPr>
          <w:lang w:val="fr-FR" w:eastAsia="fr-FR"/>
        </w:rPr>
      </w:pPr>
    </w:p>
    <w:p w:rsidR="00A970CD" w:rsidRDefault="00A970CD" w:rsidP="00A970CD">
      <w:pPr>
        <w:jc w:val="center"/>
        <w:rPr>
          <w:lang w:eastAsia="fr-FR"/>
        </w:rPr>
      </w:pPr>
      <w:r>
        <w:rPr>
          <w:noProof/>
        </w:rPr>
        <w:drawing>
          <wp:inline distT="0" distB="0" distL="0" distR="0" wp14:anchorId="3814B788" wp14:editId="0DD1B161">
            <wp:extent cx="5762445" cy="3045125"/>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6160" cy="3047088"/>
                    </a:xfrm>
                    <a:prstGeom prst="rect">
                      <a:avLst/>
                    </a:prstGeom>
                    <a:noFill/>
                  </pic:spPr>
                </pic:pic>
              </a:graphicData>
            </a:graphic>
          </wp:inline>
        </w:drawing>
      </w:r>
    </w:p>
    <w:p w:rsidR="00A970CD" w:rsidRDefault="00A970CD" w:rsidP="00A970CD">
      <w:pPr>
        <w:jc w:val="center"/>
        <w:rPr>
          <w:lang w:eastAsia="fr-FR"/>
        </w:rPr>
      </w:pPr>
    </w:p>
    <w:p w:rsidR="00A970CD" w:rsidRDefault="00A970CD">
      <w:pPr>
        <w:rPr>
          <w:rFonts w:eastAsia="Times New Roman" w:cstheme="minorHAnsi"/>
          <w:b/>
          <w:i/>
          <w:color w:val="1F497D" w:themeColor="text2"/>
          <w:sz w:val="20"/>
          <w:szCs w:val="20"/>
          <w:lang w:val="fr-FR" w:eastAsia="fr-FR"/>
        </w:rPr>
      </w:pPr>
      <w:r>
        <w:rPr>
          <w:rFonts w:eastAsia="Times New Roman" w:cstheme="minorHAnsi"/>
          <w:b/>
          <w:i/>
          <w:color w:val="1F497D" w:themeColor="text2"/>
          <w:sz w:val="20"/>
          <w:szCs w:val="20"/>
          <w:lang w:val="fr-FR" w:eastAsia="fr-FR"/>
        </w:rPr>
        <w:br w:type="page"/>
      </w:r>
    </w:p>
    <w:p w:rsidR="00A970CD" w:rsidRPr="00AE2736" w:rsidRDefault="00A970CD" w:rsidP="00A970CD">
      <w:pPr>
        <w:pStyle w:val="ListParagraph"/>
        <w:numPr>
          <w:ilvl w:val="0"/>
          <w:numId w:val="30"/>
        </w:numPr>
        <w:spacing w:after="0" w:line="240" w:lineRule="auto"/>
        <w:rPr>
          <w:b/>
          <w:lang w:val="fr-FR" w:eastAsia="fr-FR"/>
        </w:rPr>
      </w:pPr>
      <w:r w:rsidRPr="00AE2736">
        <w:rPr>
          <w:rFonts w:eastAsia="Times New Roman" w:cstheme="minorHAnsi"/>
          <w:b/>
          <w:i/>
          <w:color w:val="1F497D" w:themeColor="text2"/>
          <w:sz w:val="20"/>
          <w:szCs w:val="20"/>
          <w:lang w:val="fr-FR" w:eastAsia="fr-FR"/>
        </w:rPr>
        <w:lastRenderedPageBreak/>
        <w:t xml:space="preserve">La négociation et le dénouement de la restitution du P/E </w:t>
      </w:r>
    </w:p>
    <w:p w:rsidR="00A970CD" w:rsidRDefault="00A970CD" w:rsidP="00A970CD">
      <w:pPr>
        <w:rPr>
          <w:lang w:val="fr-FR" w:eastAsia="fr-FR"/>
        </w:rPr>
      </w:pPr>
    </w:p>
    <w:p w:rsidR="00A970CD" w:rsidRPr="00AE2736" w:rsidRDefault="00A970CD" w:rsidP="00A970CD">
      <w:pPr>
        <w:rPr>
          <w:lang w:val="fr-FR" w:eastAsia="fr-FR"/>
        </w:rPr>
      </w:pPr>
      <w:r>
        <w:rPr>
          <w:noProof/>
        </w:rPr>
        <w:drawing>
          <wp:inline distT="0" distB="0" distL="0" distR="0" wp14:anchorId="2632F469" wp14:editId="0BD73A5D">
            <wp:extent cx="6159191" cy="3165894"/>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58027" cy="3165296"/>
                    </a:xfrm>
                    <a:prstGeom prst="rect">
                      <a:avLst/>
                    </a:prstGeom>
                    <a:noFill/>
                  </pic:spPr>
                </pic:pic>
              </a:graphicData>
            </a:graphic>
          </wp:inline>
        </w:drawing>
      </w:r>
    </w:p>
    <w:p w:rsidR="00FA4417" w:rsidRDefault="00FA4417" w:rsidP="001E0D83">
      <w:pPr>
        <w:spacing w:after="0" w:line="240" w:lineRule="auto"/>
        <w:rPr>
          <w:rFonts w:eastAsia="MS Mincho" w:cs="Times New Roman"/>
          <w:noProof/>
          <w:szCs w:val="32"/>
          <w:lang w:val="fr-FR"/>
        </w:rPr>
      </w:pPr>
    </w:p>
    <w:p w:rsidR="00FA4417" w:rsidRDefault="00FA4417" w:rsidP="001E0D83">
      <w:pPr>
        <w:spacing w:after="0" w:line="240" w:lineRule="auto"/>
        <w:rPr>
          <w:rFonts w:eastAsia="MS Mincho" w:cs="Times New Roman"/>
          <w:noProof/>
          <w:szCs w:val="32"/>
          <w:lang w:val="fr-FR"/>
        </w:rPr>
      </w:pPr>
    </w:p>
    <w:sectPr w:rsidR="00FA4417" w:rsidSect="006D6846">
      <w:headerReference w:type="default" r:id="rId18"/>
      <w:footerReference w:type="default" r:id="rId1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89B" w:rsidRDefault="0047589B" w:rsidP="006D6846">
      <w:pPr>
        <w:spacing w:after="0" w:line="240" w:lineRule="auto"/>
      </w:pPr>
      <w:r>
        <w:separator/>
      </w:r>
    </w:p>
  </w:endnote>
  <w:endnote w:type="continuationSeparator" w:id="0">
    <w:p w:rsidR="0047589B" w:rsidRDefault="0047589B"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A970CD">
          <w:rPr>
            <w:noProof/>
          </w:rPr>
          <w:t>1</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89B" w:rsidRDefault="0047589B" w:rsidP="006D6846">
      <w:pPr>
        <w:spacing w:after="0" w:line="240" w:lineRule="auto"/>
      </w:pPr>
      <w:r>
        <w:separator/>
      </w:r>
    </w:p>
  </w:footnote>
  <w:footnote w:type="continuationSeparator" w:id="0">
    <w:p w:rsidR="0047589B" w:rsidRDefault="0047589B"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9"/>
      <w:gridCol w:w="3798"/>
    </w:tblGrid>
    <w:tr w:rsidR="00EC776F" w:rsidTr="00FA4417">
      <w:tc>
        <w:tcPr>
          <w:tcW w:w="5839"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3798" w:type="dxa"/>
          <w:vAlign w:val="center"/>
        </w:tcPr>
        <w:p w:rsidR="00EC776F" w:rsidRDefault="00EC776F" w:rsidP="00EC776F">
          <w:pPr>
            <w:pStyle w:val="Header"/>
            <w:jc w:val="center"/>
            <w:rPr>
              <w:b/>
              <w:lang w:val="fr-FR"/>
            </w:rPr>
          </w:pPr>
          <w:r>
            <w:rPr>
              <w:noProof/>
            </w:rPr>
            <w:drawing>
              <wp:inline distT="0" distB="0" distL="0" distR="0" wp14:anchorId="06B65D94" wp14:editId="1D30A11A">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FA4417" w:rsidTr="00FA4417">
      <w:tc>
        <w:tcPr>
          <w:tcW w:w="5839" w:type="dxa"/>
          <w:vAlign w:val="center"/>
        </w:tcPr>
        <w:p w:rsidR="00EC776F" w:rsidRPr="00EC776F" w:rsidRDefault="00EC776F" w:rsidP="00A970CD">
          <w:pPr>
            <w:pStyle w:val="Header"/>
            <w:rPr>
              <w:i/>
              <w:lang w:val="fr-FR"/>
            </w:rPr>
          </w:pPr>
          <w:r>
            <w:rPr>
              <w:i/>
              <w:lang w:val="fr-FR"/>
            </w:rPr>
            <w:t xml:space="preserve">Référence de la pratique : </w:t>
          </w:r>
          <w:r w:rsidR="00FA4417" w:rsidRPr="00FA4417">
            <w:rPr>
              <w:i/>
              <w:lang w:val="fr-FR"/>
            </w:rPr>
            <w:t>OF-FLUX-CESSIONSTEMPORAIRES-0</w:t>
          </w:r>
          <w:r w:rsidR="00A970CD">
            <w:rPr>
              <w:i/>
              <w:lang w:val="fr-FR"/>
            </w:rPr>
            <w:t>2</w:t>
          </w:r>
        </w:p>
      </w:tc>
      <w:tc>
        <w:tcPr>
          <w:tcW w:w="379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2662CAD"/>
    <w:multiLevelType w:val="multilevel"/>
    <w:tmpl w:val="3E522DD0"/>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7673C1"/>
    <w:multiLevelType w:val="hybridMultilevel"/>
    <w:tmpl w:val="210E855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A01619"/>
    <w:multiLevelType w:val="hybridMultilevel"/>
    <w:tmpl w:val="FE34B354"/>
    <w:lvl w:ilvl="0" w:tplc="26D898A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6FE4A9E"/>
    <w:multiLevelType w:val="hybridMultilevel"/>
    <w:tmpl w:val="F9B8BDA6"/>
    <w:lvl w:ilvl="0" w:tplc="8AAEB3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FB1103"/>
    <w:multiLevelType w:val="hybridMultilevel"/>
    <w:tmpl w:val="D144B88A"/>
    <w:lvl w:ilvl="0" w:tplc="040C000F">
      <w:start w:val="1"/>
      <w:numFmt w:val="decimal"/>
      <w:lvlText w:val="%1."/>
      <w:lvlJc w:val="left"/>
      <w:pPr>
        <w:ind w:left="770" w:hanging="360"/>
      </w:pPr>
      <w:rPr>
        <w:rFont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0">
    <w:nsid w:val="20324F25"/>
    <w:multiLevelType w:val="hybridMultilevel"/>
    <w:tmpl w:val="ECE0E8F4"/>
    <w:lvl w:ilvl="0" w:tplc="26D898A6">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48D7B9F"/>
    <w:multiLevelType w:val="hybridMultilevel"/>
    <w:tmpl w:val="90741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1B029E"/>
    <w:multiLevelType w:val="hybridMultilevel"/>
    <w:tmpl w:val="DFD0EA76"/>
    <w:lvl w:ilvl="0" w:tplc="980A61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5B73F30"/>
    <w:multiLevelType w:val="hybridMultilevel"/>
    <w:tmpl w:val="AF28F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DAF6E6B"/>
    <w:multiLevelType w:val="hybridMultilevel"/>
    <w:tmpl w:val="36188432"/>
    <w:lvl w:ilvl="0" w:tplc="E228AF4E">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nsid w:val="54DD7AE7"/>
    <w:multiLevelType w:val="hybridMultilevel"/>
    <w:tmpl w:val="6E4A8CD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5AE54CE8"/>
    <w:multiLevelType w:val="hybridMultilevel"/>
    <w:tmpl w:val="F9B8BDA6"/>
    <w:lvl w:ilvl="0" w:tplc="8AAEB3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F47657E"/>
    <w:multiLevelType w:val="hybridMultilevel"/>
    <w:tmpl w:val="BD3C3B96"/>
    <w:lvl w:ilvl="0" w:tplc="687E25AA">
      <w:start w:val="1"/>
      <w:numFmt w:val="bullet"/>
      <w:lvlText w:val=""/>
      <w:lvlJc w:val="left"/>
      <w:pPr>
        <w:tabs>
          <w:tab w:val="num" w:pos="720"/>
        </w:tabs>
        <w:ind w:left="720" w:hanging="360"/>
      </w:pPr>
      <w:rPr>
        <w:rFonts w:ascii="Wingdings" w:hAnsi="Wingdings" w:hint="default"/>
      </w:rPr>
    </w:lvl>
    <w:lvl w:ilvl="1" w:tplc="3FFAAA84" w:tentative="1">
      <w:start w:val="1"/>
      <w:numFmt w:val="bullet"/>
      <w:lvlText w:val=""/>
      <w:lvlJc w:val="left"/>
      <w:pPr>
        <w:tabs>
          <w:tab w:val="num" w:pos="1440"/>
        </w:tabs>
        <w:ind w:left="1440" w:hanging="360"/>
      </w:pPr>
      <w:rPr>
        <w:rFonts w:ascii="Wingdings" w:hAnsi="Wingdings" w:hint="default"/>
      </w:rPr>
    </w:lvl>
    <w:lvl w:ilvl="2" w:tplc="F99A3470" w:tentative="1">
      <w:start w:val="1"/>
      <w:numFmt w:val="bullet"/>
      <w:lvlText w:val=""/>
      <w:lvlJc w:val="left"/>
      <w:pPr>
        <w:tabs>
          <w:tab w:val="num" w:pos="2160"/>
        </w:tabs>
        <w:ind w:left="2160" w:hanging="360"/>
      </w:pPr>
      <w:rPr>
        <w:rFonts w:ascii="Wingdings" w:hAnsi="Wingdings" w:hint="default"/>
      </w:rPr>
    </w:lvl>
    <w:lvl w:ilvl="3" w:tplc="02ACD0B0" w:tentative="1">
      <w:start w:val="1"/>
      <w:numFmt w:val="bullet"/>
      <w:lvlText w:val=""/>
      <w:lvlJc w:val="left"/>
      <w:pPr>
        <w:tabs>
          <w:tab w:val="num" w:pos="2880"/>
        </w:tabs>
        <w:ind w:left="2880" w:hanging="360"/>
      </w:pPr>
      <w:rPr>
        <w:rFonts w:ascii="Wingdings" w:hAnsi="Wingdings" w:hint="default"/>
      </w:rPr>
    </w:lvl>
    <w:lvl w:ilvl="4" w:tplc="71E4A604" w:tentative="1">
      <w:start w:val="1"/>
      <w:numFmt w:val="bullet"/>
      <w:lvlText w:val=""/>
      <w:lvlJc w:val="left"/>
      <w:pPr>
        <w:tabs>
          <w:tab w:val="num" w:pos="3600"/>
        </w:tabs>
        <w:ind w:left="3600" w:hanging="360"/>
      </w:pPr>
      <w:rPr>
        <w:rFonts w:ascii="Wingdings" w:hAnsi="Wingdings" w:hint="default"/>
      </w:rPr>
    </w:lvl>
    <w:lvl w:ilvl="5" w:tplc="7A2E9B84" w:tentative="1">
      <w:start w:val="1"/>
      <w:numFmt w:val="bullet"/>
      <w:lvlText w:val=""/>
      <w:lvlJc w:val="left"/>
      <w:pPr>
        <w:tabs>
          <w:tab w:val="num" w:pos="4320"/>
        </w:tabs>
        <w:ind w:left="4320" w:hanging="360"/>
      </w:pPr>
      <w:rPr>
        <w:rFonts w:ascii="Wingdings" w:hAnsi="Wingdings" w:hint="default"/>
      </w:rPr>
    </w:lvl>
    <w:lvl w:ilvl="6" w:tplc="8968DDFE" w:tentative="1">
      <w:start w:val="1"/>
      <w:numFmt w:val="bullet"/>
      <w:lvlText w:val=""/>
      <w:lvlJc w:val="left"/>
      <w:pPr>
        <w:tabs>
          <w:tab w:val="num" w:pos="5040"/>
        </w:tabs>
        <w:ind w:left="5040" w:hanging="360"/>
      </w:pPr>
      <w:rPr>
        <w:rFonts w:ascii="Wingdings" w:hAnsi="Wingdings" w:hint="default"/>
      </w:rPr>
    </w:lvl>
    <w:lvl w:ilvl="7" w:tplc="D7706036" w:tentative="1">
      <w:start w:val="1"/>
      <w:numFmt w:val="bullet"/>
      <w:lvlText w:val=""/>
      <w:lvlJc w:val="left"/>
      <w:pPr>
        <w:tabs>
          <w:tab w:val="num" w:pos="5760"/>
        </w:tabs>
        <w:ind w:left="5760" w:hanging="360"/>
      </w:pPr>
      <w:rPr>
        <w:rFonts w:ascii="Wingdings" w:hAnsi="Wingdings" w:hint="default"/>
      </w:rPr>
    </w:lvl>
    <w:lvl w:ilvl="8" w:tplc="59AA3E9C" w:tentative="1">
      <w:start w:val="1"/>
      <w:numFmt w:val="bullet"/>
      <w:lvlText w:val=""/>
      <w:lvlJc w:val="left"/>
      <w:pPr>
        <w:tabs>
          <w:tab w:val="num" w:pos="6480"/>
        </w:tabs>
        <w:ind w:left="6480" w:hanging="360"/>
      </w:pPr>
      <w:rPr>
        <w:rFonts w:ascii="Wingdings" w:hAnsi="Wingdings" w:hint="default"/>
      </w:rPr>
    </w:lvl>
  </w:abstractNum>
  <w:abstractNum w:abstractNumId="20">
    <w:nsid w:val="631D23D7"/>
    <w:multiLevelType w:val="hybridMultilevel"/>
    <w:tmpl w:val="2BF6F8D8"/>
    <w:lvl w:ilvl="0" w:tplc="57FA741E">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6C001547"/>
    <w:multiLevelType w:val="hybridMultilevel"/>
    <w:tmpl w:val="D3260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FEA40EA"/>
    <w:multiLevelType w:val="hybridMultilevel"/>
    <w:tmpl w:val="F2CAE22A"/>
    <w:lvl w:ilvl="0" w:tplc="99643A88">
      <w:start w:val="173"/>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70DE33F6"/>
    <w:multiLevelType w:val="hybridMultilevel"/>
    <w:tmpl w:val="F4A4D652"/>
    <w:lvl w:ilvl="0" w:tplc="84F0690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741F1345"/>
    <w:multiLevelType w:val="multilevel"/>
    <w:tmpl w:val="6B0E9384"/>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b w:val="0"/>
      </w:rPr>
    </w:lvl>
    <w:lvl w:ilvl="2">
      <w:start w:val="1"/>
      <w:numFmt w:val="bullet"/>
      <w:lvlText w:val="o"/>
      <w:lvlJc w:val="left"/>
      <w:pPr>
        <w:ind w:left="1440" w:hanging="360"/>
      </w:pPr>
      <w:rPr>
        <w:rFonts w:ascii="Courier New" w:hAnsi="Courier New" w:cs="Courier New" w:hint="default"/>
      </w:rPr>
    </w:lvl>
    <w:lvl w:ilvl="3">
      <w:start w:val="1"/>
      <w:numFmt w:val="bullet"/>
      <w:lvlText w:val="o"/>
      <w:lvlJc w:val="left"/>
      <w:pPr>
        <w:ind w:left="1800" w:hanging="360"/>
      </w:pPr>
      <w:rPr>
        <w:rFonts w:ascii="Courier New" w:hAnsi="Courier New" w:cs="Courier New" w:hint="default"/>
      </w:r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nsid w:val="74786FCF"/>
    <w:multiLevelType w:val="hybridMultilevel"/>
    <w:tmpl w:val="5F9A174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140E6B"/>
    <w:multiLevelType w:val="hybridMultilevel"/>
    <w:tmpl w:val="14CC59F4"/>
    <w:lvl w:ilvl="0" w:tplc="B09CD1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28"/>
  </w:num>
  <w:num w:numId="4">
    <w:abstractNumId w:val="26"/>
  </w:num>
  <w:num w:numId="5">
    <w:abstractNumId w:val="2"/>
  </w:num>
  <w:num w:numId="6">
    <w:abstractNumId w:val="0"/>
  </w:num>
  <w:num w:numId="7">
    <w:abstractNumId w:val="7"/>
  </w:num>
  <w:num w:numId="8">
    <w:abstractNumId w:val="5"/>
  </w:num>
  <w:num w:numId="9">
    <w:abstractNumId w:val="8"/>
  </w:num>
  <w:num w:numId="10">
    <w:abstractNumId w:val="14"/>
  </w:num>
  <w:num w:numId="11">
    <w:abstractNumId w:val="20"/>
  </w:num>
  <w:num w:numId="12">
    <w:abstractNumId w:val="25"/>
  </w:num>
  <w:num w:numId="13">
    <w:abstractNumId w:val="9"/>
  </w:num>
  <w:num w:numId="14">
    <w:abstractNumId w:val="13"/>
  </w:num>
  <w:num w:numId="15">
    <w:abstractNumId w:val="1"/>
  </w:num>
  <w:num w:numId="16">
    <w:abstractNumId w:val="17"/>
  </w:num>
  <w:num w:numId="17">
    <w:abstractNumId w:val="15"/>
  </w:num>
  <w:num w:numId="18">
    <w:abstractNumId w:val="21"/>
  </w:num>
  <w:num w:numId="19">
    <w:abstractNumId w:val="11"/>
  </w:num>
  <w:num w:numId="20">
    <w:abstractNumId w:val="22"/>
  </w:num>
  <w:num w:numId="21">
    <w:abstractNumId w:val="16"/>
  </w:num>
  <w:num w:numId="22">
    <w:abstractNumId w:val="18"/>
  </w:num>
  <w:num w:numId="23">
    <w:abstractNumId w:val="6"/>
  </w:num>
  <w:num w:numId="24">
    <w:abstractNumId w:val="23"/>
  </w:num>
  <w:num w:numId="25">
    <w:abstractNumId w:val="27"/>
  </w:num>
  <w:num w:numId="26">
    <w:abstractNumId w:val="24"/>
  </w:num>
  <w:num w:numId="27">
    <w:abstractNumId w:val="19"/>
  </w:num>
  <w:num w:numId="28">
    <w:abstractNumId w:val="10"/>
  </w:num>
  <w:num w:numId="29">
    <w:abstractNumId w:val="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528E9"/>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343829"/>
    <w:rsid w:val="00343B9E"/>
    <w:rsid w:val="003631EA"/>
    <w:rsid w:val="00363E89"/>
    <w:rsid w:val="003929BA"/>
    <w:rsid w:val="003A4E76"/>
    <w:rsid w:val="003B3DA4"/>
    <w:rsid w:val="003D5E9F"/>
    <w:rsid w:val="003D7060"/>
    <w:rsid w:val="00464015"/>
    <w:rsid w:val="0047589B"/>
    <w:rsid w:val="004818D8"/>
    <w:rsid w:val="00482296"/>
    <w:rsid w:val="004F6025"/>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970CD"/>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D071C"/>
    <w:rsid w:val="00DF110C"/>
    <w:rsid w:val="00E351C1"/>
    <w:rsid w:val="00E35B86"/>
    <w:rsid w:val="00E438E3"/>
    <w:rsid w:val="00E52109"/>
    <w:rsid w:val="00E62EAE"/>
    <w:rsid w:val="00E95BB1"/>
    <w:rsid w:val="00EA5560"/>
    <w:rsid w:val="00EB44AB"/>
    <w:rsid w:val="00EC776F"/>
    <w:rsid w:val="00EF2D14"/>
    <w:rsid w:val="00F00BF4"/>
    <w:rsid w:val="00F358FF"/>
    <w:rsid w:val="00F35CCA"/>
    <w:rsid w:val="00F84B2D"/>
    <w:rsid w:val="00F904C9"/>
    <w:rsid w:val="00FA4417"/>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nhideWhenUsed/>
    <w:qFormat/>
    <w:rsid w:val="00A970CD"/>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fr-F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semiHidden/>
    <w:unhideWhenUsed/>
    <w:rsid w:val="00FA4417"/>
    <w:pPr>
      <w:spacing w:line="240" w:lineRule="auto"/>
    </w:pPr>
    <w:rPr>
      <w:sz w:val="20"/>
      <w:szCs w:val="20"/>
    </w:rPr>
  </w:style>
  <w:style w:type="character" w:customStyle="1" w:styleId="CommentTextChar">
    <w:name w:val="Comment Text Char"/>
    <w:basedOn w:val="DefaultParagraphFont"/>
    <w:link w:val="CommentText"/>
    <w:uiPriority w:val="99"/>
    <w:semiHidden/>
    <w:rsid w:val="00FA4417"/>
    <w:rPr>
      <w:sz w:val="20"/>
      <w:szCs w:val="20"/>
    </w:rPr>
  </w:style>
  <w:style w:type="character" w:customStyle="1" w:styleId="Heading3Char">
    <w:name w:val="Heading 3 Char"/>
    <w:basedOn w:val="DefaultParagraphFont"/>
    <w:link w:val="Heading3"/>
    <w:rsid w:val="00A970CD"/>
    <w:rPr>
      <w:rFonts w:asciiTheme="majorHAnsi" w:eastAsiaTheme="majorEastAsia" w:hAnsiTheme="majorHAnsi" w:cstheme="majorBidi"/>
      <w:b/>
      <w:bCs/>
      <w:color w:val="4F81BD" w:themeColor="accent1"/>
      <w:sz w:val="24"/>
      <w:szCs w:val="24"/>
      <w:lang w:val="fr-FR" w:eastAsia="ja-JP"/>
    </w:rPr>
  </w:style>
  <w:style w:type="table" w:styleId="MediumGrid3-Accent1">
    <w:name w:val="Medium Grid 3 Accent 1"/>
    <w:basedOn w:val="TableNormal"/>
    <w:uiPriority w:val="69"/>
    <w:rsid w:val="00A970C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nhideWhenUsed/>
    <w:qFormat/>
    <w:rsid w:val="00A970CD"/>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fr-F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semiHidden/>
    <w:unhideWhenUsed/>
    <w:rsid w:val="00FA4417"/>
    <w:pPr>
      <w:spacing w:line="240" w:lineRule="auto"/>
    </w:pPr>
    <w:rPr>
      <w:sz w:val="20"/>
      <w:szCs w:val="20"/>
    </w:rPr>
  </w:style>
  <w:style w:type="character" w:customStyle="1" w:styleId="CommentTextChar">
    <w:name w:val="Comment Text Char"/>
    <w:basedOn w:val="DefaultParagraphFont"/>
    <w:link w:val="CommentText"/>
    <w:uiPriority w:val="99"/>
    <w:semiHidden/>
    <w:rsid w:val="00FA4417"/>
    <w:rPr>
      <w:sz w:val="20"/>
      <w:szCs w:val="20"/>
    </w:rPr>
  </w:style>
  <w:style w:type="character" w:customStyle="1" w:styleId="Heading3Char">
    <w:name w:val="Heading 3 Char"/>
    <w:basedOn w:val="DefaultParagraphFont"/>
    <w:link w:val="Heading3"/>
    <w:rsid w:val="00A970CD"/>
    <w:rPr>
      <w:rFonts w:asciiTheme="majorHAnsi" w:eastAsiaTheme="majorEastAsia" w:hAnsiTheme="majorHAnsi" w:cstheme="majorBidi"/>
      <w:b/>
      <w:bCs/>
      <w:color w:val="4F81BD" w:themeColor="accent1"/>
      <w:sz w:val="24"/>
      <w:szCs w:val="24"/>
      <w:lang w:val="fr-FR" w:eastAsia="ja-JP"/>
    </w:rPr>
  </w:style>
  <w:style w:type="table" w:styleId="MediumGrid3-Accent1">
    <w:name w:val="Medium Grid 3 Accent 1"/>
    <w:basedOn w:val="TableNormal"/>
    <w:uiPriority w:val="69"/>
    <w:rsid w:val="00A970C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2892</Words>
  <Characters>16491</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3</cp:revision>
  <cp:lastPrinted>2015-10-09T10:36:00Z</cp:lastPrinted>
  <dcterms:created xsi:type="dcterms:W3CDTF">2016-09-02T04:45:00Z</dcterms:created>
  <dcterms:modified xsi:type="dcterms:W3CDTF">2016-09-02T04:51:00Z</dcterms:modified>
</cp:coreProperties>
</file>