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ppt" ContentType="application/vnd.ms-powerpoi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64" w:rsidRDefault="00765664" w:rsidP="006D6846">
      <w:pPr>
        <w:tabs>
          <w:tab w:val="left" w:pos="9356"/>
        </w:tabs>
        <w:ind w:right="-279"/>
        <w:jc w:val="center"/>
        <w:rPr>
          <w:sz w:val="36"/>
          <w:lang w:val="fr-FR"/>
        </w:rPr>
      </w:pPr>
      <w:bookmarkStart w:id="0" w:name="_GoBack"/>
      <w:bookmarkEnd w:id="0"/>
    </w:p>
    <w:p w:rsidR="00575F36" w:rsidRPr="00EC776F" w:rsidRDefault="0041767E" w:rsidP="00AA1FD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center"/>
        <w:rPr>
          <w:b/>
          <w:noProof/>
          <w:sz w:val="36"/>
          <w:lang w:val="fr-FR"/>
        </w:rPr>
      </w:pPr>
      <w:r w:rsidRPr="0041767E">
        <w:rPr>
          <w:b/>
          <w:noProof/>
          <w:sz w:val="36"/>
          <w:lang w:val="fr-FR"/>
        </w:rPr>
        <w:t>Traitement des OST avec utilisation des Free Of Payment Without Matching</w:t>
      </w:r>
    </w:p>
    <w:p w:rsidR="001B1E38" w:rsidRDefault="001B1E38" w:rsidP="006D6846">
      <w:pPr>
        <w:tabs>
          <w:tab w:val="left" w:pos="9356"/>
        </w:tabs>
        <w:ind w:right="-279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4932"/>
      </w:tblGrid>
      <w:tr w:rsidR="004F6025" w:rsidTr="0091257E">
        <w:tc>
          <w:tcPr>
            <w:tcW w:w="2093" w:type="dxa"/>
            <w:vMerge w:val="restart"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4932" w:type="dxa"/>
          </w:tcPr>
          <w:p w:rsidR="004F6025" w:rsidRDefault="0041767E" w:rsidP="009B5730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4</w:t>
            </w:r>
            <w:r w:rsidR="00140482">
              <w:rPr>
                <w:lang w:val="fr-FR"/>
              </w:rPr>
              <w:t>.</w:t>
            </w:r>
            <w:r w:rsidR="009B5730">
              <w:rPr>
                <w:lang w:val="fr-FR"/>
              </w:rPr>
              <w:t>5</w:t>
            </w:r>
          </w:p>
        </w:tc>
      </w:tr>
      <w:tr w:rsidR="004F6025" w:rsidRPr="00AA1FDB" w:rsidTr="0091257E">
        <w:tc>
          <w:tcPr>
            <w:tcW w:w="2093" w:type="dxa"/>
            <w:vMerge/>
            <w:shd w:val="clear" w:color="auto" w:fill="BFBFBF" w:themeFill="background1" w:themeFillShade="BF"/>
          </w:tcPr>
          <w:p w:rsidR="004F6025" w:rsidRPr="004F6025" w:rsidRDefault="004F6025" w:rsidP="006D6846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:rsidR="004F6025" w:rsidRDefault="004F6025" w:rsidP="00EC776F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 xml:space="preserve">Date </w:t>
            </w:r>
            <w:r w:rsidR="00EC776F">
              <w:rPr>
                <w:lang w:val="fr-FR"/>
              </w:rPr>
              <w:t>de publication</w:t>
            </w:r>
          </w:p>
        </w:tc>
        <w:tc>
          <w:tcPr>
            <w:tcW w:w="4932" w:type="dxa"/>
          </w:tcPr>
          <w:p w:rsidR="004F6025" w:rsidRDefault="009B5730" w:rsidP="006D684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 xml:space="preserve">30 août </w:t>
            </w:r>
            <w:r w:rsidR="00140482">
              <w:rPr>
                <w:lang w:val="fr-FR"/>
              </w:rPr>
              <w:t>2016</w:t>
            </w:r>
          </w:p>
        </w:tc>
      </w:tr>
    </w:tbl>
    <w:p w:rsidR="00B26098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EC776F" w:rsidRDefault="00EC776F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Pr="004F6025" w:rsidRDefault="0081511D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PRESENTATION DE LA PRATIQUE EXISTANTE &amp; description des Impacts</w:t>
      </w:r>
    </w:p>
    <w:p w:rsidR="0081511D" w:rsidRPr="004F6025" w:rsidRDefault="0081511D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D103DA" w:rsidRPr="009B5730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103DA" w:rsidRPr="00D103DA" w:rsidRDefault="00D103DA" w:rsidP="00893912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D103DA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</w:t>
            </w:r>
            <w:r w:rsidR="00893912">
              <w:rPr>
                <w:rFonts w:eastAsia="MS Mincho" w:cs="Times New Roman"/>
                <w:b/>
                <w:noProof/>
                <w:szCs w:val="32"/>
                <w:lang w:val="fr-FR"/>
              </w:rPr>
              <w:t>de la pratique existante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41767E" w:rsidRPr="0041767E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1767E">
              <w:rPr>
                <w:rFonts w:eastAsia="MS Mincho" w:cs="Times New Roman"/>
                <w:noProof/>
                <w:szCs w:val="32"/>
                <w:lang w:val="fr-FR"/>
              </w:rPr>
              <w:t xml:space="preserve">Aujourd’hui les Opérations sur Titres (OST) sont très souvent traitées en utilisant des ordres de type « franco unilatéral » qui permettent aux TCC </w:t>
            </w:r>
            <w:r w:rsidR="00C07C40">
              <w:rPr>
                <w:rFonts w:eastAsia="MS Mincho" w:cs="Times New Roman"/>
                <w:noProof/>
                <w:szCs w:val="32"/>
                <w:lang w:val="fr-FR"/>
              </w:rPr>
              <w:t xml:space="preserve">(Teneurs de comptes conservateurs) </w:t>
            </w:r>
            <w:r w:rsidRPr="0041767E">
              <w:rPr>
                <w:rFonts w:eastAsia="MS Mincho" w:cs="Times New Roman"/>
                <w:noProof/>
                <w:szCs w:val="32"/>
                <w:lang w:val="fr-FR"/>
              </w:rPr>
              <w:t>de présenter les droits ou titres au centralisateur à l’appui de leurs dépôts, et au centralisateur d’assurer ensuite la livraison à l’attention de la Place des titres obtenus à l’issue de l’OST.</w:t>
            </w:r>
          </w:p>
          <w:p w:rsidR="0041767E" w:rsidRPr="0041767E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1767E">
              <w:rPr>
                <w:rFonts w:eastAsia="MS Mincho" w:cs="Times New Roman"/>
                <w:noProof/>
                <w:szCs w:val="32"/>
                <w:lang w:val="fr-FR"/>
              </w:rPr>
              <w:t>Certaines émissions ou OST sont en revanche actuellement traitées à l’aide de SLAB.</w:t>
            </w:r>
          </w:p>
          <w:p w:rsidR="00140482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1767E">
              <w:rPr>
                <w:rFonts w:eastAsia="MS Mincho" w:cs="Times New Roman"/>
                <w:noProof/>
                <w:szCs w:val="32"/>
                <w:lang w:val="fr-FR"/>
              </w:rPr>
              <w:t>A noter que les francos issus des OST peuvent être distingués des francos issus de transferts de portefeuille essentiellement par le biais des Natures de Compte (NdC) utilisées.</w:t>
            </w:r>
          </w:p>
        </w:tc>
      </w:tr>
      <w:tr w:rsidR="00D103DA" w:rsidRPr="009B5730" w:rsidTr="0091257E">
        <w:tc>
          <w:tcPr>
            <w:tcW w:w="2093" w:type="dxa"/>
            <w:tcBorders>
              <w:left w:val="nil"/>
              <w:right w:val="nil"/>
            </w:tcBorders>
          </w:tcPr>
          <w:p w:rsidR="00EC776F" w:rsidRPr="00D103DA" w:rsidRDefault="00EC776F" w:rsidP="00B26098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:rsidR="00D103DA" w:rsidRDefault="00D103DA" w:rsidP="00B26098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93912" w:rsidRPr="009B5730" w:rsidTr="0081511D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93912" w:rsidRPr="00D103DA" w:rsidRDefault="00893912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l’impact de T2S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41767E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Dans T2S, toutes les instructions de dénouement au sens large devront faire l’objet d’un appariement. Les francos pourront être remplacés par des Free Of Payment (FOP).</w:t>
            </w:r>
          </w:p>
          <w:p w:rsidR="0041767E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Ces instructions pourront être identifiées essentiellement en se fondant sur les NdC utilisées.</w:t>
            </w:r>
          </w:p>
          <w:p w:rsidR="0041767E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1767E">
              <w:rPr>
                <w:rFonts w:eastAsia="MS Mincho" w:cs="Times New Roman"/>
                <w:b/>
                <w:noProof/>
                <w:szCs w:val="32"/>
                <w:lang w:val="fr-FR"/>
              </w:rPr>
              <w:t>Titres livrés dans ESES suite à une OST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 : Les </w:t>
            </w:r>
            <w:r w:rsidRPr="001A4F4D">
              <w:rPr>
                <w:rFonts w:eastAsia="MS Mincho" w:cs="Times New Roman"/>
                <w:noProof/>
                <w:szCs w:val="32"/>
                <w:lang w:val="fr-FR"/>
              </w:rPr>
              <w:t xml:space="preserve">Titres distribués par un centralisateur ou présentés par un TCC dans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le cadre d’</w:t>
            </w:r>
            <w:r w:rsidRPr="001A4F4D">
              <w:rPr>
                <w:rFonts w:eastAsia="MS Mincho" w:cs="Times New Roman"/>
                <w:noProof/>
                <w:szCs w:val="32"/>
                <w:lang w:val="fr-FR"/>
              </w:rPr>
              <w:t>une OST 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(pendant </w:t>
            </w:r>
            <w:r w:rsidRPr="001A4F4D">
              <w:rPr>
                <w:rFonts w:eastAsia="MS Mincho" w:cs="Times New Roman"/>
                <w:noProof/>
                <w:szCs w:val="32"/>
                <w:lang w:val="fr-FR"/>
              </w:rPr>
              <w:t xml:space="preserve">la période intérimaire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entre le lancement de T2S et le Stream 6, </w:t>
            </w:r>
            <w:r w:rsidRPr="001A4F4D">
              <w:rPr>
                <w:rFonts w:eastAsia="MS Mincho" w:cs="Times New Roman"/>
                <w:noProof/>
                <w:szCs w:val="32"/>
                <w:lang w:val="fr-FR"/>
              </w:rPr>
              <w:t xml:space="preserve">puis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de façon pérenne </w:t>
            </w:r>
            <w:r w:rsidRPr="001A4F4D">
              <w:rPr>
                <w:rFonts w:eastAsia="MS Mincho" w:cs="Times New Roman"/>
                <w:noProof/>
                <w:szCs w:val="32"/>
                <w:lang w:val="fr-FR"/>
              </w:rPr>
              <w:t xml:space="preserve">sur les OST de type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« </w:t>
            </w:r>
            <w:r w:rsidRPr="001A4F4D">
              <w:rPr>
                <w:rFonts w:eastAsia="MS Mincho" w:cs="Times New Roman"/>
                <w:noProof/>
                <w:szCs w:val="32"/>
                <w:lang w:val="fr-FR"/>
              </w:rPr>
              <w:t>ONGO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 »</w:t>
            </w:r>
            <w:r w:rsidRPr="001A4F4D">
              <w:rPr>
                <w:rFonts w:eastAsia="MS Mincho" w:cs="Times New Roman"/>
                <w:noProof/>
                <w:szCs w:val="32"/>
                <w:lang w:val="fr-FR"/>
              </w:rPr>
              <w:t> 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) viennent d’une NdC OST et sont livrés vers les NdC 000, 045 ou éventuellement 001 des TCC.</w:t>
            </w:r>
          </w:p>
          <w:p w:rsidR="0041767E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Pour pouvoir reconnaître les flux relatifs à des OST, le principe de l’utilisation systématique de NdC de type « Emetteur » par le centralisateur est confirmé, </w:t>
            </w:r>
            <w:r w:rsidR="009751F2">
              <w:rPr>
                <w:rFonts w:eastAsia="MS Mincho" w:cs="Times New Roman"/>
                <w:noProof/>
                <w:szCs w:val="32"/>
                <w:lang w:val="fr-FR"/>
              </w:rPr>
              <w:t>à l’exception toutefois des Offres centralisées par Euronext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.</w:t>
            </w:r>
          </w:p>
          <w:p w:rsidR="0041767E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lastRenderedPageBreak/>
              <w:t>Il demeure toutefois nécessaire pour identifier l’OST concernée d’ajouter le COAF dans les instructions OST des participants (C</w:t>
            </w:r>
            <w:r w:rsidR="00C07C40">
              <w:rPr>
                <w:rFonts w:eastAsia="MS Mincho" w:cs="Times New Roman"/>
                <w:noProof/>
                <w:szCs w:val="32"/>
                <w:lang w:val="fr-FR"/>
              </w:rPr>
              <w:t>f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.recommandation).</w:t>
            </w:r>
          </w:p>
          <w:p w:rsidR="0041767E" w:rsidRPr="0041767E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Pour mémoire, concernant les autres utilisations des FOP dans T2S: 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3A3174">
              <w:rPr>
                <w:rFonts w:eastAsia="MS Mincho" w:cs="Times New Roman"/>
                <w:b/>
                <w:bCs/>
                <w:noProof/>
                <w:szCs w:val="32"/>
                <w:lang w:val="fr-FR"/>
              </w:rPr>
              <w:t>Titres mouvementés à l’occasion d’une conversion</w:t>
            </w:r>
            <w:r w:rsidRPr="00FD2FD6">
              <w:rPr>
                <w:rFonts w:eastAsia="MS Mincho" w:cs="Times New Roman"/>
                <w:b/>
                <w:bCs/>
                <w:noProof/>
                <w:szCs w:val="32"/>
                <w:lang w:val="fr-FR"/>
              </w:rPr>
              <w:t> :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Il s’agit de mouvements titres entre les NdC 000 ou 001 et 009 ainsi que les NdC 008 et 004.</w:t>
            </w:r>
          </w:p>
          <w:p w:rsidR="00140482" w:rsidRPr="00922B9C" w:rsidRDefault="0041767E" w:rsidP="0041767E">
            <w:pPr>
              <w:pStyle w:val="ListParagraph"/>
              <w:numPr>
                <w:ilvl w:val="0"/>
                <w:numId w:val="3"/>
              </w:numPr>
              <w:spacing w:before="120"/>
              <w:ind w:left="318" w:hanging="284"/>
              <w:contextualSpacing w:val="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3A3174">
              <w:rPr>
                <w:rFonts w:eastAsia="MS Mincho" w:cs="Times New Roman"/>
                <w:b/>
                <w:bCs/>
                <w:noProof/>
                <w:szCs w:val="32"/>
                <w:lang w:val="fr-FR"/>
              </w:rPr>
              <w:t>Transferts de portefeuille :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Titres transferés de NdC 000 vers 000 ou de 001 vers 001</w:t>
            </w:r>
          </w:p>
        </w:tc>
      </w:tr>
      <w:tr w:rsidR="0081511D" w:rsidRPr="009B5730" w:rsidTr="0081511D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81511D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9B5730" w:rsidTr="0081511D"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Description de la problématique majeure</w:t>
            </w:r>
          </w:p>
        </w:tc>
        <w:tc>
          <w:tcPr>
            <w:tcW w:w="7513" w:type="dxa"/>
          </w:tcPr>
          <w:p w:rsidR="0041767E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Les établissements souhaitent retrouver le niveau d’automatisation actuel mis en œuvre à partir des francos et notamment pouvoir traiter les OST dans l’attente de la mise en œuvre des nouvelles fonctionnalités prévues dans le Stream 6.</w:t>
            </w:r>
          </w:p>
          <w:p w:rsidR="0081511D" w:rsidRPr="0041767E" w:rsidRDefault="0041767E" w:rsidP="0041767E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1767E">
              <w:rPr>
                <w:rFonts w:eastAsia="MS Mincho" w:cs="Times New Roman"/>
                <w:noProof/>
                <w:szCs w:val="32"/>
                <w:lang w:val="fr-FR"/>
              </w:rPr>
              <w:t>Une pratique de marché doit être définie pour préciser la procédure à appliquer dès le démarrage d’ESES sur T2S et jusqu’à la mise en place du Stream 6 puis de façon pérenne sur les OST de type ONGO </w:t>
            </w:r>
          </w:p>
        </w:tc>
      </w:tr>
      <w:tr w:rsidR="0081511D" w:rsidRPr="009B5730" w:rsidTr="00C07C40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des rôles de toutes les parties prenantes </w:t>
            </w:r>
          </w:p>
          <w:p w:rsidR="0081511D" w:rsidRPr="00D103DA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513" w:type="dxa"/>
          </w:tcPr>
          <w:p w:rsidR="0081511D" w:rsidRDefault="0081511D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RPr="0081511D" w:rsidTr="00C07C40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81511D" w:rsidTr="0081511D">
        <w:tc>
          <w:tcPr>
            <w:tcW w:w="2093" w:type="dxa"/>
            <w:shd w:val="clear" w:color="auto" w:fill="BFBFBF" w:themeFill="background1" w:themeFillShade="BF"/>
          </w:tcPr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7513" w:type="dxa"/>
          </w:tcPr>
          <w:p w:rsidR="0041767E" w:rsidRPr="00FD2FD6" w:rsidRDefault="009751F2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FD2FD6">
              <w:rPr>
                <w:rFonts w:eastAsia="MS Mincho" w:cs="Times New Roman"/>
                <w:noProof/>
                <w:szCs w:val="32"/>
                <w:lang w:val="fr-FR"/>
              </w:rPr>
              <w:t>Le fonctionnement de l’offre Free o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f payment without matching est illustré dans le schéma des flux figurant p 6 dans la présentation ci-dessous et le fonctionnement et les données exhaustives sont décrites dans le DSD euroclear « ESES matching and settlement ».</w:t>
            </w:r>
          </w:p>
          <w:p w:rsidR="0041767E" w:rsidRPr="00FD2FD6" w:rsidRDefault="0041767E" w:rsidP="0041767E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bookmarkStart w:id="1" w:name="_MON_1504501633"/>
          <w:bookmarkEnd w:id="1"/>
          <w:p w:rsidR="0081511D" w:rsidRPr="00FD2FD6" w:rsidRDefault="0041767E" w:rsidP="0041767E">
            <w:pPr>
              <w:rPr>
                <w:rFonts w:eastAsia="MS Mincho" w:cs="Times New Roman"/>
                <w:noProof/>
                <w:szCs w:val="32"/>
                <w:lang w:val="fr-FR"/>
              </w:rPr>
            </w:pPr>
            <w:r w:rsidRPr="009D066A">
              <w:rPr>
                <w:rFonts w:eastAsia="MS Mincho" w:cs="Times New Roman"/>
                <w:noProof/>
                <w:szCs w:val="32"/>
                <w:lang w:val="fr-FR"/>
              </w:rPr>
              <w:object w:dxaOrig="1551" w:dyaOrig="10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1pt" o:ole="">
                  <v:imagedata r:id="rId8" o:title=""/>
                </v:shape>
                <o:OLEObject Type="Embed" ProgID="PowerPoint.Show.8" ShapeID="_x0000_i1025" DrawAspect="Icon" ObjectID="_1534305392" r:id="rId9"/>
              </w:object>
            </w:r>
          </w:p>
        </w:tc>
      </w:tr>
      <w:tr w:rsidR="0081511D" w:rsidRPr="0081511D" w:rsidTr="00C07C40">
        <w:tc>
          <w:tcPr>
            <w:tcW w:w="2093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RPr="009B5730" w:rsidTr="0091257E">
        <w:tc>
          <w:tcPr>
            <w:tcW w:w="20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511D" w:rsidRDefault="0081511D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Liens avec d’autres pratiques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41767E" w:rsidRPr="00BA66D3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MS-SETTL-FRANCO-02 : Transferts de portefeuille</w:t>
            </w:r>
          </w:p>
          <w:p w:rsidR="0041767E" w:rsidRP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MS-SETTL-FRANCO-03 : Conversions-changement de forme des titres</w:t>
            </w:r>
          </w:p>
          <w:p w:rsidR="0041767E" w:rsidRP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MS-SETTL-FRANCO-</w:t>
            </w:r>
            <w:r w:rsidRPr="0041767E">
              <w:rPr>
                <w:rFonts w:eastAsia="MS Mincho" w:cs="Times New Roman"/>
                <w:noProof/>
                <w:szCs w:val="32"/>
                <w:lang w:val="fr-FR"/>
              </w:rPr>
              <w:t>04 : Modalités d’instruction des instructions francos sans paiement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1767E">
              <w:rPr>
                <w:rFonts w:eastAsia="MS Mincho" w:cs="Times New Roman"/>
                <w:noProof/>
                <w:szCs w:val="32"/>
                <w:lang w:val="fr-FR"/>
              </w:rPr>
              <w:t>MS-MATCH-CRITE-01 : Coordonnées d’Instruction de Règlement-Livrai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s</w:t>
            </w:r>
            <w:r w:rsidRPr="0041767E">
              <w:rPr>
                <w:rFonts w:eastAsia="MS Mincho" w:cs="Times New Roman"/>
                <w:noProof/>
                <w:szCs w:val="32"/>
                <w:lang w:val="fr-FR"/>
              </w:rPr>
              <w:t>on (IRL) – Critères de matching obligatoires</w:t>
            </w:r>
          </w:p>
          <w:p w:rsidR="0081511D" w:rsidRPr="0041767E" w:rsidRDefault="0041767E" w:rsidP="009751F2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41767E">
              <w:rPr>
                <w:rFonts w:eastAsia="MS Mincho" w:cs="Times New Roman"/>
                <w:noProof/>
                <w:szCs w:val="32"/>
                <w:lang w:val="fr-FR"/>
              </w:rPr>
              <w:t>MS-MATCH-CRITE-02 : Usage du champs optionnel : client du participant du CSD</w:t>
            </w:r>
          </w:p>
        </w:tc>
      </w:tr>
    </w:tbl>
    <w:p w:rsidR="001E0D83" w:rsidRDefault="001E0D83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41767E" w:rsidRDefault="0041767E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br w:type="page"/>
      </w:r>
    </w:p>
    <w:p w:rsidR="0081511D" w:rsidRPr="004F6025" w:rsidRDefault="0081511D" w:rsidP="0081511D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lastRenderedPageBreak/>
        <w:t>proposition de pratique de marché</w:t>
      </w:r>
    </w:p>
    <w:p w:rsidR="0081511D" w:rsidRDefault="0081511D" w:rsidP="00D103DA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99" w:type="dxa"/>
        <w:tblLook w:val="04A0" w:firstRow="1" w:lastRow="0" w:firstColumn="1" w:lastColumn="0" w:noHBand="0" w:noVBand="1"/>
      </w:tblPr>
      <w:tblGrid>
        <w:gridCol w:w="1540"/>
        <w:gridCol w:w="8159"/>
      </w:tblGrid>
      <w:tr w:rsidR="001E0D83" w:rsidRPr="009B5730" w:rsidTr="0041767E">
        <w:tc>
          <w:tcPr>
            <w:tcW w:w="1540" w:type="dxa"/>
            <w:shd w:val="clear" w:color="auto" w:fill="BFBFBF" w:themeFill="background1" w:themeFillShade="BF"/>
          </w:tcPr>
          <w:p w:rsidR="001E0D83" w:rsidRPr="00D103DA" w:rsidRDefault="0091257E" w:rsidP="00EC776F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Pratique</w:t>
            </w:r>
            <w:r w:rsidR="00BA66D3"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 </w:t>
            </w:r>
            <w:r w:rsidR="001E0D83">
              <w:rPr>
                <w:rFonts w:eastAsia="MS Mincho" w:cs="Times New Roman"/>
                <w:b/>
                <w:noProof/>
                <w:szCs w:val="32"/>
                <w:lang w:val="fr-FR"/>
              </w:rPr>
              <w:t>recommandé</w:t>
            </w:r>
            <w:r w:rsidR="00BA66D3">
              <w:rPr>
                <w:rFonts w:eastAsia="MS Mincho" w:cs="Times New Roman"/>
                <w:b/>
                <w:noProof/>
                <w:szCs w:val="32"/>
                <w:lang w:val="fr-FR"/>
              </w:rPr>
              <w:t>e</w:t>
            </w:r>
          </w:p>
        </w:tc>
        <w:tc>
          <w:tcPr>
            <w:tcW w:w="8159" w:type="dxa"/>
          </w:tcPr>
          <w:p w:rsidR="0041767E" w:rsidRPr="00505E78" w:rsidRDefault="0041767E" w:rsidP="0041767E">
            <w:pPr>
              <w:jc w:val="both"/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</w:pPr>
            <w:r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>Périmètre</w:t>
            </w:r>
            <w:r w:rsidRPr="00505E78"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> :</w:t>
            </w:r>
          </w:p>
          <w:p w:rsidR="0041767E" w:rsidRPr="00505E78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76D3C">
              <w:rPr>
                <w:rFonts w:eastAsia="MS Mincho" w:cs="Times New Roman"/>
                <w:noProof/>
                <w:szCs w:val="32"/>
                <w:lang w:val="fr-FR"/>
              </w:rPr>
              <w:t>Cette recommandation a pour objet de permettre aux établissements du marché français de maintenir le haut niveau d’automatisation actuel. Naturellement cela n’impose pas aux acteurs des autres marchés</w:t>
            </w:r>
            <w:r w:rsidRPr="00505E78">
              <w:rPr>
                <w:rFonts w:eastAsia="MS Mincho" w:cs="Times New Roman"/>
                <w:noProof/>
                <w:szCs w:val="32"/>
                <w:lang w:val="fr-FR"/>
              </w:rPr>
              <w:t> :</w:t>
            </w:r>
          </w:p>
          <w:p w:rsidR="0041767E" w:rsidRPr="00505E78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76D3C">
              <w:rPr>
                <w:rFonts w:eastAsia="MS Mincho" w:cs="Times New Roman"/>
                <w:noProof/>
                <w:szCs w:val="32"/>
                <w:lang w:val="fr-FR"/>
              </w:rPr>
              <w:t xml:space="preserve">d’utiliser </w:t>
            </w:r>
            <w:r w:rsidRPr="00505E78">
              <w:rPr>
                <w:rFonts w:eastAsia="MS Mincho" w:cs="Times New Roman"/>
                <w:noProof/>
                <w:szCs w:val="32"/>
                <w:lang w:val="fr-FR"/>
              </w:rPr>
              <w:t>une pratique basée sur des instruction</w:t>
            </w:r>
            <w:r w:rsidR="00C07C40">
              <w:rPr>
                <w:rFonts w:eastAsia="MS Mincho" w:cs="Times New Roman"/>
                <w:noProof/>
                <w:szCs w:val="32"/>
                <w:lang w:val="fr-FR"/>
              </w:rPr>
              <w:t>s</w:t>
            </w:r>
            <w:r w:rsidRPr="00505E78">
              <w:rPr>
                <w:rFonts w:eastAsia="MS Mincho" w:cs="Times New Roman"/>
                <w:noProof/>
                <w:szCs w:val="32"/>
                <w:lang w:val="fr-FR"/>
              </w:rPr>
              <w:t xml:space="preserve"> sans matching (basée sur la fonctionn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a</w:t>
            </w:r>
            <w:r w:rsidRPr="00505E78">
              <w:rPr>
                <w:rFonts w:eastAsia="MS Mincho" w:cs="Times New Roman"/>
                <w:noProof/>
                <w:szCs w:val="32"/>
                <w:lang w:val="fr-FR"/>
              </w:rPr>
              <w:t>lité mise à disposition par Euroclear</w:t>
            </w:r>
            <w:r w:rsidR="00C07C40">
              <w:rPr>
                <w:rFonts w:eastAsia="MS Mincho" w:cs="Times New Roman"/>
                <w:noProof/>
                <w:szCs w:val="32"/>
                <w:lang w:val="fr-FR"/>
              </w:rPr>
              <w:t xml:space="preserve"> France</w:t>
            </w:r>
            <w:r w:rsidRPr="00505E78">
              <w:rPr>
                <w:rFonts w:eastAsia="MS Mincho" w:cs="Times New Roman"/>
                <w:noProof/>
                <w:szCs w:val="32"/>
                <w:lang w:val="fr-FR"/>
              </w:rPr>
              <w:t>)</w:t>
            </w:r>
          </w:p>
          <w:p w:rsidR="0041767E" w:rsidRPr="00B95EA4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505E78">
              <w:rPr>
                <w:rFonts w:eastAsia="MS Mincho" w:cs="Times New Roman"/>
                <w:noProof/>
                <w:szCs w:val="32"/>
                <w:lang w:val="fr-FR"/>
              </w:rPr>
              <w:t>de véhiculer les m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ê</w:t>
            </w:r>
            <w:r w:rsidRPr="00505E78">
              <w:rPr>
                <w:rFonts w:eastAsia="MS Mincho" w:cs="Times New Roman"/>
                <w:noProof/>
                <w:szCs w:val="32"/>
                <w:lang w:val="fr-FR"/>
              </w:rPr>
              <w:t>mes informations dans les m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ê</w:t>
            </w:r>
            <w:r w:rsidRPr="00505E78">
              <w:rPr>
                <w:rFonts w:eastAsia="MS Mincho" w:cs="Times New Roman"/>
                <w:noProof/>
                <w:szCs w:val="32"/>
                <w:lang w:val="fr-FR"/>
              </w:rPr>
              <w:t>mes champs, dans le cas d’une utilisation d’instructions sans matching</w:t>
            </w:r>
            <w:r w:rsidRPr="00676D3C">
              <w:rPr>
                <w:rFonts w:eastAsia="MS Mincho" w:cs="Times New Roman"/>
                <w:noProof/>
                <w:szCs w:val="32"/>
                <w:lang w:val="fr-FR"/>
              </w:rPr>
              <w:t>.</w:t>
            </w: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</w:pP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</w:pPr>
            <w:r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>Pratique de marché</w:t>
            </w:r>
            <w:r w:rsidRPr="00FD2FD6"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 xml:space="preserve"> recommandée :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B95EA4">
              <w:rPr>
                <w:rFonts w:eastAsia="MS Mincho" w:cs="Times New Roman"/>
                <w:noProof/>
                <w:szCs w:val="32"/>
                <w:lang w:val="fr-FR"/>
              </w:rPr>
              <w:t xml:space="preserve">Utiliser l’offre d’Euroclear </w:t>
            </w:r>
            <w:r w:rsidR="00C07C40">
              <w:rPr>
                <w:rFonts w:eastAsia="MS Mincho" w:cs="Times New Roman"/>
                <w:noProof/>
                <w:szCs w:val="32"/>
                <w:lang w:val="fr-FR"/>
              </w:rPr>
              <w:t xml:space="preserve">France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« </w:t>
            </w:r>
            <w:r w:rsidRPr="00B95EA4">
              <w:rPr>
                <w:rFonts w:eastAsia="MS Mincho" w:cs="Times New Roman"/>
                <w:noProof/>
                <w:szCs w:val="32"/>
                <w:lang w:val="fr-FR"/>
              </w:rPr>
              <w:t>Free of Payment without Matching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 »</w:t>
            </w:r>
            <w:r w:rsidRPr="00B95EA4">
              <w:rPr>
                <w:rFonts w:eastAsia="MS Mincho" w:cs="Times New Roman"/>
                <w:noProof/>
                <w:szCs w:val="32"/>
                <w:lang w:val="fr-FR"/>
              </w:rPr>
              <w:t xml:space="preserve"> qui fonctionne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ra</w:t>
            </w:r>
            <w:r w:rsidRPr="00B95EA4">
              <w:rPr>
                <w:rFonts w:eastAsia="MS Mincho" w:cs="Times New Roman"/>
                <w:noProof/>
                <w:szCs w:val="32"/>
                <w:lang w:val="fr-FR"/>
              </w:rPr>
              <w:t xml:space="preserve"> à partir d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e messages ISO</w:t>
            </w:r>
            <w:r w:rsidRPr="00B95EA4">
              <w:rPr>
                <w:rFonts w:eastAsia="MS Mincho" w:cs="Times New Roman"/>
                <w:noProof/>
                <w:szCs w:val="32"/>
                <w:lang w:val="fr-FR"/>
              </w:rPr>
              <w:t xml:space="preserve"> 15</w:t>
            </w:r>
            <w:r w:rsidRPr="00115149">
              <w:rPr>
                <w:rFonts w:eastAsia="MS Mincho" w:cs="Times New Roman"/>
                <w:noProof/>
                <w:szCs w:val="32"/>
                <w:lang w:val="fr-FR"/>
              </w:rPr>
              <w:t>022, de messages ISO 20022 et également à partir du poste Euroclear Connect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for Screens</w:t>
            </w:r>
            <w:r w:rsidRPr="00115149">
              <w:rPr>
                <w:rFonts w:eastAsia="MS Mincho" w:cs="Times New Roman"/>
                <w:noProof/>
                <w:szCs w:val="32"/>
                <w:lang w:val="fr-FR"/>
              </w:rPr>
              <w:t>.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D’un point de vue TCC, procéder à l</w:t>
            </w:r>
            <w:r w:rsidRPr="0037458D">
              <w:rPr>
                <w:rFonts w:eastAsia="MS Mincho" w:cs="Times New Roman"/>
                <w:noProof/>
                <w:szCs w:val="32"/>
                <w:lang w:val="fr-FR"/>
              </w:rPr>
              <w:t xml:space="preserve">a livraison des titres ou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des </w:t>
            </w:r>
            <w:r w:rsidRPr="0037458D">
              <w:rPr>
                <w:rFonts w:eastAsia="MS Mincho" w:cs="Times New Roman"/>
                <w:noProof/>
                <w:szCs w:val="32"/>
                <w:lang w:val="fr-FR"/>
              </w:rPr>
              <w:t xml:space="preserve">droits 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 xml:space="preserve">systématiquement </w:t>
            </w:r>
            <w:r w:rsidRPr="0037458D">
              <w:rPr>
                <w:rFonts w:eastAsia="MS Mincho" w:cs="Times New Roman"/>
                <w:noProof/>
                <w:szCs w:val="32"/>
                <w:lang w:val="fr-FR"/>
              </w:rPr>
              <w:t>sur le sous-compte L1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</w:t>
            </w:r>
            <w:r w:rsidRPr="0037458D">
              <w:rPr>
                <w:rFonts w:eastAsia="MS Mincho" w:cs="Times New Roman"/>
                <w:noProof/>
                <w:szCs w:val="32"/>
                <w:lang w:val="fr-FR"/>
              </w:rPr>
              <w:t>0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de l’agent centralisateur, en respectant la NdC correspondant à l’option (indiquée sur le formulaire unique lors de l’annonce de l’OST)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D’un point de vue agent centralisateur, procéder à l</w:t>
            </w:r>
            <w:r w:rsidRPr="0037458D">
              <w:rPr>
                <w:rFonts w:eastAsia="MS Mincho" w:cs="Times New Roman"/>
                <w:noProof/>
                <w:szCs w:val="32"/>
                <w:lang w:val="fr-FR"/>
              </w:rPr>
              <w:t xml:space="preserve">a livraison des titres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nouveaux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 xml:space="preserve"> </w:t>
            </w:r>
            <w:r w:rsidRPr="0037458D">
              <w:rPr>
                <w:rFonts w:eastAsia="MS Mincho" w:cs="Times New Roman"/>
                <w:noProof/>
                <w:szCs w:val="32"/>
                <w:lang w:val="fr-FR"/>
              </w:rPr>
              <w:t>sur le sous-compte L1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</w:t>
            </w:r>
            <w:r w:rsidRPr="0037458D">
              <w:rPr>
                <w:rFonts w:eastAsia="MS Mincho" w:cs="Times New Roman"/>
                <w:noProof/>
                <w:szCs w:val="32"/>
                <w:lang w:val="fr-FR"/>
              </w:rPr>
              <w:t>0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du TCC</w:t>
            </w:r>
          </w:p>
          <w:p w:rsidR="0041767E" w:rsidRDefault="00C07C40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R</w:t>
            </w:r>
            <w:r w:rsidR="0041767E">
              <w:rPr>
                <w:rFonts w:eastAsia="MS Mincho" w:cs="Times New Roman"/>
                <w:noProof/>
                <w:szCs w:val="32"/>
                <w:lang w:val="fr-FR"/>
              </w:rPr>
              <w:t>enseigner le COAF de l’OST dans la zone COAF (soit dans les instructions STP, soit dans l’écran Free Of Payment without Matching).</w:t>
            </w:r>
          </w:p>
          <w:p w:rsidR="0041767E" w:rsidRDefault="0041767E" w:rsidP="0041767E">
            <w:pPr>
              <w:pStyle w:val="ListParagraph"/>
              <w:numPr>
                <w:ilvl w:val="1"/>
                <w:numId w:val="3"/>
              </w:numPr>
              <w:ind w:left="728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Lors de la livraison par le TCC et le teneur de registre des droits ou titres présentés à l’OST</w:t>
            </w:r>
          </w:p>
          <w:p w:rsidR="0041767E" w:rsidRPr="00FD2FD6" w:rsidRDefault="0041767E" w:rsidP="0041767E">
            <w:pPr>
              <w:pStyle w:val="ListParagraph"/>
              <w:numPr>
                <w:ilvl w:val="1"/>
                <w:numId w:val="3"/>
              </w:numPr>
              <w:ind w:left="728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Lors de la livraison par le centralisateur aux TCC des produits de l’OST</w:t>
            </w:r>
          </w:p>
          <w:p w:rsidR="0041767E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</w:pPr>
            <w:r w:rsidRPr="00FD2FD6"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>Prérequis :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Le centralisateur disposera automatiquement pour toutes les natures de compte de centralisation d’un sous-compte L1 0 pour que les TCC puissent le renseigner dans l’instruction T2S,</w:t>
            </w:r>
          </w:p>
          <w:p w:rsidR="0041767E" w:rsidRPr="00FD2FD6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77202D">
              <w:rPr>
                <w:rFonts w:eastAsia="MS Mincho" w:cs="Times New Roman"/>
                <w:noProof/>
                <w:szCs w:val="32"/>
                <w:lang w:val="fr-FR"/>
              </w:rPr>
              <w:t>De même, les TCC devront également toujours ouvrir un sous-compte L1 0 pour recevoir les titres livrés par le centralisateur à l’issue de l’OST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.</w:t>
            </w:r>
          </w:p>
          <w:p w:rsidR="0041767E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b/>
                <w:noProof/>
                <w:szCs w:val="32"/>
                <w:u w:val="single"/>
              </w:rPr>
            </w:pPr>
            <w:r w:rsidRPr="00FD2FD6">
              <w:rPr>
                <w:rFonts w:eastAsia="MS Mincho" w:cs="Times New Roman"/>
                <w:b/>
                <w:noProof/>
                <w:szCs w:val="32"/>
                <w:u w:val="single"/>
              </w:rPr>
              <w:t>Principes généraux</w:t>
            </w:r>
            <w:r w:rsidR="00C07C40">
              <w:rPr>
                <w:rFonts w:eastAsia="MS Mincho" w:cs="Times New Roman"/>
                <w:b/>
                <w:noProof/>
                <w:szCs w:val="32"/>
                <w:u w:val="single"/>
              </w:rPr>
              <w:t xml:space="preserve"> </w:t>
            </w:r>
            <w:r w:rsidRPr="00FD2FD6">
              <w:rPr>
                <w:rFonts w:eastAsia="MS Mincho" w:cs="Times New Roman"/>
                <w:b/>
                <w:noProof/>
                <w:szCs w:val="32"/>
                <w:u w:val="single"/>
              </w:rPr>
              <w:t>: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Ne pas utiliser le « hold »,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Ne pas utiliser le « partial settlement »,</w:t>
            </w:r>
          </w:p>
          <w:p w:rsidR="0041767E" w:rsidRPr="00FD2FD6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en-GB"/>
              </w:rPr>
            </w:pPr>
            <w:r w:rsidRPr="00FD2FD6">
              <w:rPr>
                <w:rFonts w:eastAsia="MS Mincho" w:cs="Times New Roman"/>
                <w:noProof/>
                <w:szCs w:val="32"/>
                <w:lang w:val="en-GB"/>
              </w:rPr>
              <w:t>Utilisation d’instruction Free Of Payement without Matching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Via le « transaction type » OWNE (en ISO 20022 ou par écran), ou DLWM (en ISO 15022), permettant l’identification univoque des instructions « Free Of Payment Without Matching »,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Restreinte à une utilisation en Indirect Connectivy via ESES (pas de possibilité d’envoyer ces types d’instructions directement à T2S),</w:t>
            </w:r>
          </w:p>
          <w:p w:rsidR="0041767E" w:rsidRDefault="009751F2" w:rsidP="009751F2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9751F2">
              <w:rPr>
                <w:rFonts w:eastAsia="MS Mincho" w:cs="Times New Roman"/>
                <w:noProof/>
                <w:szCs w:val="32"/>
                <w:lang w:val="fr-FR"/>
              </w:rPr>
              <w:lastRenderedPageBreak/>
              <w:t>Ces instructions étant éligibles au processus de détection des market claims et transformations (dans l’attente de la correction du defect n° 27092), pour éviter les OST sur flux, la trade date doit être égale à la settlement date.</w:t>
            </w:r>
          </w:p>
          <w:p w:rsidR="0041767E" w:rsidRDefault="0041767E" w:rsidP="0041767E">
            <w:pPr>
              <w:pStyle w:val="ListParagraph"/>
              <w:ind w:left="317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b/>
                <w:noProof/>
                <w:szCs w:val="32"/>
                <w:u w:val="single"/>
              </w:rPr>
            </w:pPr>
            <w:r>
              <w:rPr>
                <w:rFonts w:eastAsia="MS Mincho" w:cs="Times New Roman"/>
                <w:b/>
                <w:noProof/>
                <w:szCs w:val="32"/>
                <w:u w:val="single"/>
              </w:rPr>
              <w:t>Identification des Free Of Payment Without Matching via l’utilisation du COAF</w:t>
            </w:r>
            <w:r w:rsidRPr="00000F6C">
              <w:rPr>
                <w:rFonts w:eastAsia="MS Mincho" w:cs="Times New Roman"/>
                <w:b/>
                <w:noProof/>
                <w:szCs w:val="32"/>
                <w:u w:val="single"/>
              </w:rPr>
              <w:t xml:space="preserve"> :</w:t>
            </w:r>
          </w:p>
          <w:p w:rsidR="0041767E" w:rsidRPr="00FD2FD6" w:rsidRDefault="0041767E" w:rsidP="0041767E">
            <w:pPr>
              <w:ind w:left="33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3A750C">
              <w:rPr>
                <w:rFonts w:eastAsia="MS Mincho" w:cs="Times New Roman"/>
                <w:noProof/>
                <w:szCs w:val="32"/>
                <w:lang w:val="fr-FR"/>
              </w:rPr>
              <w:t>Les participants véhiculeront le COAF identifiant l’OST fourni par l’issuer CSD dans leurs instructions: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En indiquant ce COAF (exemple </w:t>
            </w:r>
            <w:r w:rsidRPr="003A750C">
              <w:rPr>
                <w:rFonts w:eastAsia="MS Mincho" w:cs="Times New Roman"/>
                <w:noProof/>
                <w:szCs w:val="32"/>
                <w:lang w:val="fr-FR"/>
              </w:rPr>
              <w:t>«EF123456789»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) dans la zone de saisie prévue à cet effet dans l’écran EuroclearConnect For screens, ou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Via l’utilisation du champs COAF dans les messages 20022, ou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Via l’utilisation du champs CORP dans les messages 15022,</w:t>
            </w:r>
          </w:p>
          <w:p w:rsidR="0041767E" w:rsidRDefault="0041767E" w:rsidP="0041767E">
            <w:pPr>
              <w:pStyle w:val="ListParagraph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tbl>
            <w:tblPr>
              <w:tblStyle w:val="TableGrid"/>
              <w:tblW w:w="7933" w:type="dxa"/>
              <w:jc w:val="center"/>
              <w:tblLook w:val="04A0" w:firstRow="1" w:lastRow="0" w:firstColumn="1" w:lastColumn="0" w:noHBand="0" w:noVBand="1"/>
            </w:tblPr>
            <w:tblGrid>
              <w:gridCol w:w="988"/>
              <w:gridCol w:w="1164"/>
              <w:gridCol w:w="2238"/>
              <w:gridCol w:w="2268"/>
              <w:gridCol w:w="1275"/>
            </w:tblGrid>
            <w:tr w:rsidR="0041767E" w:rsidRPr="00046A72" w:rsidTr="00C07C40">
              <w:trPr>
                <w:jc w:val="center"/>
              </w:trPr>
              <w:tc>
                <w:tcPr>
                  <w:tcW w:w="988" w:type="dxa"/>
                  <w:shd w:val="clear" w:color="auto" w:fill="BFBFBF" w:themeFill="background1" w:themeFillShade="BF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</w:p>
              </w:tc>
              <w:tc>
                <w:tcPr>
                  <w:tcW w:w="1164" w:type="dxa"/>
                  <w:shd w:val="clear" w:color="auto" w:fill="BFBFBF" w:themeFill="background1" w:themeFillShade="BF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ISO 15022</w:t>
                  </w:r>
                </w:p>
              </w:tc>
              <w:tc>
                <w:tcPr>
                  <w:tcW w:w="2238" w:type="dxa"/>
                  <w:shd w:val="clear" w:color="auto" w:fill="BFBFBF" w:themeFill="background1" w:themeFillShade="BF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ISO 20022 via Euroclear</w:t>
                  </w:r>
                </w:p>
              </w:tc>
              <w:tc>
                <w:tcPr>
                  <w:tcW w:w="2268" w:type="dxa"/>
                  <w:shd w:val="clear" w:color="auto" w:fill="BFBFBF" w:themeFill="background1" w:themeFillShade="BF"/>
                  <w:vAlign w:val="center"/>
                </w:tcPr>
                <w:p w:rsidR="0041767E" w:rsidRPr="0054207B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54207B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ISO 20022 via T2S</w:t>
                  </w:r>
                </w:p>
              </w:tc>
              <w:tc>
                <w:tcPr>
                  <w:tcW w:w="1275" w:type="dxa"/>
                  <w:shd w:val="clear" w:color="auto" w:fill="BFBFBF" w:themeFill="background1" w:themeFillShade="BF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EuroclearConnect</w:t>
                  </w:r>
                </w:p>
              </w:tc>
            </w:tr>
            <w:tr w:rsidR="0041767E" w:rsidRPr="00046A72" w:rsidTr="00C07C40">
              <w:trPr>
                <w:jc w:val="center"/>
              </w:trPr>
              <w:tc>
                <w:tcPr>
                  <w:tcW w:w="988" w:type="dxa"/>
                  <w:vMerge w:val="restart"/>
                  <w:shd w:val="clear" w:color="auto" w:fill="BFBFBF" w:themeFill="background1" w:themeFillShade="BF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instruction</w:t>
                  </w:r>
                </w:p>
              </w:tc>
              <w:tc>
                <w:tcPr>
                  <w:tcW w:w="1164" w:type="dxa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MT 542</w:t>
                  </w:r>
                </w:p>
              </w:tc>
              <w:tc>
                <w:tcPr>
                  <w:tcW w:w="2238" w:type="dxa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Sese.023</w:t>
                  </w:r>
                </w:p>
              </w:tc>
              <w:tc>
                <w:tcPr>
                  <w:tcW w:w="2268" w:type="dxa"/>
                  <w:vAlign w:val="center"/>
                </w:tcPr>
                <w:p w:rsidR="0041767E" w:rsidRPr="0054207B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54207B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N/A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CA reference</w:t>
                  </w:r>
                </w:p>
              </w:tc>
            </w:tr>
            <w:tr w:rsidR="0041767E" w:rsidRPr="00046A72" w:rsidTr="00C07C40">
              <w:trPr>
                <w:jc w:val="center"/>
              </w:trPr>
              <w:tc>
                <w:tcPr>
                  <w:tcW w:w="988" w:type="dxa"/>
                  <w:vMerge/>
                  <w:shd w:val="clear" w:color="auto" w:fill="BFBFBF" w:themeFill="background1" w:themeFillShade="BF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:20C::CORP//</w:t>
                  </w:r>
                </w:p>
              </w:tc>
              <w:tc>
                <w:tcPr>
                  <w:tcW w:w="2238" w:type="dxa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\Document\SctiesSttlmTxInstr\Sttl</w:t>
                  </w:r>
                </w:p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mTpAndAddtlParams\CorpActnEvt</w:t>
                  </w:r>
                </w:p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Id</w:t>
                  </w:r>
                </w:p>
              </w:tc>
              <w:tc>
                <w:tcPr>
                  <w:tcW w:w="2268" w:type="dxa"/>
                  <w:vAlign w:val="center"/>
                </w:tcPr>
                <w:p w:rsidR="0041767E" w:rsidRPr="0054207B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54207B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N/A</w:t>
                  </w:r>
                </w:p>
              </w:tc>
              <w:tc>
                <w:tcPr>
                  <w:tcW w:w="1275" w:type="dxa"/>
                  <w:vMerge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</w:p>
              </w:tc>
            </w:tr>
            <w:tr w:rsidR="0041767E" w:rsidRPr="00046A72" w:rsidTr="00C07C40">
              <w:trPr>
                <w:jc w:val="center"/>
              </w:trPr>
              <w:tc>
                <w:tcPr>
                  <w:tcW w:w="988" w:type="dxa"/>
                  <w:vMerge w:val="restart"/>
                  <w:shd w:val="clear" w:color="auto" w:fill="BFBFBF" w:themeFill="background1" w:themeFillShade="BF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Confirmation de dénouement</w:t>
                  </w:r>
                </w:p>
              </w:tc>
              <w:tc>
                <w:tcPr>
                  <w:tcW w:w="1164" w:type="dxa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MT544 / MT546</w:t>
                  </w:r>
                </w:p>
              </w:tc>
              <w:tc>
                <w:tcPr>
                  <w:tcW w:w="2238" w:type="dxa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Sese.025</w:t>
                  </w:r>
                </w:p>
              </w:tc>
              <w:tc>
                <w:tcPr>
                  <w:tcW w:w="2268" w:type="dxa"/>
                  <w:vAlign w:val="center"/>
                </w:tcPr>
                <w:p w:rsidR="0041767E" w:rsidRPr="0054207B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54207B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Sese.025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CA reference</w:t>
                  </w:r>
                </w:p>
              </w:tc>
            </w:tr>
            <w:tr w:rsidR="0041767E" w:rsidRPr="009B5730" w:rsidTr="00C07C40">
              <w:trPr>
                <w:jc w:val="center"/>
              </w:trPr>
              <w:tc>
                <w:tcPr>
                  <w:tcW w:w="988" w:type="dxa"/>
                  <w:vMerge/>
                  <w:shd w:val="clear" w:color="auto" w:fill="BFBFBF" w:themeFill="background1" w:themeFillShade="BF"/>
                </w:tcPr>
                <w:p w:rsidR="0041767E" w:rsidRPr="001E5FFD" w:rsidRDefault="0041767E" w:rsidP="00C07C40">
                  <w:pPr>
                    <w:jc w:val="both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:20C::CORP//</w:t>
                  </w:r>
                </w:p>
              </w:tc>
              <w:tc>
                <w:tcPr>
                  <w:tcW w:w="2238" w:type="dxa"/>
                  <w:vAlign w:val="center"/>
                </w:tcPr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sz w:val="14"/>
                      <w:szCs w:val="14"/>
                      <w:lang w:val="fr-FR"/>
                    </w:rPr>
                    <w:t xml:space="preserve"> </w:t>
                  </w: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\Document\SctiesSttlmTxConf\TxI</w:t>
                  </w:r>
                </w:p>
                <w:p w:rsidR="0041767E" w:rsidRPr="001E5FFD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1E5FFD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dDtls\CorpActnEvtId</w:t>
                  </w:r>
                </w:p>
              </w:tc>
              <w:tc>
                <w:tcPr>
                  <w:tcW w:w="2268" w:type="dxa"/>
                  <w:vAlign w:val="center"/>
                </w:tcPr>
                <w:p w:rsidR="0041767E" w:rsidRPr="0054207B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54207B">
                    <w:rPr>
                      <w:sz w:val="14"/>
                      <w:szCs w:val="14"/>
                      <w:lang w:val="fr-FR"/>
                    </w:rPr>
                    <w:t xml:space="preserve"> </w:t>
                  </w:r>
                  <w:r w:rsidRPr="0054207B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\Document\SctiesSttlmTxConf\TxI</w:t>
                  </w:r>
                </w:p>
                <w:p w:rsidR="0041767E" w:rsidRPr="0054207B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  <w:r w:rsidRPr="0054207B"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  <w:t>dDtls\CorpActnEvtId</w:t>
                  </w:r>
                </w:p>
              </w:tc>
              <w:tc>
                <w:tcPr>
                  <w:tcW w:w="1275" w:type="dxa"/>
                  <w:vMerge/>
                </w:tcPr>
                <w:p w:rsidR="0041767E" w:rsidRPr="001E5FFD" w:rsidRDefault="0041767E" w:rsidP="00C07C40">
                  <w:pPr>
                    <w:jc w:val="both"/>
                    <w:rPr>
                      <w:rFonts w:eastAsia="MS Mincho" w:cs="Times New Roman"/>
                      <w:noProof/>
                      <w:sz w:val="14"/>
                      <w:szCs w:val="14"/>
                      <w:lang w:val="fr-FR"/>
                    </w:rPr>
                  </w:pPr>
                </w:p>
              </w:tc>
            </w:tr>
          </w:tbl>
          <w:p w:rsidR="0041767E" w:rsidRPr="00B56F91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u w:val="single"/>
                <w:lang w:val="fr-FR"/>
              </w:rPr>
            </w:pPr>
            <w:r w:rsidRPr="00FD2FD6">
              <w:rPr>
                <w:rFonts w:eastAsia="MS Mincho" w:cs="Times New Roman"/>
                <w:noProof/>
                <w:szCs w:val="32"/>
                <w:u w:val="single"/>
                <w:lang w:val="fr-FR"/>
              </w:rPr>
              <w:t>Notes</w:t>
            </w:r>
            <w:r w:rsidR="00C07C40">
              <w:rPr>
                <w:rFonts w:eastAsia="MS Mincho" w:cs="Times New Roman"/>
                <w:noProof/>
                <w:szCs w:val="32"/>
                <w:u w:val="single"/>
                <w:lang w:val="fr-FR"/>
              </w:rPr>
              <w:t xml:space="preserve"> </w:t>
            </w:r>
            <w:r w:rsidRPr="00FD2FD6">
              <w:rPr>
                <w:rFonts w:eastAsia="MS Mincho" w:cs="Times New Roman"/>
                <w:noProof/>
                <w:szCs w:val="32"/>
                <w:u w:val="single"/>
                <w:lang w:val="fr-FR"/>
              </w:rPr>
              <w:t xml:space="preserve">: 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Le COAF de l’OST est disponible dans des messages suivants (lorsque l’OST est générée par ESES)</w:t>
            </w:r>
          </w:p>
          <w:tbl>
            <w:tblPr>
              <w:tblStyle w:val="TableGrid"/>
              <w:tblW w:w="0" w:type="auto"/>
              <w:tblInd w:w="317" w:type="dxa"/>
              <w:tblLook w:val="04A0" w:firstRow="1" w:lastRow="0" w:firstColumn="1" w:lastColumn="0" w:noHBand="0" w:noVBand="1"/>
            </w:tblPr>
            <w:tblGrid>
              <w:gridCol w:w="1282"/>
              <w:gridCol w:w="1280"/>
              <w:gridCol w:w="1283"/>
              <w:gridCol w:w="3771"/>
            </w:tblGrid>
            <w:tr w:rsidR="0041767E" w:rsidRPr="00E3230F" w:rsidTr="00C07C40">
              <w:tc>
                <w:tcPr>
                  <w:tcW w:w="1918" w:type="dxa"/>
                  <w:shd w:val="clear" w:color="auto" w:fill="BFBFBF" w:themeFill="background1" w:themeFillShade="BF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1918" w:type="dxa"/>
                  <w:shd w:val="clear" w:color="auto" w:fill="BFBFBF" w:themeFill="background1" w:themeFillShade="BF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15022 Custody</w:t>
                  </w:r>
                </w:p>
              </w:tc>
              <w:tc>
                <w:tcPr>
                  <w:tcW w:w="1918" w:type="dxa"/>
                  <w:shd w:val="clear" w:color="auto" w:fill="BFBFBF" w:themeFill="background1" w:themeFillShade="BF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15022 settlement</w:t>
                  </w:r>
                </w:p>
              </w:tc>
              <w:tc>
                <w:tcPr>
                  <w:tcW w:w="1918" w:type="dxa"/>
                  <w:shd w:val="clear" w:color="auto" w:fill="BFBFBF" w:themeFill="background1" w:themeFillShade="BF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20022 custody</w:t>
                  </w:r>
                </w:p>
              </w:tc>
            </w:tr>
            <w:tr w:rsidR="0041767E" w:rsidRPr="00E3230F" w:rsidTr="00C07C40">
              <w:tc>
                <w:tcPr>
                  <w:tcW w:w="1918" w:type="dxa"/>
                  <w:shd w:val="clear" w:color="auto" w:fill="BFBFBF" w:themeFill="background1" w:themeFillShade="BF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Annonce</w:t>
                  </w:r>
                </w:p>
              </w:tc>
              <w:tc>
                <w:tcPr>
                  <w:tcW w:w="1918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MT564 :20C::COAF//</w:t>
                  </w:r>
                </w:p>
              </w:tc>
              <w:tc>
                <w:tcPr>
                  <w:tcW w:w="1918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1918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</w:tr>
            <w:tr w:rsidR="0041767E" w:rsidRPr="009B5730" w:rsidTr="00C07C40">
              <w:tc>
                <w:tcPr>
                  <w:tcW w:w="1918" w:type="dxa"/>
                  <w:shd w:val="clear" w:color="auto" w:fill="BFBFBF" w:themeFill="background1" w:themeFillShade="BF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Confirmation</w:t>
                  </w:r>
                </w:p>
              </w:tc>
              <w:tc>
                <w:tcPr>
                  <w:tcW w:w="1918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MT566 :20C::COAF//</w:t>
                  </w:r>
                </w:p>
              </w:tc>
              <w:tc>
                <w:tcPr>
                  <w:tcW w:w="1918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MT54x :20C::CORP//</w:t>
                  </w:r>
                </w:p>
              </w:tc>
              <w:tc>
                <w:tcPr>
                  <w:tcW w:w="1918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Sese.025</w:t>
                  </w:r>
                </w:p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\Document\SctiesSttlmTxConf\TxIdDtls\CorpActnEvtId</w:t>
                  </w:r>
                </w:p>
              </w:tc>
            </w:tr>
          </w:tbl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Le COAF de l’OST est aussi visualisable sur Euroclear Connect for screens dans l’écran des caractéristiques de l’OST.</w:t>
            </w: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41767E" w:rsidRPr="00000F6C" w:rsidRDefault="0041767E" w:rsidP="0041767E">
            <w:pPr>
              <w:jc w:val="both"/>
              <w:rPr>
                <w:rFonts w:eastAsia="MS Mincho" w:cs="Times New Roman"/>
                <w:b/>
                <w:noProof/>
                <w:szCs w:val="32"/>
                <w:u w:val="single"/>
              </w:rPr>
            </w:pPr>
            <w:r>
              <w:rPr>
                <w:rFonts w:eastAsia="MS Mincho" w:cs="Times New Roman"/>
                <w:b/>
                <w:noProof/>
                <w:szCs w:val="32"/>
                <w:u w:val="single"/>
              </w:rPr>
              <w:t>Identification des Free Of Payment Without Matching via l’utilisation des N</w:t>
            </w:r>
            <w:r w:rsidR="009751F2">
              <w:rPr>
                <w:rFonts w:eastAsia="MS Mincho" w:cs="Times New Roman"/>
                <w:b/>
                <w:noProof/>
                <w:szCs w:val="32"/>
                <w:u w:val="single"/>
              </w:rPr>
              <w:t>D</w:t>
            </w:r>
            <w:r>
              <w:rPr>
                <w:rFonts w:eastAsia="MS Mincho" w:cs="Times New Roman"/>
                <w:b/>
                <w:noProof/>
                <w:szCs w:val="32"/>
                <w:u w:val="single"/>
              </w:rPr>
              <w:t>C</w:t>
            </w:r>
            <w:r w:rsidRPr="00000F6C">
              <w:rPr>
                <w:rFonts w:eastAsia="MS Mincho" w:cs="Times New Roman"/>
                <w:b/>
                <w:noProof/>
                <w:szCs w:val="32"/>
                <w:u w:val="single"/>
              </w:rPr>
              <w:t xml:space="preserve"> :</w:t>
            </w:r>
          </w:p>
          <w:p w:rsidR="0041767E" w:rsidRPr="0091587B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91587B">
              <w:rPr>
                <w:rFonts w:eastAsia="MS Mincho" w:cs="Times New Roman"/>
                <w:noProof/>
                <w:szCs w:val="32"/>
                <w:lang w:val="fr-FR"/>
              </w:rPr>
              <w:t>Les participants véhiculeront la notion de NdC nécessa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ire dans  les instructions FOP.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FD2FD6">
              <w:rPr>
                <w:rFonts w:eastAsia="MS Mincho" w:cs="Times New Roman"/>
                <w:noProof/>
                <w:szCs w:val="32"/>
                <w:lang w:val="fr-FR"/>
              </w:rPr>
              <w:t>Dans le cas particulier des OST, il conviendra de communiquer le sous-compte, soit le L1 0 dans la zone Party chez le centralisateur comme chez les TCC (et non pas le RIB comme pour les autres instructions T2S).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8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Pour rappel, la structure de compte utilisée peut être soit celle au format ESES, soit celle au format T2S.</w:t>
            </w:r>
          </w:p>
          <w:p w:rsidR="0041767E" w:rsidRPr="00FD2FD6" w:rsidRDefault="0041767E" w:rsidP="0041767E">
            <w:pPr>
              <w:pStyle w:val="ListParagraph"/>
              <w:ind w:left="36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75"/>
              <w:gridCol w:w="1180"/>
              <w:gridCol w:w="3824"/>
              <w:gridCol w:w="1545"/>
            </w:tblGrid>
            <w:tr w:rsidR="0041767E" w:rsidRPr="009B5730" w:rsidTr="00C07C40">
              <w:trPr>
                <w:jc w:val="center"/>
              </w:trPr>
              <w:tc>
                <w:tcPr>
                  <w:tcW w:w="1075" w:type="dxa"/>
                  <w:shd w:val="clear" w:color="auto" w:fill="BFBFBF" w:themeFill="background1" w:themeFillShade="BF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1180" w:type="dxa"/>
                  <w:shd w:val="clear" w:color="auto" w:fill="BFBFBF" w:themeFill="background1" w:themeFillShade="BF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ISO 15022</w:t>
                  </w:r>
                </w:p>
              </w:tc>
              <w:tc>
                <w:tcPr>
                  <w:tcW w:w="3824" w:type="dxa"/>
                  <w:shd w:val="clear" w:color="auto" w:fill="BFBFBF" w:themeFill="background1" w:themeFillShade="BF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ISO 20022 via Euroclear</w:t>
                  </w:r>
                </w:p>
              </w:tc>
              <w:tc>
                <w:tcPr>
                  <w:tcW w:w="1545" w:type="dxa"/>
                  <w:shd w:val="clear" w:color="auto" w:fill="BFBFBF" w:themeFill="background1" w:themeFillShade="BF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EuroclearConnect</w:t>
                  </w:r>
                </w:p>
              </w:tc>
            </w:tr>
            <w:tr w:rsidR="0041767E" w:rsidRPr="009B5730" w:rsidTr="00C07C40">
              <w:trPr>
                <w:jc w:val="center"/>
              </w:trPr>
              <w:tc>
                <w:tcPr>
                  <w:tcW w:w="1075" w:type="dxa"/>
                  <w:vMerge w:val="restart"/>
                  <w:shd w:val="clear" w:color="auto" w:fill="BFBFBF" w:themeFill="background1" w:themeFillShade="BF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I</w:t>
                  </w: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nstruction</w:t>
                  </w:r>
                </w:p>
              </w:tc>
              <w:tc>
                <w:tcPr>
                  <w:tcW w:w="1180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MT 542</w:t>
                  </w:r>
                </w:p>
              </w:tc>
              <w:tc>
                <w:tcPr>
                  <w:tcW w:w="3824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Sese.023</w:t>
                  </w:r>
                </w:p>
              </w:tc>
              <w:tc>
                <w:tcPr>
                  <w:tcW w:w="1545" w:type="dxa"/>
                  <w:vMerge w:val="restart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Counterparty’s account / NDC</w:t>
                  </w:r>
                </w:p>
              </w:tc>
            </w:tr>
            <w:tr w:rsidR="0041767E" w:rsidRPr="009B5730" w:rsidTr="00C07C40">
              <w:trPr>
                <w:jc w:val="center"/>
              </w:trPr>
              <w:tc>
                <w:tcPr>
                  <w:tcW w:w="1075" w:type="dxa"/>
                  <w:vMerge/>
                  <w:shd w:val="clear" w:color="auto" w:fill="BFBFBF" w:themeFill="background1" w:themeFillShade="BF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:97A::SAFE</w:t>
                  </w:r>
                </w:p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3824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 xml:space="preserve">Pty1/SfcpgAcct      </w:t>
                  </w:r>
                </w:p>
              </w:tc>
              <w:tc>
                <w:tcPr>
                  <w:tcW w:w="1545" w:type="dxa"/>
                  <w:vMerge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</w:tr>
            <w:tr w:rsidR="0041767E" w:rsidRPr="009B5730" w:rsidTr="00C07C40">
              <w:trPr>
                <w:jc w:val="center"/>
              </w:trPr>
              <w:tc>
                <w:tcPr>
                  <w:tcW w:w="1075" w:type="dxa"/>
                  <w:vMerge w:val="restart"/>
                  <w:shd w:val="clear" w:color="auto" w:fill="BFBFBF" w:themeFill="background1" w:themeFillShade="BF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S</w:t>
                  </w: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tatut</w:t>
                  </w:r>
                </w:p>
              </w:tc>
              <w:tc>
                <w:tcPr>
                  <w:tcW w:w="1180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MT548</w:t>
                  </w:r>
                </w:p>
              </w:tc>
              <w:tc>
                <w:tcPr>
                  <w:tcW w:w="3824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Sese.024</w:t>
                  </w:r>
                </w:p>
              </w:tc>
              <w:tc>
                <w:tcPr>
                  <w:tcW w:w="1545" w:type="dxa"/>
                  <w:vMerge w:val="restart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NDC</w:t>
                  </w:r>
                </w:p>
              </w:tc>
            </w:tr>
            <w:tr w:rsidR="0041767E" w:rsidRPr="009B5730" w:rsidTr="00C07C40">
              <w:trPr>
                <w:jc w:val="center"/>
              </w:trPr>
              <w:tc>
                <w:tcPr>
                  <w:tcW w:w="1075" w:type="dxa"/>
                  <w:vMerge/>
                  <w:shd w:val="clear" w:color="auto" w:fill="BFBFBF" w:themeFill="background1" w:themeFillShade="BF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:97A::SAFE</w:t>
                  </w:r>
                </w:p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3824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 xml:space="preserve">Pty1/SfcpgAcct      </w:t>
                  </w:r>
                </w:p>
              </w:tc>
              <w:tc>
                <w:tcPr>
                  <w:tcW w:w="1545" w:type="dxa"/>
                  <w:vMerge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</w:tr>
            <w:tr w:rsidR="0041767E" w:rsidRPr="009B5730" w:rsidTr="00C07C40">
              <w:trPr>
                <w:jc w:val="center"/>
              </w:trPr>
              <w:tc>
                <w:tcPr>
                  <w:tcW w:w="1075" w:type="dxa"/>
                  <w:vMerge w:val="restart"/>
                  <w:shd w:val="clear" w:color="auto" w:fill="BFBFBF" w:themeFill="background1" w:themeFillShade="BF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Confirmation de dénouement</w:t>
                  </w:r>
                </w:p>
              </w:tc>
              <w:tc>
                <w:tcPr>
                  <w:tcW w:w="1180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MT544 / MT546</w:t>
                  </w:r>
                </w:p>
              </w:tc>
              <w:tc>
                <w:tcPr>
                  <w:tcW w:w="3824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Sese.025</w:t>
                  </w:r>
                </w:p>
              </w:tc>
              <w:tc>
                <w:tcPr>
                  <w:tcW w:w="1545" w:type="dxa"/>
                  <w:vMerge w:val="restart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NDC</w:t>
                  </w:r>
                </w:p>
              </w:tc>
            </w:tr>
            <w:tr w:rsidR="0041767E" w:rsidRPr="009B5730" w:rsidTr="00C07C40">
              <w:trPr>
                <w:jc w:val="center"/>
              </w:trPr>
              <w:tc>
                <w:tcPr>
                  <w:tcW w:w="1075" w:type="dxa"/>
                  <w:vMerge/>
                  <w:shd w:val="clear" w:color="auto" w:fill="BFBFBF" w:themeFill="background1" w:themeFillShade="BF"/>
                </w:tcPr>
                <w:p w:rsidR="0041767E" w:rsidRPr="00687E24" w:rsidRDefault="0041767E" w:rsidP="00C07C40">
                  <w:pPr>
                    <w:jc w:val="both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1180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:97A::SAFE</w:t>
                  </w:r>
                </w:p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3824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lastRenderedPageBreak/>
                    <w:t>Pty1/SfcpgAcct</w:t>
                  </w:r>
                </w:p>
              </w:tc>
              <w:tc>
                <w:tcPr>
                  <w:tcW w:w="1545" w:type="dxa"/>
                  <w:vMerge/>
                </w:tcPr>
                <w:p w:rsidR="0041767E" w:rsidRPr="00687E24" w:rsidRDefault="0041767E" w:rsidP="00C07C40">
                  <w:pPr>
                    <w:jc w:val="both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</w:tr>
          </w:tbl>
          <w:p w:rsidR="0041767E" w:rsidRDefault="0041767E" w:rsidP="0041767E">
            <w:pPr>
              <w:jc w:val="both"/>
              <w:rPr>
                <w:rFonts w:eastAsia="MS Mincho" w:cs="Times New Roman"/>
                <w:b/>
                <w:noProof/>
                <w:szCs w:val="32"/>
                <w:u w:val="single"/>
                <w:lang w:val="fr-FR"/>
              </w:rPr>
            </w:pP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bCs/>
                <w:noProof/>
                <w:szCs w:val="32"/>
                <w:lang w:val="fr-FR"/>
              </w:rPr>
            </w:pPr>
            <w:r w:rsidRPr="00FD2FD6">
              <w:rPr>
                <w:rFonts w:eastAsia="MS Mincho" w:cs="Times New Roman"/>
                <w:bCs/>
                <w:noProof/>
                <w:szCs w:val="32"/>
                <w:lang w:val="fr-FR"/>
              </w:rPr>
              <w:t>Ex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>e</w:t>
            </w:r>
            <w:r w:rsidRPr="00FD2FD6">
              <w:rPr>
                <w:rFonts w:eastAsia="MS Mincho" w:cs="Times New Roman"/>
                <w:bCs/>
                <w:noProof/>
                <w:szCs w:val="32"/>
                <w:lang w:val="fr-FR"/>
              </w:rPr>
              <w:t>mple</w:t>
            </w:r>
            <w:r>
              <w:rPr>
                <w:rFonts w:eastAsia="MS Mincho" w:cs="Times New Roman"/>
                <w:bCs/>
                <w:noProof/>
                <w:szCs w:val="32"/>
                <w:lang w:val="fr-FR"/>
              </w:rPr>
              <w:t xml:space="preserve"> avec l’utilisation de la NDC056 :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85"/>
              <w:gridCol w:w="2684"/>
              <w:gridCol w:w="2834"/>
              <w:gridCol w:w="1430"/>
            </w:tblGrid>
            <w:tr w:rsidR="0041767E" w:rsidRPr="00687E24" w:rsidTr="00C07C40">
              <w:trPr>
                <w:jc w:val="center"/>
              </w:trPr>
              <w:tc>
                <w:tcPr>
                  <w:tcW w:w="1075" w:type="dxa"/>
                  <w:shd w:val="clear" w:color="auto" w:fill="BFBFBF" w:themeFill="background1" w:themeFillShade="BF"/>
                </w:tcPr>
                <w:p w:rsidR="0041767E" w:rsidRPr="00687E24" w:rsidRDefault="0041767E" w:rsidP="00C07C40">
                  <w:pPr>
                    <w:jc w:val="both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1718" w:type="dxa"/>
                  <w:shd w:val="clear" w:color="auto" w:fill="BFBFBF" w:themeFill="background1" w:themeFillShade="BF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ISO 15022</w:t>
                  </w:r>
                </w:p>
              </w:tc>
              <w:tc>
                <w:tcPr>
                  <w:tcW w:w="3319" w:type="dxa"/>
                  <w:shd w:val="clear" w:color="auto" w:fill="BFBFBF" w:themeFill="background1" w:themeFillShade="BF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ISO 20022 via Euroclear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EuroclearConnect</w:t>
                  </w:r>
                </w:p>
              </w:tc>
            </w:tr>
            <w:tr w:rsidR="0041767E" w:rsidRPr="00687E24" w:rsidTr="00C07C40">
              <w:trPr>
                <w:jc w:val="center"/>
              </w:trPr>
              <w:tc>
                <w:tcPr>
                  <w:tcW w:w="1075" w:type="dxa"/>
                  <w:vMerge w:val="restart"/>
                  <w:shd w:val="clear" w:color="auto" w:fill="BFBFBF" w:themeFill="background1" w:themeFillShade="BF"/>
                  <w:vAlign w:val="center"/>
                </w:tcPr>
                <w:p w:rsidR="0041767E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Instruction</w:t>
                  </w:r>
                </w:p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(format ESES)</w:t>
                  </w:r>
                </w:p>
              </w:tc>
              <w:tc>
                <w:tcPr>
                  <w:tcW w:w="1718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MT 542</w:t>
                  </w:r>
                </w:p>
              </w:tc>
              <w:tc>
                <w:tcPr>
                  <w:tcW w:w="3319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Sese.023</w:t>
                  </w:r>
                </w:p>
              </w:tc>
              <w:tc>
                <w:tcPr>
                  <w:tcW w:w="1512" w:type="dxa"/>
                  <w:vMerge w:val="restart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Counterparty’s account / NDC</w:t>
                  </w:r>
                </w:p>
              </w:tc>
            </w:tr>
            <w:tr w:rsidR="0041767E" w:rsidRPr="00687E24" w:rsidTr="00C07C40">
              <w:trPr>
                <w:jc w:val="center"/>
              </w:trPr>
              <w:tc>
                <w:tcPr>
                  <w:tcW w:w="1075" w:type="dxa"/>
                  <w:vMerge/>
                  <w:shd w:val="clear" w:color="auto" w:fill="BFBFBF" w:themeFill="background1" w:themeFillShade="BF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1718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 xml:space="preserve">:97A::SAFE//056/L10/0  </w:t>
                  </w:r>
                </w:p>
              </w:tc>
              <w:tc>
                <w:tcPr>
                  <w:tcW w:w="3319" w:type="dxa"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</w:rPr>
                  </w:pPr>
                  <w:r w:rsidRPr="00FD2FD6">
                    <w:rPr>
                      <w:rFonts w:eastAsia="MS Mincho" w:cs="Times New Roman"/>
                      <w:noProof/>
                      <w:sz w:val="16"/>
                      <w:szCs w:val="16"/>
                    </w:rPr>
                    <w:t xml:space="preserve">Pty1/SfkpgAcct      &lt;Id&gt;056/L10/0&lt;/Id&gt;  </w:t>
                  </w:r>
                </w:p>
              </w:tc>
              <w:tc>
                <w:tcPr>
                  <w:tcW w:w="1512" w:type="dxa"/>
                  <w:vMerge/>
                  <w:vAlign w:val="center"/>
                </w:tcPr>
                <w:p w:rsidR="0041767E" w:rsidRPr="00FD2FD6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</w:rPr>
                  </w:pPr>
                </w:p>
              </w:tc>
            </w:tr>
            <w:tr w:rsidR="0041767E" w:rsidRPr="00687E24" w:rsidTr="00C07C40">
              <w:trPr>
                <w:jc w:val="center"/>
              </w:trPr>
              <w:tc>
                <w:tcPr>
                  <w:tcW w:w="1075" w:type="dxa"/>
                  <w:vMerge w:val="restart"/>
                  <w:shd w:val="clear" w:color="auto" w:fill="BFBFBF" w:themeFill="background1" w:themeFillShade="BF"/>
                  <w:vAlign w:val="center"/>
                </w:tcPr>
                <w:p w:rsidR="0041767E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Instruction</w:t>
                  </w:r>
                </w:p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(format T2S)</w:t>
                  </w:r>
                </w:p>
              </w:tc>
              <w:tc>
                <w:tcPr>
                  <w:tcW w:w="1718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MT 542</w:t>
                  </w:r>
                </w:p>
              </w:tc>
              <w:tc>
                <w:tcPr>
                  <w:tcW w:w="3319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Sese.023</w:t>
                  </w:r>
                </w:p>
              </w:tc>
              <w:tc>
                <w:tcPr>
                  <w:tcW w:w="1512" w:type="dxa"/>
                  <w:vMerge w:val="restart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Counterparty’s account / NDC</w:t>
                  </w:r>
                </w:p>
              </w:tc>
            </w:tr>
            <w:tr w:rsidR="0041767E" w:rsidRPr="009B5730" w:rsidTr="00C07C40">
              <w:trPr>
                <w:jc w:val="center"/>
              </w:trPr>
              <w:tc>
                <w:tcPr>
                  <w:tcW w:w="1075" w:type="dxa"/>
                  <w:vMerge/>
                  <w:shd w:val="clear" w:color="auto" w:fill="BFBFBF" w:themeFill="background1" w:themeFillShade="BF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  <w:tc>
                <w:tcPr>
                  <w:tcW w:w="1718" w:type="dxa"/>
                  <w:vAlign w:val="center"/>
                </w:tcPr>
                <w:p w:rsidR="0041767E" w:rsidRPr="00687E24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687E24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:97A::SAFE//SICVSOGEFRPPTIT056L10</w:t>
                  </w:r>
                </w:p>
              </w:tc>
              <w:tc>
                <w:tcPr>
                  <w:tcW w:w="3319" w:type="dxa"/>
                  <w:vAlign w:val="center"/>
                </w:tcPr>
                <w:p w:rsidR="0041767E" w:rsidRPr="009B5730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  <w:r w:rsidRPr="009B5730"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  <w:t>Pty1/SfcpgAcct      &lt;Id&gt;SICVSOGEFRPPTIT056L10&lt;/ID&gt;</w:t>
                  </w:r>
                </w:p>
              </w:tc>
              <w:tc>
                <w:tcPr>
                  <w:tcW w:w="1512" w:type="dxa"/>
                  <w:vMerge/>
                  <w:vAlign w:val="center"/>
                </w:tcPr>
                <w:p w:rsidR="0041767E" w:rsidRPr="009B5730" w:rsidRDefault="0041767E" w:rsidP="00C07C40">
                  <w:pPr>
                    <w:jc w:val="center"/>
                    <w:rPr>
                      <w:rFonts w:eastAsia="MS Mincho" w:cs="Times New Roman"/>
                      <w:noProof/>
                      <w:sz w:val="16"/>
                      <w:szCs w:val="16"/>
                      <w:lang w:val="fr-FR"/>
                    </w:rPr>
                  </w:pPr>
                </w:p>
              </w:tc>
            </w:tr>
          </w:tbl>
          <w:p w:rsidR="0041767E" w:rsidRPr="009B5730" w:rsidRDefault="0041767E" w:rsidP="0041767E">
            <w:pPr>
              <w:jc w:val="both"/>
              <w:rPr>
                <w:rFonts w:eastAsia="MS Mincho" w:cs="Times New Roman"/>
                <w:b/>
                <w:noProof/>
                <w:szCs w:val="32"/>
                <w:u w:val="single"/>
                <w:lang w:val="fr-FR"/>
              </w:rPr>
            </w:pP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b/>
                <w:noProof/>
                <w:szCs w:val="32"/>
                <w:u w:val="single"/>
                <w:lang w:val="fr-FR"/>
              </w:rPr>
            </w:pPr>
            <w:r w:rsidRPr="00FD2FD6">
              <w:rPr>
                <w:rFonts w:eastAsia="MS Mincho" w:cs="Times New Roman"/>
                <w:b/>
                <w:noProof/>
                <w:szCs w:val="32"/>
                <w:u w:val="single"/>
                <w:lang w:val="fr-FR"/>
              </w:rPr>
              <w:t>Alternative</w:t>
            </w:r>
            <w:r w:rsidR="00C07C40">
              <w:rPr>
                <w:rFonts w:eastAsia="MS Mincho" w:cs="Times New Roman"/>
                <w:b/>
                <w:noProof/>
                <w:szCs w:val="32"/>
                <w:u w:val="single"/>
                <w:lang w:val="fr-FR"/>
              </w:rPr>
              <w:t xml:space="preserve"> </w:t>
            </w:r>
            <w:r w:rsidRPr="00FD2FD6">
              <w:rPr>
                <w:rFonts w:eastAsia="MS Mincho" w:cs="Times New Roman"/>
                <w:b/>
                <w:noProof/>
                <w:szCs w:val="32"/>
                <w:u w:val="single"/>
                <w:lang w:val="fr-FR"/>
              </w:rPr>
              <w:t>:</w:t>
            </w:r>
          </w:p>
          <w:p w:rsidR="0041767E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A</w:t>
            </w:r>
            <w:r w:rsidRPr="001B2F14">
              <w:rPr>
                <w:rFonts w:eastAsia="MS Mincho" w:cs="Times New Roman"/>
                <w:noProof/>
                <w:szCs w:val="32"/>
                <w:lang w:val="fr-FR"/>
              </w:rPr>
              <w:t xml:space="preserve"> titre d’exception, le TCC ou le teneur de registre pourront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,</w:t>
            </w:r>
            <w:r w:rsidRPr="001B2F14">
              <w:rPr>
                <w:rFonts w:eastAsia="MS Mincho" w:cs="Times New Roman"/>
                <w:noProof/>
                <w:szCs w:val="32"/>
                <w:lang w:val="fr-FR"/>
              </w:rPr>
              <w:t xml:space="preserve"> s’ils le souhaitent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,</w:t>
            </w:r>
            <w:r w:rsidRPr="001B2F14">
              <w:rPr>
                <w:rFonts w:eastAsia="MS Mincho" w:cs="Times New Roman"/>
                <w:noProof/>
                <w:szCs w:val="32"/>
                <w:lang w:val="fr-FR"/>
              </w:rPr>
              <w:t xml:space="preserve"> émettre une instruction T2S OWNI lorsque les deux contreparties, TCC ou le teneur de registre et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le </w:t>
            </w:r>
            <w:r w:rsidRPr="001B2F14">
              <w:rPr>
                <w:rFonts w:eastAsia="MS Mincho" w:cs="Times New Roman"/>
                <w:noProof/>
                <w:szCs w:val="32"/>
                <w:lang w:val="fr-FR"/>
              </w:rPr>
              <w:t>centralisateur sont logés dans le même affilié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,</w:t>
            </w:r>
            <w:r w:rsidRPr="001B2F14">
              <w:rPr>
                <w:rFonts w:eastAsia="MS Mincho" w:cs="Times New Roman"/>
                <w:noProof/>
                <w:szCs w:val="32"/>
                <w:lang w:val="fr-FR"/>
              </w:rPr>
              <w:t xml:space="preserve"> ou bien une instruction TRAD (instruction matchée) s’il s’agit de deux affiliés différents mais que le TCC ou le teneur de registre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ont</w:t>
            </w:r>
            <w:r w:rsidRPr="001B2F14">
              <w:rPr>
                <w:rFonts w:eastAsia="MS Mincho" w:cs="Times New Roman"/>
                <w:noProof/>
                <w:szCs w:val="32"/>
                <w:lang w:val="fr-FR"/>
              </w:rPr>
              <w:t xml:space="preserve"> également le privilège sur l’affilié centralisateur.</w:t>
            </w:r>
          </w:p>
          <w:p w:rsidR="0041767E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Dans ce cas, le transfert des titres se fera via l’utilisation d’instructions de settlement standard de type « already matched ».</w:t>
            </w:r>
          </w:p>
          <w:p w:rsidR="0041767E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Pour toute information relative au traitement et reporting de ces instructions, se référer au DSD euroclear « ESES matching and settlement ».</w:t>
            </w:r>
          </w:p>
          <w:p w:rsidR="0041767E" w:rsidRDefault="0041767E" w:rsidP="0041767E">
            <w:p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41767E" w:rsidRPr="00FD2FD6" w:rsidRDefault="0041767E" w:rsidP="0041767E">
            <w:pPr>
              <w:jc w:val="both"/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</w:pPr>
            <w:r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>Eléments / r</w:t>
            </w:r>
            <w:r w:rsidRPr="00210D0E"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>éférences additionnel</w:t>
            </w:r>
            <w:r w:rsidRPr="00FD2FD6"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>s</w:t>
            </w:r>
            <w:r w:rsidR="00C07C40"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 xml:space="preserve"> </w:t>
            </w:r>
            <w:r w:rsidRPr="00FD2FD6">
              <w:rPr>
                <w:rFonts w:eastAsia="MS Mincho" w:cs="Times New Roman"/>
                <w:b/>
                <w:bCs/>
                <w:noProof/>
                <w:szCs w:val="32"/>
                <w:u w:val="single"/>
                <w:lang w:val="fr-FR"/>
              </w:rPr>
              <w:t>:</w:t>
            </w:r>
          </w:p>
          <w:p w:rsidR="0041767E" w:rsidRPr="00FD2FD6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</w:t>
            </w:r>
            <w:r w:rsidRPr="00FD2FD6">
              <w:rPr>
                <w:rFonts w:eastAsia="MS Mincho" w:cs="Times New Roman"/>
                <w:noProof/>
                <w:szCs w:val="32"/>
                <w:lang w:val="fr-FR"/>
              </w:rPr>
              <w:t>a liste des types d'instructions non soumises à Market claims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et transformations</w:t>
            </w:r>
            <w:r w:rsidRPr="00FD2FD6">
              <w:rPr>
                <w:rFonts w:eastAsia="MS Mincho" w:cs="Times New Roman"/>
                <w:noProof/>
                <w:szCs w:val="32"/>
                <w:lang w:val="fr-FR"/>
              </w:rPr>
              <w:t xml:space="preserve"> est disponible dans le DSD CA, Market claims and transformation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, </w:t>
            </w:r>
            <w:r w:rsidR="009751F2">
              <w:rPr>
                <w:rFonts w:eastAsia="MS Mincho" w:cs="Times New Roman"/>
                <w:noProof/>
                <w:szCs w:val="32"/>
                <w:lang w:val="fr-FR"/>
              </w:rPr>
              <w:t xml:space="preserve">aux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chapitre</w:t>
            </w:r>
            <w:r w:rsidR="009751F2">
              <w:rPr>
                <w:rFonts w:eastAsia="MS Mincho" w:cs="Times New Roman"/>
                <w:noProof/>
                <w:szCs w:val="32"/>
                <w:lang w:val="fr-FR"/>
              </w:rPr>
              <w:t>s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10 et 11</w:t>
            </w:r>
            <w:r w:rsidRPr="00FD2FD6">
              <w:rPr>
                <w:rFonts w:eastAsia="MS Mincho" w:cs="Times New Roman"/>
                <w:noProof/>
                <w:szCs w:val="32"/>
                <w:lang w:val="fr-FR"/>
              </w:rPr>
              <w:t>.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FD2FD6">
              <w:rPr>
                <w:rFonts w:eastAsia="MS Mincho" w:cs="Times New Roman"/>
                <w:noProof/>
                <w:szCs w:val="32"/>
                <w:lang w:val="fr-FR"/>
              </w:rPr>
              <w:t>La liste des NdC utilisées dans le cadre des OST, ainsi que leur signification, est disponible dans le DSD account structure and subscription, en annexe 1.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Un 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>écran « de masse » p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ermettra de saisir des F</w:t>
            </w:r>
            <w:r w:rsidR="009751F2">
              <w:rPr>
                <w:rFonts w:eastAsia="MS Mincho" w:cs="Times New Roman"/>
                <w:noProof/>
                <w:szCs w:val="32"/>
                <w:lang w:val="fr-FR"/>
              </w:rPr>
              <w:t>o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P sur des codes ISIN multiples, et pourra notamment être utilisé dans le cadre des OST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>.</w:t>
            </w:r>
          </w:p>
          <w:p w:rsidR="0041767E" w:rsidRPr="00FD2FD6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Pendant la période transitoire entre le lancement de T2S et la mise en place du stream 6, tous les participants bénéficieront de l’offre de service F</w:t>
            </w:r>
            <w:r w:rsidR="009751F2">
              <w:rPr>
                <w:rFonts w:eastAsia="MS Mincho" w:cs="Times New Roman"/>
                <w:noProof/>
                <w:szCs w:val="32"/>
                <w:lang w:val="fr-FR"/>
              </w:rPr>
              <w:t>o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P already matched.</w:t>
            </w:r>
          </w:p>
          <w:p w:rsidR="0041767E" w:rsidRPr="00614717" w:rsidRDefault="0041767E" w:rsidP="0041767E">
            <w:pPr>
              <w:pStyle w:val="ListParagraph"/>
              <w:numPr>
                <w:ilvl w:val="0"/>
                <w:numId w:val="3"/>
              </w:numPr>
              <w:ind w:left="317" w:hanging="284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Cs w:val="32"/>
                <w:lang w:val="fr-FR"/>
              </w:rPr>
              <w:t>L’abonnement à l’</w:t>
            </w:r>
            <w:r w:rsidR="00F00EC2">
              <w:rPr>
                <w:rFonts w:eastAsia="MS Mincho" w:cs="Times New Roman"/>
                <w:noProof/>
                <w:szCs w:val="32"/>
                <w:lang w:val="fr-FR"/>
              </w:rPr>
              <w:t>o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ffre FOP already matched sera mis en place avec le Stream 6 et le contrôle par Euroclear </w:t>
            </w:r>
            <w:r w:rsidR="00F00EC2">
              <w:rPr>
                <w:rFonts w:eastAsia="MS Mincho" w:cs="Times New Roman"/>
                <w:noProof/>
                <w:szCs w:val="32"/>
                <w:lang w:val="fr-FR"/>
              </w:rPr>
              <w:t xml:space="preserve">France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de l’abonnement de l’affilié à Euroclear </w:t>
            </w:r>
            <w:r w:rsidR="00F00EC2">
              <w:rPr>
                <w:rFonts w:eastAsia="MS Mincho" w:cs="Times New Roman"/>
                <w:noProof/>
                <w:szCs w:val="32"/>
                <w:lang w:val="fr-FR"/>
              </w:rPr>
              <w:t xml:space="preserve">France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également.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>Dans le cas où la contrepartie n’a pas souscrit d’abon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n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>ement, il est prévu à ce stade que l'instruction soit rejetée en indiquant que la contrepartie n'a pas souscrit.</w:t>
            </w:r>
          </w:p>
          <w:p w:rsidR="0041767E" w:rsidRDefault="0041767E" w:rsidP="004176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 xml:space="preserve">Le marché a demandé à Euroclear </w:t>
            </w:r>
            <w:r w:rsidR="00F00EC2">
              <w:rPr>
                <w:rFonts w:eastAsia="MS Mincho" w:cs="Times New Roman"/>
                <w:noProof/>
                <w:szCs w:val="32"/>
                <w:lang w:val="fr-FR"/>
              </w:rPr>
              <w:t xml:space="preserve">France 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 xml:space="preserve">de ne pas mettre l’instruction en rejet et de transformer l'opération en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« 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>to be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 xml:space="preserve"> 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>matched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 »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 xml:space="preserve">. L’étude de cette évolution </w:t>
            </w:r>
            <w:r w:rsidRPr="0002788E">
              <w:rPr>
                <w:rFonts w:eastAsia="MS Mincho" w:cs="Times New Roman"/>
                <w:noProof/>
                <w:szCs w:val="32"/>
                <w:lang w:val="fr-FR"/>
              </w:rPr>
              <w:t>e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st en cours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 xml:space="preserve"> et sera approfondie dans le cadre </w:t>
            </w:r>
            <w:r>
              <w:rPr>
                <w:rFonts w:eastAsia="MS Mincho" w:cs="Times New Roman"/>
                <w:noProof/>
                <w:szCs w:val="32"/>
                <w:lang w:val="fr-FR"/>
              </w:rPr>
              <w:t>du stream</w:t>
            </w:r>
            <w:r w:rsidRPr="00614717">
              <w:rPr>
                <w:rFonts w:eastAsia="MS Mincho" w:cs="Times New Roman"/>
                <w:noProof/>
                <w:szCs w:val="32"/>
                <w:lang w:val="fr-FR"/>
              </w:rPr>
              <w:t xml:space="preserve"> 6.</w:t>
            </w:r>
          </w:p>
          <w:p w:rsidR="00AA1FDB" w:rsidRPr="00C33595" w:rsidRDefault="00AA1FDB" w:rsidP="00922B9C">
            <w:pPr>
              <w:spacing w:before="120"/>
              <w:jc w:val="both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RPr="009B5730" w:rsidTr="0041767E">
        <w:tc>
          <w:tcPr>
            <w:tcW w:w="1540" w:type="dxa"/>
            <w:tcBorders>
              <w:left w:val="nil"/>
              <w:right w:val="nil"/>
            </w:tcBorders>
            <w:shd w:val="clear" w:color="auto" w:fill="auto"/>
          </w:tcPr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8159" w:type="dxa"/>
            <w:tcBorders>
              <w:left w:val="nil"/>
              <w:right w:val="nil"/>
            </w:tcBorders>
            <w:shd w:val="clear" w:color="auto" w:fill="auto"/>
          </w:tcPr>
          <w:p w:rsidR="0081511D" w:rsidRP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</w:tr>
      <w:tr w:rsidR="0081511D" w:rsidTr="0041767E">
        <w:tc>
          <w:tcPr>
            <w:tcW w:w="1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 xml:space="preserve">Description des rôles de toutes les </w:t>
            </w: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lastRenderedPageBreak/>
              <w:t xml:space="preserve">parties prenantes </w:t>
            </w:r>
          </w:p>
          <w:p w:rsidR="0081511D" w:rsidRPr="00D103DA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8159" w:type="dxa"/>
            <w:tcBorders>
              <w:bottom w:val="single" w:sz="4" w:space="0" w:color="auto"/>
            </w:tcBorders>
          </w:tcPr>
          <w:p w:rsidR="0081511D" w:rsidRDefault="0081511D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Tr="0041767E">
        <w:tc>
          <w:tcPr>
            <w:tcW w:w="15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8159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511D" w:rsidRDefault="0081511D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81511D" w:rsidTr="0041767E">
        <w:tc>
          <w:tcPr>
            <w:tcW w:w="1540" w:type="dxa"/>
            <w:shd w:val="clear" w:color="auto" w:fill="BFBFBF" w:themeFill="background1" w:themeFillShade="BF"/>
          </w:tcPr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Schéma des flux</w:t>
            </w:r>
          </w:p>
          <w:p w:rsidR="0081511D" w:rsidRDefault="0081511D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(FACULTATIF)</w:t>
            </w:r>
          </w:p>
        </w:tc>
        <w:tc>
          <w:tcPr>
            <w:tcW w:w="8159" w:type="dxa"/>
            <w:tcBorders>
              <w:bottom w:val="single" w:sz="4" w:space="0" w:color="auto"/>
            </w:tcBorders>
          </w:tcPr>
          <w:p w:rsidR="0081511D" w:rsidRDefault="0081511D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  <w:p w:rsidR="0081511D" w:rsidRDefault="0081511D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140482" w:rsidRDefault="00140482">
      <w:pPr>
        <w:rPr>
          <w:rFonts w:eastAsia="MS Mincho" w:cs="Times New Roman"/>
          <w:b/>
          <w:caps/>
          <w:noProof/>
          <w:sz w:val="32"/>
          <w:szCs w:val="32"/>
          <w:lang w:val="fr-FR"/>
        </w:rPr>
      </w:pPr>
    </w:p>
    <w:p w:rsidR="00140482" w:rsidRPr="004F6025" w:rsidRDefault="00140482" w:rsidP="0014048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eastAsia="MS Mincho" w:cs="Times New Roman"/>
          <w:b/>
          <w:caps/>
          <w:noProof/>
          <w:sz w:val="32"/>
          <w:szCs w:val="32"/>
          <w:lang w:val="fr-FR"/>
        </w:rPr>
      </w:pPr>
      <w:r>
        <w:rPr>
          <w:rFonts w:eastAsia="MS Mincho" w:cs="Times New Roman"/>
          <w:b/>
          <w:caps/>
          <w:noProof/>
          <w:sz w:val="32"/>
          <w:szCs w:val="32"/>
          <w:lang w:val="fr-FR"/>
        </w:rPr>
        <w:t>mise en oeuvre</w:t>
      </w:r>
    </w:p>
    <w:p w:rsidR="00140482" w:rsidRDefault="00140482" w:rsidP="00140482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TableGrid"/>
        <w:tblW w:w="9616" w:type="dxa"/>
        <w:tblLook w:val="04A0" w:firstRow="1" w:lastRow="0" w:firstColumn="1" w:lastColumn="0" w:noHBand="0" w:noVBand="1"/>
      </w:tblPr>
      <w:tblGrid>
        <w:gridCol w:w="2302"/>
        <w:gridCol w:w="2166"/>
        <w:gridCol w:w="272"/>
        <w:gridCol w:w="1599"/>
        <w:gridCol w:w="839"/>
        <w:gridCol w:w="842"/>
        <w:gridCol w:w="1556"/>
        <w:gridCol w:w="40"/>
      </w:tblGrid>
      <w:tr w:rsidR="00140482" w:rsidRPr="009B5730" w:rsidTr="00C07C40">
        <w:trPr>
          <w:trHeight w:val="338"/>
        </w:trPr>
        <w:tc>
          <w:tcPr>
            <w:tcW w:w="2302" w:type="dxa"/>
            <w:vMerge w:val="restart"/>
            <w:shd w:val="clear" w:color="auto" w:fill="BFBFBF" w:themeFill="background1" w:themeFillShade="BF"/>
          </w:tcPr>
          <w:p w:rsidR="00140482" w:rsidRPr="00D103DA" w:rsidRDefault="00140482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Horizon de mise en oeuvre</w:t>
            </w:r>
          </w:p>
        </w:tc>
        <w:tc>
          <w:tcPr>
            <w:tcW w:w="2438" w:type="dxa"/>
            <w:gridSpan w:val="2"/>
          </w:tcPr>
          <w:p w:rsidR="00140482" w:rsidRPr="00785264" w:rsidRDefault="00140482" w:rsidP="00C07C40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785264">
              <w:rPr>
                <w:rFonts w:eastAsia="MS Mincho" w:cs="Times New Roman"/>
                <w:b/>
                <w:noProof/>
                <w:szCs w:val="32"/>
                <w:lang w:val="fr-FR"/>
              </w:rPr>
              <w:t>Avant la migration vers T2S</w:t>
            </w:r>
          </w:p>
        </w:tc>
        <w:tc>
          <w:tcPr>
            <w:tcW w:w="2438" w:type="dxa"/>
            <w:gridSpan w:val="2"/>
          </w:tcPr>
          <w:p w:rsidR="00140482" w:rsidRPr="009637E5" w:rsidRDefault="00140482" w:rsidP="00C07C40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Lors du démarrage en production sur T2S</w:t>
            </w:r>
          </w:p>
        </w:tc>
        <w:tc>
          <w:tcPr>
            <w:tcW w:w="2438" w:type="dxa"/>
            <w:gridSpan w:val="3"/>
          </w:tcPr>
          <w:p w:rsidR="00140482" w:rsidRPr="009637E5" w:rsidRDefault="00140482" w:rsidP="00C07C40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Après la migration vers T2S</w:t>
            </w:r>
          </w:p>
        </w:tc>
      </w:tr>
      <w:tr w:rsidR="00140482" w:rsidTr="00C07C40">
        <w:trPr>
          <w:trHeight w:val="337"/>
        </w:trPr>
        <w:tc>
          <w:tcPr>
            <w:tcW w:w="230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Default="00140482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751F2" w:rsidRDefault="009751F2" w:rsidP="009751F2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Default="009751F2" w:rsidP="009751F2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:rsidR="00140482" w:rsidRDefault="009751F2" w:rsidP="00C07C40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:rsidR="00140482" w:rsidRPr="00785264" w:rsidRDefault="00140482" w:rsidP="00C07C40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12/09/2016</w:t>
            </w:r>
          </w:p>
        </w:tc>
        <w:tc>
          <w:tcPr>
            <w:tcW w:w="243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40482" w:rsidRDefault="00140482" w:rsidP="00C07C40">
            <w:pPr>
              <w:jc w:val="center"/>
              <w:rPr>
                <w:rFonts w:ascii="Wingdings" w:hAnsi="Wingdings" w:cs="Wingdings"/>
                <w:sz w:val="26"/>
                <w:szCs w:val="26"/>
              </w:rPr>
            </w:pP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  <w:p w:rsidR="00140482" w:rsidRPr="00785264" w:rsidRDefault="00140482" w:rsidP="00C07C40">
            <w:pPr>
              <w:jc w:val="center"/>
              <w:rPr>
                <w:rFonts w:cs="Wingdings"/>
                <w:szCs w:val="26"/>
              </w:rPr>
            </w:pPr>
            <w:r w:rsidRPr="00785264">
              <w:rPr>
                <w:rFonts w:cs="Wingdings"/>
                <w:szCs w:val="26"/>
              </w:rPr>
              <w:t xml:space="preserve">Date: </w:t>
            </w:r>
            <w:r>
              <w:rPr>
                <w:rFonts w:cs="Wingdings"/>
                <w:szCs w:val="26"/>
              </w:rPr>
              <w:t>________</w:t>
            </w:r>
          </w:p>
        </w:tc>
      </w:tr>
      <w:tr w:rsidR="00140482" w:rsidTr="00C07C40">
        <w:trPr>
          <w:gridAfter w:val="1"/>
          <w:wAfter w:w="40" w:type="dxa"/>
          <w:trHeight w:val="337"/>
        </w:trPr>
        <w:tc>
          <w:tcPr>
            <w:tcW w:w="23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</w:p>
        </w:tc>
        <w:tc>
          <w:tcPr>
            <w:tcW w:w="216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C07C40">
            <w:pPr>
              <w:jc w:val="center"/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140482" w:rsidRDefault="00140482" w:rsidP="00C07C40">
            <w:pPr>
              <w:rPr>
                <w:rFonts w:eastAsia="MS Mincho" w:cs="Times New Roman"/>
                <w:noProof/>
                <w:szCs w:val="32"/>
                <w:lang w:val="fr-FR"/>
              </w:rPr>
            </w:pPr>
          </w:p>
        </w:tc>
      </w:tr>
      <w:tr w:rsidR="00140482" w:rsidTr="00C07C40">
        <w:trPr>
          <w:gridAfter w:val="1"/>
          <w:wAfter w:w="40" w:type="dxa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0482" w:rsidRDefault="00140482" w:rsidP="00C07C40">
            <w:pPr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Faut-il un jeu de tests spécifique pour la pratique ?</w:t>
            </w:r>
          </w:p>
        </w:tc>
        <w:tc>
          <w:tcPr>
            <w:tcW w:w="4037" w:type="dxa"/>
            <w:gridSpan w:val="3"/>
            <w:tcBorders>
              <w:bottom w:val="single" w:sz="4" w:space="0" w:color="auto"/>
            </w:tcBorders>
          </w:tcPr>
          <w:p w:rsidR="00140482" w:rsidRPr="00922B9C" w:rsidRDefault="00140482" w:rsidP="00922B9C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  <w:r>
              <w:rPr>
                <w:lang w:val="fr-FR"/>
              </w:rPr>
              <w:t xml:space="preserve">Oui  </w:t>
            </w:r>
            <w:r w:rsidR="00922B9C">
              <w:rPr>
                <w:rFonts w:ascii="Wingdings" w:hAnsi="Wingdings" w:cs="Wingdings"/>
                <w:sz w:val="26"/>
                <w:szCs w:val="26"/>
              </w:rPr>
              <w:t></w:t>
            </w:r>
          </w:p>
          <w:p w:rsidR="00140482" w:rsidRPr="00E35B86" w:rsidRDefault="00140482" w:rsidP="00C07C4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6"/>
                <w:szCs w:val="16"/>
                <w:lang w:val="fr-FR"/>
              </w:rPr>
            </w:pPr>
          </w:p>
        </w:tc>
        <w:tc>
          <w:tcPr>
            <w:tcW w:w="3237" w:type="dxa"/>
            <w:gridSpan w:val="3"/>
            <w:tcBorders>
              <w:bottom w:val="single" w:sz="4" w:space="0" w:color="auto"/>
            </w:tcBorders>
          </w:tcPr>
          <w:p w:rsidR="00140482" w:rsidRDefault="00140482" w:rsidP="00C07C40">
            <w:pPr>
              <w:tabs>
                <w:tab w:val="left" w:pos="9356"/>
              </w:tabs>
              <w:ind w:right="-279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Non  </w:t>
            </w:r>
            <w:r>
              <w:rPr>
                <w:rFonts w:ascii="Wingdings" w:hAnsi="Wingdings" w:cs="Wingdings"/>
                <w:sz w:val="26"/>
                <w:szCs w:val="26"/>
              </w:rPr>
              <w:t></w:t>
            </w:r>
          </w:p>
        </w:tc>
      </w:tr>
    </w:tbl>
    <w:p w:rsidR="00BA6B0A" w:rsidRDefault="00BA6B0A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sectPr w:rsidR="00BA6B0A" w:rsidSect="006D6846">
      <w:headerReference w:type="default" r:id="rId10"/>
      <w:footerReference w:type="default" r:id="rId11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00B" w:rsidRDefault="001B500B" w:rsidP="006D6846">
      <w:pPr>
        <w:spacing w:after="0" w:line="240" w:lineRule="auto"/>
      </w:pPr>
      <w:r>
        <w:separator/>
      </w:r>
    </w:p>
  </w:endnote>
  <w:endnote w:type="continuationSeparator" w:id="0">
    <w:p w:rsidR="001B500B" w:rsidRDefault="001B500B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9056546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07C40" w:rsidRPr="00C07C40" w:rsidRDefault="00C07C40">
            <w:pPr>
              <w:pStyle w:val="Footer"/>
              <w:jc w:val="right"/>
              <w:rPr>
                <w:sz w:val="20"/>
                <w:szCs w:val="20"/>
              </w:rPr>
            </w:pPr>
            <w:r w:rsidRPr="00C07C40">
              <w:rPr>
                <w:sz w:val="20"/>
                <w:szCs w:val="20"/>
                <w:lang w:val="fr-FR"/>
              </w:rPr>
              <w:t xml:space="preserve">Page </w:t>
            </w:r>
            <w:r w:rsidRPr="00C07C40">
              <w:rPr>
                <w:b/>
                <w:bCs/>
                <w:sz w:val="20"/>
                <w:szCs w:val="20"/>
              </w:rPr>
              <w:fldChar w:fldCharType="begin"/>
            </w:r>
            <w:r w:rsidRPr="00C07C40">
              <w:rPr>
                <w:b/>
                <w:bCs/>
                <w:sz w:val="20"/>
                <w:szCs w:val="20"/>
              </w:rPr>
              <w:instrText>PAGE</w:instrText>
            </w:r>
            <w:r w:rsidRPr="00C07C40">
              <w:rPr>
                <w:b/>
                <w:bCs/>
                <w:sz w:val="20"/>
                <w:szCs w:val="20"/>
              </w:rPr>
              <w:fldChar w:fldCharType="separate"/>
            </w:r>
            <w:r w:rsidR="009751F2">
              <w:rPr>
                <w:b/>
                <w:bCs/>
                <w:noProof/>
                <w:sz w:val="20"/>
                <w:szCs w:val="20"/>
              </w:rPr>
              <w:t>1</w:t>
            </w:r>
            <w:r w:rsidRPr="00C07C40">
              <w:rPr>
                <w:b/>
                <w:bCs/>
                <w:sz w:val="20"/>
                <w:szCs w:val="20"/>
              </w:rPr>
              <w:fldChar w:fldCharType="end"/>
            </w:r>
            <w:r w:rsidRPr="00C07C40">
              <w:rPr>
                <w:sz w:val="20"/>
                <w:szCs w:val="20"/>
                <w:lang w:val="fr-FR"/>
              </w:rPr>
              <w:t xml:space="preserve"> sur </w:t>
            </w:r>
            <w:r w:rsidRPr="00C07C40">
              <w:rPr>
                <w:b/>
                <w:bCs/>
                <w:sz w:val="20"/>
                <w:szCs w:val="20"/>
              </w:rPr>
              <w:fldChar w:fldCharType="begin"/>
            </w:r>
            <w:r w:rsidRPr="00C07C40">
              <w:rPr>
                <w:b/>
                <w:bCs/>
                <w:sz w:val="20"/>
                <w:szCs w:val="20"/>
              </w:rPr>
              <w:instrText>NUMPAGES</w:instrText>
            </w:r>
            <w:r w:rsidRPr="00C07C40">
              <w:rPr>
                <w:b/>
                <w:bCs/>
                <w:sz w:val="20"/>
                <w:szCs w:val="20"/>
              </w:rPr>
              <w:fldChar w:fldCharType="separate"/>
            </w:r>
            <w:r w:rsidR="009751F2">
              <w:rPr>
                <w:b/>
                <w:bCs/>
                <w:noProof/>
                <w:sz w:val="20"/>
                <w:szCs w:val="20"/>
              </w:rPr>
              <w:t>6</w:t>
            </w:r>
            <w:r w:rsidRPr="00C07C4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07C40" w:rsidRDefault="00C07C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00B" w:rsidRDefault="001B500B" w:rsidP="006D6846">
      <w:pPr>
        <w:spacing w:after="0" w:line="240" w:lineRule="auto"/>
      </w:pPr>
      <w:r>
        <w:separator/>
      </w:r>
    </w:p>
  </w:footnote>
  <w:footnote w:type="continuationSeparator" w:id="0">
    <w:p w:rsidR="001B500B" w:rsidRDefault="001B500B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58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7"/>
      <w:gridCol w:w="4220"/>
    </w:tblGrid>
    <w:tr w:rsidR="00C07C40" w:rsidTr="00046A72">
      <w:trPr>
        <w:trHeight w:val="833"/>
      </w:trPr>
      <w:tc>
        <w:tcPr>
          <w:tcW w:w="6367" w:type="dxa"/>
          <w:vAlign w:val="center"/>
        </w:tcPr>
        <w:p w:rsidR="00C07C40" w:rsidRDefault="00C07C40" w:rsidP="00C07C40">
          <w:pPr>
            <w:pStyle w:val="Header"/>
            <w:rPr>
              <w:b/>
              <w:lang w:val="fr-FR"/>
            </w:rPr>
          </w:pPr>
          <w:r w:rsidRPr="007F6CFC">
            <w:rPr>
              <w:b/>
              <w:lang w:val="fr-FR"/>
            </w:rPr>
            <w:t>Groupe d’Adaptation des Pratiques de Marché T2S</w:t>
          </w:r>
        </w:p>
        <w:p w:rsidR="00C07C40" w:rsidRDefault="00C07C40" w:rsidP="00C07C40">
          <w:pPr>
            <w:pStyle w:val="Header"/>
            <w:rPr>
              <w:b/>
              <w:lang w:val="fr-FR"/>
            </w:rPr>
          </w:pPr>
          <w:r>
            <w:rPr>
              <w:b/>
              <w:lang w:val="fr-FR"/>
            </w:rPr>
            <w:t>Fiche Pratique de marché</w:t>
          </w:r>
        </w:p>
      </w:tc>
      <w:tc>
        <w:tcPr>
          <w:tcW w:w="4220" w:type="dxa"/>
          <w:vAlign w:val="center"/>
        </w:tcPr>
        <w:p w:rsidR="00C07C40" w:rsidRDefault="00C07C40" w:rsidP="00046A72">
          <w:pPr>
            <w:pStyle w:val="Header"/>
            <w:rPr>
              <w:b/>
              <w:lang w:val="fr-FR"/>
            </w:rPr>
          </w:pPr>
          <w:r>
            <w:rPr>
              <w:noProof/>
            </w:rPr>
            <w:drawing>
              <wp:inline distT="0" distB="0" distL="0" distR="0" wp14:anchorId="7802E21B" wp14:editId="21A92E41">
                <wp:extent cx="1032931" cy="516467"/>
                <wp:effectExtent l="0" t="0" r="0" b="0"/>
                <wp:docPr id="8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4228" cy="51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object w:dxaOrig="7200" w:dyaOrig="4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5.25pt;height:54pt" o:ole="">
                <v:imagedata r:id="rId2" o:title=""/>
              </v:shape>
              <o:OLEObject Type="Embed" ProgID="PBrush" ShapeID="_x0000_i1026" DrawAspect="Content" ObjectID="_1534305393" r:id="rId3"/>
            </w:object>
          </w:r>
        </w:p>
      </w:tc>
    </w:tr>
    <w:tr w:rsidR="00C07C40" w:rsidRPr="009B5730" w:rsidTr="00046A72">
      <w:trPr>
        <w:trHeight w:val="271"/>
      </w:trPr>
      <w:tc>
        <w:tcPr>
          <w:tcW w:w="6367" w:type="dxa"/>
          <w:vAlign w:val="center"/>
        </w:tcPr>
        <w:p w:rsidR="00C07C40" w:rsidRPr="00EC776F" w:rsidRDefault="00C07C40" w:rsidP="0041767E">
          <w:pPr>
            <w:pStyle w:val="Header"/>
            <w:rPr>
              <w:i/>
              <w:lang w:val="fr-FR"/>
            </w:rPr>
          </w:pPr>
          <w:r>
            <w:rPr>
              <w:i/>
              <w:lang w:val="fr-FR"/>
            </w:rPr>
            <w:t xml:space="preserve">Référence de la pratique : </w:t>
          </w:r>
          <w:r w:rsidRPr="00922B9C">
            <w:rPr>
              <w:i/>
              <w:lang w:val="fr-FR"/>
            </w:rPr>
            <w:t>MS-</w:t>
          </w:r>
          <w:r>
            <w:rPr>
              <w:i/>
              <w:lang w:val="fr-FR"/>
            </w:rPr>
            <w:t>SETTL-FRANCO-01</w:t>
          </w:r>
        </w:p>
      </w:tc>
      <w:tc>
        <w:tcPr>
          <w:tcW w:w="4220" w:type="dxa"/>
          <w:vAlign w:val="center"/>
        </w:tcPr>
        <w:p w:rsidR="00C07C40" w:rsidRPr="00EC776F" w:rsidRDefault="00C07C40" w:rsidP="00EC776F">
          <w:pPr>
            <w:pStyle w:val="Header"/>
            <w:jc w:val="center"/>
            <w:rPr>
              <w:noProof/>
              <w:lang w:val="fr-FR"/>
            </w:rPr>
          </w:pPr>
        </w:p>
      </w:tc>
    </w:tr>
  </w:tbl>
  <w:p w:rsidR="00C07C40" w:rsidRPr="00C221EA" w:rsidRDefault="00C07C40">
    <w:pPr>
      <w:pStyle w:val="Header"/>
      <w:rPr>
        <w:b/>
        <w:sz w:val="20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BC6"/>
    <w:multiLevelType w:val="hybridMultilevel"/>
    <w:tmpl w:val="2C0049D2"/>
    <w:lvl w:ilvl="0" w:tplc="A162A862">
      <w:start w:val="1"/>
      <w:numFmt w:val="bullet"/>
      <w:lvlText w:val=""/>
      <w:lvlJc w:val="left"/>
      <w:pPr>
        <w:ind w:left="114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49741B3"/>
    <w:multiLevelType w:val="hybridMultilevel"/>
    <w:tmpl w:val="1B20EB06"/>
    <w:lvl w:ilvl="0" w:tplc="437E9AE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A7E25"/>
    <w:multiLevelType w:val="hybridMultilevel"/>
    <w:tmpl w:val="B692A802"/>
    <w:lvl w:ilvl="0" w:tplc="0C88040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3407C"/>
    <w:multiLevelType w:val="hybridMultilevel"/>
    <w:tmpl w:val="3E106C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5323E3"/>
    <w:multiLevelType w:val="hybridMultilevel"/>
    <w:tmpl w:val="92625E74"/>
    <w:lvl w:ilvl="0" w:tplc="1A349598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 Sousa, Maria">
    <w15:presenceInfo w15:providerId="AD" w15:userId="S-1-5-21-3942990428-588001494-4079709122-109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20084"/>
    <w:rsid w:val="00046A72"/>
    <w:rsid w:val="000706A3"/>
    <w:rsid w:val="000A6C94"/>
    <w:rsid w:val="000C1C9B"/>
    <w:rsid w:val="000D6F4D"/>
    <w:rsid w:val="000F3C24"/>
    <w:rsid w:val="00140482"/>
    <w:rsid w:val="00145ADA"/>
    <w:rsid w:val="001522A5"/>
    <w:rsid w:val="00162BBA"/>
    <w:rsid w:val="00183F7A"/>
    <w:rsid w:val="001B0416"/>
    <w:rsid w:val="001B1E38"/>
    <w:rsid w:val="001B500B"/>
    <w:rsid w:val="001C4C4C"/>
    <w:rsid w:val="001C7BAF"/>
    <w:rsid w:val="001D7830"/>
    <w:rsid w:val="001E0D83"/>
    <w:rsid w:val="00211814"/>
    <w:rsid w:val="00217510"/>
    <w:rsid w:val="00283DDE"/>
    <w:rsid w:val="0028538B"/>
    <w:rsid w:val="00343829"/>
    <w:rsid w:val="00343B9E"/>
    <w:rsid w:val="003631EA"/>
    <w:rsid w:val="00363E89"/>
    <w:rsid w:val="003929BA"/>
    <w:rsid w:val="003A4E76"/>
    <w:rsid w:val="003B3DA4"/>
    <w:rsid w:val="003D5E9F"/>
    <w:rsid w:val="003D7060"/>
    <w:rsid w:val="004014B3"/>
    <w:rsid w:val="00401A5E"/>
    <w:rsid w:val="0041767E"/>
    <w:rsid w:val="00464015"/>
    <w:rsid w:val="004818D8"/>
    <w:rsid w:val="00482296"/>
    <w:rsid w:val="004B0CB2"/>
    <w:rsid w:val="004F00F7"/>
    <w:rsid w:val="004F6025"/>
    <w:rsid w:val="005061BA"/>
    <w:rsid w:val="0051485E"/>
    <w:rsid w:val="00567B1D"/>
    <w:rsid w:val="00575F36"/>
    <w:rsid w:val="005C2ACA"/>
    <w:rsid w:val="005E176D"/>
    <w:rsid w:val="00622E8A"/>
    <w:rsid w:val="00625541"/>
    <w:rsid w:val="00652C13"/>
    <w:rsid w:val="0069580E"/>
    <w:rsid w:val="006D6846"/>
    <w:rsid w:val="00701AE2"/>
    <w:rsid w:val="00714CE6"/>
    <w:rsid w:val="00727BF7"/>
    <w:rsid w:val="0074709E"/>
    <w:rsid w:val="00765664"/>
    <w:rsid w:val="007B7B10"/>
    <w:rsid w:val="007C7303"/>
    <w:rsid w:val="007F6CFC"/>
    <w:rsid w:val="0080446B"/>
    <w:rsid w:val="0081511D"/>
    <w:rsid w:val="00830B7B"/>
    <w:rsid w:val="00841E84"/>
    <w:rsid w:val="00844735"/>
    <w:rsid w:val="008800A4"/>
    <w:rsid w:val="00893912"/>
    <w:rsid w:val="008A30A6"/>
    <w:rsid w:val="008C734C"/>
    <w:rsid w:val="0091257E"/>
    <w:rsid w:val="0092276F"/>
    <w:rsid w:val="00922A8E"/>
    <w:rsid w:val="00922B9C"/>
    <w:rsid w:val="00933237"/>
    <w:rsid w:val="009606C4"/>
    <w:rsid w:val="009751F2"/>
    <w:rsid w:val="00982218"/>
    <w:rsid w:val="00995F65"/>
    <w:rsid w:val="009978DE"/>
    <w:rsid w:val="009A24A6"/>
    <w:rsid w:val="009A2F1A"/>
    <w:rsid w:val="009A64D1"/>
    <w:rsid w:val="009B5730"/>
    <w:rsid w:val="009E70E9"/>
    <w:rsid w:val="00A133A7"/>
    <w:rsid w:val="00A20577"/>
    <w:rsid w:val="00A21489"/>
    <w:rsid w:val="00A40ED4"/>
    <w:rsid w:val="00A45A45"/>
    <w:rsid w:val="00A678C0"/>
    <w:rsid w:val="00A746A0"/>
    <w:rsid w:val="00A90EEC"/>
    <w:rsid w:val="00AA1FDB"/>
    <w:rsid w:val="00AA62D7"/>
    <w:rsid w:val="00AC134F"/>
    <w:rsid w:val="00B26098"/>
    <w:rsid w:val="00B31057"/>
    <w:rsid w:val="00B44E11"/>
    <w:rsid w:val="00B540C8"/>
    <w:rsid w:val="00B62B1E"/>
    <w:rsid w:val="00B727D8"/>
    <w:rsid w:val="00B9491F"/>
    <w:rsid w:val="00BA66D3"/>
    <w:rsid w:val="00BA6B0A"/>
    <w:rsid w:val="00BC7577"/>
    <w:rsid w:val="00BE4C60"/>
    <w:rsid w:val="00C070B0"/>
    <w:rsid w:val="00C07C40"/>
    <w:rsid w:val="00C1000A"/>
    <w:rsid w:val="00C221EA"/>
    <w:rsid w:val="00C33595"/>
    <w:rsid w:val="00C3423B"/>
    <w:rsid w:val="00C43D15"/>
    <w:rsid w:val="00C57689"/>
    <w:rsid w:val="00C60EC8"/>
    <w:rsid w:val="00C65EB2"/>
    <w:rsid w:val="00C77C0A"/>
    <w:rsid w:val="00CB0F41"/>
    <w:rsid w:val="00CC7462"/>
    <w:rsid w:val="00CE6DA3"/>
    <w:rsid w:val="00CF605A"/>
    <w:rsid w:val="00D103DA"/>
    <w:rsid w:val="00D12DE8"/>
    <w:rsid w:val="00D252A7"/>
    <w:rsid w:val="00D50DB6"/>
    <w:rsid w:val="00D529B3"/>
    <w:rsid w:val="00D53037"/>
    <w:rsid w:val="00D5515F"/>
    <w:rsid w:val="00DB106F"/>
    <w:rsid w:val="00DD071C"/>
    <w:rsid w:val="00E351C1"/>
    <w:rsid w:val="00E35B86"/>
    <w:rsid w:val="00E438E3"/>
    <w:rsid w:val="00E52109"/>
    <w:rsid w:val="00E62EAE"/>
    <w:rsid w:val="00EB44AB"/>
    <w:rsid w:val="00EC776F"/>
    <w:rsid w:val="00F00BF4"/>
    <w:rsid w:val="00F00EC2"/>
    <w:rsid w:val="00F358FF"/>
    <w:rsid w:val="00F35CCA"/>
    <w:rsid w:val="00F84B2D"/>
    <w:rsid w:val="00F904C9"/>
    <w:rsid w:val="00FC06B7"/>
    <w:rsid w:val="00FC4F18"/>
    <w:rsid w:val="00FE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846"/>
  </w:style>
  <w:style w:type="paragraph" w:styleId="Footer">
    <w:name w:val="footer"/>
    <w:basedOn w:val="Normal"/>
    <w:link w:val="FooterCh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846"/>
  </w:style>
  <w:style w:type="paragraph" w:styleId="BalloonText">
    <w:name w:val="Balloon Text"/>
    <w:basedOn w:val="Normal"/>
    <w:link w:val="BalloonTextCh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ListParagraph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TableGrid">
    <w:name w:val="Table Grid"/>
    <w:basedOn w:val="Table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link w:val="normChar"/>
    <w:uiPriority w:val="99"/>
    <w:rsid w:val="00CE6DA3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ormChar">
    <w:name w:val="norm Char"/>
    <w:link w:val="norm"/>
    <w:uiPriority w:val="99"/>
    <w:locked/>
    <w:rsid w:val="00CE6DA3"/>
    <w:rPr>
      <w:rFonts w:ascii="Times New Roman" w:eastAsia="Times New Roman" w:hAnsi="Times New Roman" w:cs="Times New Roman"/>
      <w:szCs w:val="20"/>
    </w:rPr>
  </w:style>
  <w:style w:type="paragraph" w:customStyle="1" w:styleId="CM1">
    <w:name w:val="CM1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3">
    <w:name w:val="CM3"/>
    <w:basedOn w:val="Normal"/>
    <w:next w:val="Normal"/>
    <w:uiPriority w:val="99"/>
    <w:rsid w:val="003D5E9F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CM4">
    <w:name w:val="CM4"/>
    <w:basedOn w:val="Normal"/>
    <w:next w:val="Normal"/>
    <w:uiPriority w:val="99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fr-FR"/>
    </w:rPr>
  </w:style>
  <w:style w:type="paragraph" w:customStyle="1" w:styleId="Default">
    <w:name w:val="Default"/>
    <w:rsid w:val="00DD07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PowerPoint_97-2003_Presentation1.ppt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1600</Words>
  <Characters>9122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Cognizant Technology Solutions</Company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François DUBRAU</cp:lastModifiedBy>
  <cp:revision>4</cp:revision>
  <cp:lastPrinted>2015-10-09T10:36:00Z</cp:lastPrinted>
  <dcterms:created xsi:type="dcterms:W3CDTF">2016-05-16T13:38:00Z</dcterms:created>
  <dcterms:modified xsi:type="dcterms:W3CDTF">2016-09-02T05:10:00Z</dcterms:modified>
</cp:coreProperties>
</file>