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2A3D91" w14:textId="77777777" w:rsidR="00765664" w:rsidRDefault="00765664" w:rsidP="00064127">
      <w:pPr>
        <w:tabs>
          <w:tab w:val="left" w:pos="9356"/>
        </w:tabs>
        <w:spacing w:after="0" w:line="240" w:lineRule="auto"/>
        <w:ind w:right="-278"/>
        <w:jc w:val="center"/>
        <w:rPr>
          <w:sz w:val="36"/>
          <w:lang w:val="fr-FR"/>
        </w:rPr>
      </w:pPr>
      <w:bookmarkStart w:id="0" w:name="_GoBack"/>
    </w:p>
    <w:p w14:paraId="3BD1DA85" w14:textId="420AFE64" w:rsidR="00064127" w:rsidRDefault="00815063" w:rsidP="00815063">
      <w:pPr>
        <w:tabs>
          <w:tab w:val="left" w:pos="2970"/>
          <w:tab w:val="left" w:pos="9356"/>
        </w:tabs>
        <w:spacing w:after="0" w:line="240" w:lineRule="auto"/>
        <w:ind w:right="-278"/>
        <w:rPr>
          <w:sz w:val="36"/>
          <w:lang w:val="fr-FR"/>
        </w:rPr>
      </w:pPr>
      <w:r>
        <w:rPr>
          <w:sz w:val="36"/>
          <w:lang w:val="fr-FR"/>
        </w:rPr>
        <w:tab/>
      </w:r>
    </w:p>
    <w:p w14:paraId="6488E0CE" w14:textId="77777777" w:rsidR="00AF0807" w:rsidRDefault="00922B9C" w:rsidP="00AF0807">
      <w:pPr>
        <w:pBdr>
          <w:top w:val="single" w:sz="4" w:space="0" w:color="auto"/>
          <w:left w:val="single" w:sz="4" w:space="4" w:color="auto"/>
          <w:bottom w:val="single" w:sz="4" w:space="1" w:color="auto"/>
          <w:right w:val="single" w:sz="4" w:space="4" w:color="auto"/>
        </w:pBdr>
        <w:shd w:val="pct12" w:color="000000" w:fill="FFFFFF"/>
        <w:spacing w:after="120" w:line="240" w:lineRule="auto"/>
        <w:jc w:val="center"/>
        <w:rPr>
          <w:b/>
          <w:noProof/>
          <w:sz w:val="36"/>
          <w:lang w:val="fr-FR"/>
        </w:rPr>
      </w:pPr>
      <w:r w:rsidRPr="00922B9C">
        <w:rPr>
          <w:b/>
          <w:noProof/>
          <w:sz w:val="36"/>
          <w:lang w:val="fr-FR"/>
        </w:rPr>
        <w:t xml:space="preserve">Coordonnées d’Instruction de Règlement Livraison </w:t>
      </w:r>
    </w:p>
    <w:p w14:paraId="722525DC" w14:textId="77777777" w:rsidR="00575F36" w:rsidRPr="00EC776F" w:rsidRDefault="00922B9C" w:rsidP="00AF0807">
      <w:pPr>
        <w:pBdr>
          <w:top w:val="single" w:sz="4" w:space="0" w:color="auto"/>
          <w:left w:val="single" w:sz="4" w:space="4" w:color="auto"/>
          <w:bottom w:val="single" w:sz="4" w:space="1" w:color="auto"/>
          <w:right w:val="single" w:sz="4" w:space="4" w:color="auto"/>
        </w:pBdr>
        <w:shd w:val="pct12" w:color="000000" w:fill="FFFFFF"/>
        <w:spacing w:after="120" w:line="240" w:lineRule="auto"/>
        <w:jc w:val="center"/>
        <w:rPr>
          <w:b/>
          <w:noProof/>
          <w:sz w:val="36"/>
          <w:lang w:val="fr-FR"/>
        </w:rPr>
      </w:pPr>
      <w:r w:rsidRPr="00922B9C">
        <w:rPr>
          <w:b/>
          <w:noProof/>
          <w:sz w:val="36"/>
          <w:lang w:val="fr-FR"/>
        </w:rPr>
        <w:t>(critères de matching obligatoires)</w:t>
      </w:r>
    </w:p>
    <w:p w14:paraId="162A5FC3" w14:textId="77777777" w:rsidR="001B1E38" w:rsidRDefault="001B1E38" w:rsidP="00064127">
      <w:pPr>
        <w:tabs>
          <w:tab w:val="left" w:pos="9356"/>
        </w:tabs>
        <w:spacing w:after="0" w:line="240" w:lineRule="auto"/>
        <w:ind w:right="-278"/>
        <w:rPr>
          <w:lang w:val="fr-FR"/>
        </w:rPr>
      </w:pPr>
    </w:p>
    <w:p w14:paraId="7CB8FA87" w14:textId="77777777" w:rsidR="00064127" w:rsidRDefault="00064127" w:rsidP="00064127">
      <w:pPr>
        <w:tabs>
          <w:tab w:val="left" w:pos="9356"/>
        </w:tabs>
        <w:spacing w:after="0" w:line="240" w:lineRule="auto"/>
        <w:ind w:right="-278"/>
        <w:rPr>
          <w:lang w:val="fr-FR"/>
        </w:rPr>
      </w:pPr>
    </w:p>
    <w:tbl>
      <w:tblPr>
        <w:tblStyle w:val="TableGrid"/>
        <w:tblW w:w="0" w:type="auto"/>
        <w:tblLook w:val="04A0" w:firstRow="1" w:lastRow="0" w:firstColumn="1" w:lastColumn="0" w:noHBand="0" w:noVBand="1"/>
      </w:tblPr>
      <w:tblGrid>
        <w:gridCol w:w="2093"/>
        <w:gridCol w:w="2551"/>
        <w:gridCol w:w="4932"/>
      </w:tblGrid>
      <w:tr w:rsidR="004F6025" w14:paraId="475538D8" w14:textId="77777777" w:rsidTr="0091257E">
        <w:tc>
          <w:tcPr>
            <w:tcW w:w="2093" w:type="dxa"/>
            <w:vMerge w:val="restart"/>
            <w:shd w:val="clear" w:color="auto" w:fill="BFBFBF" w:themeFill="background1" w:themeFillShade="BF"/>
          </w:tcPr>
          <w:p w14:paraId="72A8729C" w14:textId="77777777" w:rsidR="004F6025" w:rsidRPr="004F6025" w:rsidRDefault="004F6025" w:rsidP="006D6846">
            <w:pPr>
              <w:tabs>
                <w:tab w:val="left" w:pos="9356"/>
              </w:tabs>
              <w:ind w:right="-279"/>
              <w:rPr>
                <w:b/>
                <w:lang w:val="fr-FR"/>
              </w:rPr>
            </w:pPr>
            <w:proofErr w:type="spellStart"/>
            <w:r w:rsidRPr="004F6025">
              <w:rPr>
                <w:b/>
                <w:lang w:val="fr-FR"/>
              </w:rPr>
              <w:t>Versioning</w:t>
            </w:r>
            <w:proofErr w:type="spellEnd"/>
          </w:p>
        </w:tc>
        <w:tc>
          <w:tcPr>
            <w:tcW w:w="2551" w:type="dxa"/>
            <w:shd w:val="clear" w:color="auto" w:fill="F2F2F2" w:themeFill="background1" w:themeFillShade="F2"/>
          </w:tcPr>
          <w:p w14:paraId="4341C268" w14:textId="77777777" w:rsidR="004F6025" w:rsidRDefault="004F6025" w:rsidP="006D6846">
            <w:pPr>
              <w:tabs>
                <w:tab w:val="left" w:pos="9356"/>
              </w:tabs>
              <w:ind w:right="-279"/>
              <w:rPr>
                <w:lang w:val="fr-FR"/>
              </w:rPr>
            </w:pPr>
            <w:r>
              <w:rPr>
                <w:lang w:val="fr-FR"/>
              </w:rPr>
              <w:t>Version</w:t>
            </w:r>
          </w:p>
        </w:tc>
        <w:tc>
          <w:tcPr>
            <w:tcW w:w="4932" w:type="dxa"/>
          </w:tcPr>
          <w:p w14:paraId="4CCBF3CF" w14:textId="6E2B0D16" w:rsidR="004F6025" w:rsidRDefault="00922B9C" w:rsidP="00AF0807">
            <w:pPr>
              <w:tabs>
                <w:tab w:val="left" w:pos="9356"/>
              </w:tabs>
              <w:ind w:right="-279"/>
              <w:rPr>
                <w:lang w:val="fr-FR"/>
              </w:rPr>
            </w:pPr>
            <w:r>
              <w:rPr>
                <w:lang w:val="fr-FR"/>
              </w:rPr>
              <w:t>2</w:t>
            </w:r>
            <w:r w:rsidR="00140482">
              <w:rPr>
                <w:lang w:val="fr-FR"/>
              </w:rPr>
              <w:t>.</w:t>
            </w:r>
            <w:r w:rsidR="00AF0807">
              <w:rPr>
                <w:lang w:val="fr-FR"/>
              </w:rPr>
              <w:t>2</w:t>
            </w:r>
          </w:p>
        </w:tc>
      </w:tr>
      <w:tr w:rsidR="004F6025" w:rsidRPr="00AA1FDB" w14:paraId="55198C7B" w14:textId="77777777" w:rsidTr="0091257E">
        <w:tc>
          <w:tcPr>
            <w:tcW w:w="2093" w:type="dxa"/>
            <w:vMerge/>
            <w:shd w:val="clear" w:color="auto" w:fill="BFBFBF" w:themeFill="background1" w:themeFillShade="BF"/>
          </w:tcPr>
          <w:p w14:paraId="2B729ED8" w14:textId="77777777" w:rsidR="004F6025" w:rsidRPr="004F6025" w:rsidRDefault="004F6025" w:rsidP="006D6846">
            <w:pPr>
              <w:tabs>
                <w:tab w:val="left" w:pos="9356"/>
              </w:tabs>
              <w:ind w:right="-279"/>
              <w:rPr>
                <w:b/>
                <w:lang w:val="fr-FR"/>
              </w:rPr>
            </w:pPr>
          </w:p>
        </w:tc>
        <w:tc>
          <w:tcPr>
            <w:tcW w:w="2551" w:type="dxa"/>
            <w:shd w:val="clear" w:color="auto" w:fill="F2F2F2" w:themeFill="background1" w:themeFillShade="F2"/>
          </w:tcPr>
          <w:p w14:paraId="67449F48" w14:textId="77777777" w:rsidR="004F6025" w:rsidRDefault="004F6025" w:rsidP="00EC776F">
            <w:pPr>
              <w:tabs>
                <w:tab w:val="left" w:pos="9356"/>
              </w:tabs>
              <w:ind w:right="-279"/>
              <w:rPr>
                <w:lang w:val="fr-FR"/>
              </w:rPr>
            </w:pPr>
            <w:r>
              <w:rPr>
                <w:lang w:val="fr-FR"/>
              </w:rPr>
              <w:t xml:space="preserve">Date </w:t>
            </w:r>
            <w:r w:rsidR="00EC776F">
              <w:rPr>
                <w:lang w:val="fr-FR"/>
              </w:rPr>
              <w:t>de publication</w:t>
            </w:r>
          </w:p>
        </w:tc>
        <w:tc>
          <w:tcPr>
            <w:tcW w:w="4932" w:type="dxa"/>
          </w:tcPr>
          <w:p w14:paraId="4E9F6CB0" w14:textId="04A2020D" w:rsidR="004F6025" w:rsidRDefault="00140482" w:rsidP="006D6846">
            <w:pPr>
              <w:tabs>
                <w:tab w:val="left" w:pos="9356"/>
              </w:tabs>
              <w:ind w:right="-279"/>
              <w:rPr>
                <w:lang w:val="fr-FR"/>
              </w:rPr>
            </w:pPr>
            <w:r>
              <w:rPr>
                <w:lang w:val="fr-FR"/>
              </w:rPr>
              <w:t>6 avril 2016</w:t>
            </w:r>
          </w:p>
        </w:tc>
      </w:tr>
    </w:tbl>
    <w:p w14:paraId="502F1DC7" w14:textId="77777777" w:rsidR="00B26098" w:rsidRDefault="00B26098" w:rsidP="00B26098">
      <w:pPr>
        <w:spacing w:after="0" w:line="240" w:lineRule="auto"/>
        <w:rPr>
          <w:rFonts w:eastAsia="MS Mincho" w:cs="Times New Roman"/>
          <w:noProof/>
          <w:szCs w:val="32"/>
          <w:lang w:val="fr-FR"/>
        </w:rPr>
      </w:pPr>
    </w:p>
    <w:p w14:paraId="3A9645FE" w14:textId="77777777" w:rsidR="00EC776F" w:rsidRDefault="00EC776F" w:rsidP="00B26098">
      <w:pPr>
        <w:spacing w:after="0" w:line="240" w:lineRule="auto"/>
        <w:rPr>
          <w:rFonts w:eastAsia="MS Mincho" w:cs="Times New Roman"/>
          <w:noProof/>
          <w:szCs w:val="32"/>
          <w:lang w:val="fr-FR"/>
        </w:rPr>
      </w:pPr>
    </w:p>
    <w:p w14:paraId="3207EDED" w14:textId="77777777" w:rsidR="0081511D" w:rsidRPr="004F6025" w:rsidRDefault="0081511D" w:rsidP="0081511D">
      <w:pPr>
        <w:pStyle w:val="ListParagraph"/>
        <w:numPr>
          <w:ilvl w:val="0"/>
          <w:numId w:val="1"/>
        </w:numPr>
        <w:spacing w:after="0" w:line="240" w:lineRule="auto"/>
        <w:ind w:left="284" w:hanging="284"/>
        <w:rPr>
          <w:rFonts w:eastAsia="MS Mincho" w:cs="Times New Roman"/>
          <w:b/>
          <w:caps/>
          <w:noProof/>
          <w:sz w:val="32"/>
          <w:szCs w:val="32"/>
          <w:lang w:val="fr-FR"/>
        </w:rPr>
      </w:pPr>
      <w:r>
        <w:rPr>
          <w:rFonts w:eastAsia="MS Mincho" w:cs="Times New Roman"/>
          <w:b/>
          <w:caps/>
          <w:noProof/>
          <w:sz w:val="32"/>
          <w:szCs w:val="32"/>
          <w:lang w:val="fr-FR"/>
        </w:rPr>
        <w:t>PRESENTATION DE LA PRATIQUE EXISTANTE &amp; description des Impacts</w:t>
      </w:r>
    </w:p>
    <w:p w14:paraId="753F6FF7" w14:textId="77777777" w:rsidR="0081511D" w:rsidRPr="004F6025" w:rsidRDefault="0081511D" w:rsidP="00B26098">
      <w:pPr>
        <w:spacing w:after="0" w:line="240" w:lineRule="auto"/>
        <w:rPr>
          <w:rFonts w:eastAsia="MS Mincho" w:cs="Times New Roman"/>
          <w:noProof/>
          <w:szCs w:val="32"/>
          <w:lang w:val="fr-FR"/>
        </w:rPr>
      </w:pPr>
    </w:p>
    <w:tbl>
      <w:tblPr>
        <w:tblStyle w:val="TableGrid"/>
        <w:tblW w:w="9606" w:type="dxa"/>
        <w:tblLayout w:type="fixed"/>
        <w:tblLook w:val="04A0" w:firstRow="1" w:lastRow="0" w:firstColumn="1" w:lastColumn="0" w:noHBand="0" w:noVBand="1"/>
      </w:tblPr>
      <w:tblGrid>
        <w:gridCol w:w="2093"/>
        <w:gridCol w:w="7513"/>
      </w:tblGrid>
      <w:tr w:rsidR="00D103DA" w:rsidRPr="00290F4D" w14:paraId="01BB531A" w14:textId="77777777" w:rsidTr="0091257E">
        <w:tc>
          <w:tcPr>
            <w:tcW w:w="2093" w:type="dxa"/>
            <w:tcBorders>
              <w:bottom w:val="single" w:sz="4" w:space="0" w:color="auto"/>
            </w:tcBorders>
            <w:shd w:val="clear" w:color="auto" w:fill="BFBFBF" w:themeFill="background1" w:themeFillShade="BF"/>
          </w:tcPr>
          <w:p w14:paraId="1DB752E4" w14:textId="77777777" w:rsidR="00D103DA" w:rsidRPr="00D103DA" w:rsidRDefault="00D103DA" w:rsidP="00893912">
            <w:pPr>
              <w:rPr>
                <w:rFonts w:eastAsia="MS Mincho" w:cs="Times New Roman"/>
                <w:b/>
                <w:noProof/>
                <w:szCs w:val="32"/>
                <w:lang w:val="fr-FR"/>
              </w:rPr>
            </w:pPr>
            <w:r w:rsidRPr="00D103DA">
              <w:rPr>
                <w:rFonts w:eastAsia="MS Mincho" w:cs="Times New Roman"/>
                <w:b/>
                <w:noProof/>
                <w:szCs w:val="32"/>
                <w:lang w:val="fr-FR"/>
              </w:rPr>
              <w:t xml:space="preserve">Description </w:t>
            </w:r>
            <w:r w:rsidR="00893912">
              <w:rPr>
                <w:rFonts w:eastAsia="MS Mincho" w:cs="Times New Roman"/>
                <w:b/>
                <w:noProof/>
                <w:szCs w:val="32"/>
                <w:lang w:val="fr-FR"/>
              </w:rPr>
              <w:t>de la pratique existante</w:t>
            </w:r>
          </w:p>
        </w:tc>
        <w:tc>
          <w:tcPr>
            <w:tcW w:w="7513" w:type="dxa"/>
            <w:tcBorders>
              <w:bottom w:val="single" w:sz="4" w:space="0" w:color="auto"/>
            </w:tcBorders>
          </w:tcPr>
          <w:p w14:paraId="1CF3A78F" w14:textId="77777777" w:rsidR="00922B9C" w:rsidRPr="00064127" w:rsidRDefault="00922B9C" w:rsidP="00AF0807">
            <w:pPr>
              <w:jc w:val="both"/>
              <w:rPr>
                <w:rFonts w:eastAsia="MS Mincho" w:cs="Times New Roman"/>
                <w:noProof/>
                <w:szCs w:val="32"/>
                <w:lang w:val="fr-FR"/>
              </w:rPr>
            </w:pPr>
            <w:r w:rsidRPr="00AF0807">
              <w:rPr>
                <w:rFonts w:eastAsia="MS Mincho" w:cs="Times New Roman"/>
                <w:noProof/>
                <w:szCs w:val="32"/>
                <w:lang w:val="fr-FR"/>
              </w:rPr>
              <w:t>Une instruction de règlement livraison nécessite de mentionner les coordonnées de règlement livraison de la contrepartie.</w:t>
            </w:r>
          </w:p>
          <w:p w14:paraId="4A6FCB4D" w14:textId="77777777" w:rsidR="006715E5" w:rsidRDefault="006715E5" w:rsidP="00AF0807">
            <w:pPr>
              <w:jc w:val="both"/>
              <w:rPr>
                <w:rFonts w:eastAsia="MS Mincho" w:cs="Times New Roman"/>
                <w:noProof/>
                <w:szCs w:val="32"/>
                <w:lang w:val="fr-FR"/>
              </w:rPr>
            </w:pPr>
          </w:p>
          <w:p w14:paraId="3DD72536" w14:textId="21DA808B" w:rsidR="00140482" w:rsidRDefault="00922B9C" w:rsidP="00AF0807">
            <w:pPr>
              <w:jc w:val="both"/>
              <w:rPr>
                <w:rFonts w:eastAsia="MS Mincho" w:cs="Times New Roman"/>
                <w:noProof/>
                <w:szCs w:val="32"/>
                <w:lang w:val="fr-FR"/>
              </w:rPr>
            </w:pPr>
            <w:r w:rsidRPr="006715E5">
              <w:rPr>
                <w:rFonts w:eastAsia="MS Mincho" w:cs="Times New Roman"/>
                <w:noProof/>
                <w:szCs w:val="32"/>
                <w:lang w:val="fr-FR"/>
              </w:rPr>
              <w:t xml:space="preserve">Dans l’approche domestique,  le code affilié Euroclear </w:t>
            </w:r>
            <w:r w:rsidRPr="00064127">
              <w:rPr>
                <w:rFonts w:eastAsia="MS Mincho" w:cs="Times New Roman"/>
                <w:noProof/>
                <w:szCs w:val="32"/>
                <w:lang w:val="fr-FR"/>
              </w:rPr>
              <w:t>suffit à identifier la contrepartie, le dépositaire central (CSD</w:t>
            </w:r>
            <w:r w:rsidR="00AF0807" w:rsidRPr="00815063">
              <w:rPr>
                <w:rFonts w:eastAsia="MS Mincho" w:cs="Times New Roman"/>
                <w:noProof/>
                <w:szCs w:val="32"/>
                <w:lang w:val="fr-FR"/>
              </w:rPr>
              <w:t xml:space="preserve"> - </w:t>
            </w:r>
            <w:r w:rsidR="00AF0807" w:rsidRPr="00AF0807">
              <w:rPr>
                <w:rStyle w:val="st1"/>
                <w:rFonts w:cs="Arial"/>
                <w:color w:val="545454"/>
                <w:lang w:val="fr-FR"/>
              </w:rPr>
              <w:t xml:space="preserve">Central Securities </w:t>
            </w:r>
            <w:proofErr w:type="spellStart"/>
            <w:r w:rsidR="00AF0807" w:rsidRPr="00AF0807">
              <w:rPr>
                <w:rStyle w:val="st1"/>
                <w:rFonts w:cs="Arial"/>
                <w:color w:val="545454"/>
                <w:lang w:val="fr-FR"/>
              </w:rPr>
              <w:t>Depository</w:t>
            </w:r>
            <w:proofErr w:type="spellEnd"/>
            <w:r w:rsidRPr="00AF0807">
              <w:rPr>
                <w:rFonts w:eastAsia="MS Mincho" w:cs="Times New Roman"/>
                <w:noProof/>
                <w:szCs w:val="32"/>
                <w:lang w:val="fr-FR"/>
              </w:rPr>
              <w:t>) étant par construction  Euroclear</w:t>
            </w:r>
            <w:r w:rsidR="004B24FF">
              <w:rPr>
                <w:rFonts w:eastAsia="MS Mincho" w:cs="Times New Roman"/>
                <w:noProof/>
                <w:szCs w:val="32"/>
                <w:lang w:val="fr-FR"/>
              </w:rPr>
              <w:t xml:space="preserve"> France</w:t>
            </w:r>
            <w:r w:rsidRPr="00AF0807">
              <w:rPr>
                <w:rFonts w:eastAsia="MS Mincho" w:cs="Times New Roman"/>
                <w:noProof/>
                <w:szCs w:val="32"/>
                <w:lang w:val="fr-FR"/>
              </w:rPr>
              <w:t>.</w:t>
            </w:r>
          </w:p>
        </w:tc>
      </w:tr>
      <w:tr w:rsidR="00D103DA" w:rsidRPr="00290F4D" w14:paraId="42146D50" w14:textId="77777777" w:rsidTr="0091257E">
        <w:tc>
          <w:tcPr>
            <w:tcW w:w="2093" w:type="dxa"/>
            <w:tcBorders>
              <w:left w:val="nil"/>
              <w:right w:val="nil"/>
            </w:tcBorders>
          </w:tcPr>
          <w:p w14:paraId="0A6FAEB1" w14:textId="77777777" w:rsidR="00EC776F" w:rsidRPr="00D103DA" w:rsidRDefault="00EC776F" w:rsidP="00B26098">
            <w:pPr>
              <w:rPr>
                <w:rFonts w:eastAsia="MS Mincho" w:cs="Times New Roman"/>
                <w:b/>
                <w:noProof/>
                <w:szCs w:val="32"/>
                <w:lang w:val="fr-FR"/>
              </w:rPr>
            </w:pPr>
          </w:p>
        </w:tc>
        <w:tc>
          <w:tcPr>
            <w:tcW w:w="7513" w:type="dxa"/>
            <w:tcBorders>
              <w:left w:val="nil"/>
              <w:right w:val="nil"/>
            </w:tcBorders>
          </w:tcPr>
          <w:p w14:paraId="798D7026" w14:textId="77777777" w:rsidR="00D103DA" w:rsidRDefault="00D103DA" w:rsidP="00B26098">
            <w:pPr>
              <w:rPr>
                <w:rFonts w:eastAsia="MS Mincho" w:cs="Times New Roman"/>
                <w:noProof/>
                <w:szCs w:val="32"/>
                <w:lang w:val="fr-FR"/>
              </w:rPr>
            </w:pPr>
          </w:p>
        </w:tc>
      </w:tr>
      <w:tr w:rsidR="00893912" w:rsidRPr="00290F4D" w14:paraId="6C9A56CC" w14:textId="77777777" w:rsidTr="0081511D">
        <w:tc>
          <w:tcPr>
            <w:tcW w:w="2093" w:type="dxa"/>
            <w:tcBorders>
              <w:bottom w:val="single" w:sz="4" w:space="0" w:color="auto"/>
            </w:tcBorders>
            <w:shd w:val="clear" w:color="auto" w:fill="BFBFBF" w:themeFill="background1" w:themeFillShade="BF"/>
          </w:tcPr>
          <w:p w14:paraId="24B26903" w14:textId="77777777" w:rsidR="00893912" w:rsidRPr="00D103DA" w:rsidRDefault="00893912" w:rsidP="00EC776F">
            <w:pPr>
              <w:rPr>
                <w:rFonts w:eastAsia="MS Mincho" w:cs="Times New Roman"/>
                <w:b/>
                <w:noProof/>
                <w:szCs w:val="32"/>
                <w:lang w:val="fr-FR"/>
              </w:rPr>
            </w:pPr>
            <w:r>
              <w:rPr>
                <w:rFonts w:eastAsia="MS Mincho" w:cs="Times New Roman"/>
                <w:b/>
                <w:noProof/>
                <w:szCs w:val="32"/>
                <w:lang w:val="fr-FR"/>
              </w:rPr>
              <w:t>Description de l’impact de T2S</w:t>
            </w:r>
          </w:p>
        </w:tc>
        <w:tc>
          <w:tcPr>
            <w:tcW w:w="7513" w:type="dxa"/>
            <w:tcBorders>
              <w:bottom w:val="single" w:sz="4" w:space="0" w:color="auto"/>
            </w:tcBorders>
          </w:tcPr>
          <w:p w14:paraId="6B734E7C" w14:textId="77777777" w:rsidR="00922B9C" w:rsidRDefault="00922B9C" w:rsidP="00922B9C">
            <w:pPr>
              <w:spacing w:before="120"/>
              <w:jc w:val="both"/>
              <w:rPr>
                <w:rFonts w:eastAsia="MS Mincho" w:cs="Times New Roman"/>
                <w:noProof/>
                <w:szCs w:val="32"/>
                <w:lang w:val="fr-FR"/>
              </w:rPr>
            </w:pPr>
            <w:r>
              <w:rPr>
                <w:rFonts w:eastAsia="MS Mincho" w:cs="Times New Roman"/>
                <w:noProof/>
                <w:szCs w:val="32"/>
                <w:lang w:val="fr-FR"/>
              </w:rPr>
              <w:t>Dans le cadre de T2S :</w:t>
            </w:r>
          </w:p>
          <w:p w14:paraId="4196E64E" w14:textId="77777777" w:rsidR="00922B9C" w:rsidRDefault="00922B9C" w:rsidP="006715E5">
            <w:pPr>
              <w:pStyle w:val="ListParagraph"/>
              <w:numPr>
                <w:ilvl w:val="0"/>
                <w:numId w:val="3"/>
              </w:numPr>
              <w:ind w:left="318" w:hanging="284"/>
              <w:contextualSpacing w:val="0"/>
              <w:jc w:val="both"/>
              <w:rPr>
                <w:rFonts w:eastAsia="MS Mincho" w:cs="Times New Roman"/>
                <w:noProof/>
                <w:szCs w:val="32"/>
                <w:lang w:val="fr-FR"/>
              </w:rPr>
            </w:pPr>
            <w:r w:rsidRPr="00652C13">
              <w:rPr>
                <w:rFonts w:eastAsia="MS Mincho" w:cs="Times New Roman"/>
                <w:noProof/>
                <w:szCs w:val="32"/>
                <w:lang w:val="fr-FR"/>
              </w:rPr>
              <w:t xml:space="preserve">d’une part, un titre peut être déposé dans tout </w:t>
            </w:r>
            <w:r>
              <w:rPr>
                <w:rFonts w:eastAsia="MS Mincho" w:cs="Times New Roman"/>
                <w:noProof/>
                <w:szCs w:val="32"/>
                <w:lang w:val="fr-FR"/>
              </w:rPr>
              <w:t>CSD le</w:t>
            </w:r>
            <w:r w:rsidRPr="00652C13">
              <w:rPr>
                <w:rFonts w:eastAsia="MS Mincho" w:cs="Times New Roman"/>
                <w:noProof/>
                <w:szCs w:val="32"/>
                <w:lang w:val="fr-FR"/>
              </w:rPr>
              <w:t xml:space="preserve"> rendant éligible à ses opérations</w:t>
            </w:r>
            <w:r>
              <w:rPr>
                <w:rFonts w:eastAsia="MS Mincho" w:cs="Times New Roman"/>
                <w:noProof/>
                <w:szCs w:val="32"/>
                <w:lang w:val="fr-FR"/>
              </w:rPr>
              <w:t xml:space="preserve"> ce qui rend nécessaire d’identifier le </w:t>
            </w:r>
            <w:r w:rsidRPr="00652C13">
              <w:rPr>
                <w:rFonts w:eastAsia="MS Mincho" w:cs="Times New Roman"/>
                <w:noProof/>
                <w:szCs w:val="32"/>
                <w:lang w:val="fr-FR"/>
              </w:rPr>
              <w:t xml:space="preserve">CSD et élève </w:t>
            </w:r>
            <w:r>
              <w:rPr>
                <w:rFonts w:eastAsia="MS Mincho" w:cs="Times New Roman"/>
                <w:noProof/>
                <w:szCs w:val="32"/>
                <w:lang w:val="fr-FR"/>
              </w:rPr>
              <w:t xml:space="preserve">cette donnée </w:t>
            </w:r>
            <w:r w:rsidRPr="00652C13">
              <w:rPr>
                <w:rFonts w:eastAsia="MS Mincho" w:cs="Times New Roman"/>
                <w:noProof/>
                <w:szCs w:val="32"/>
                <w:lang w:val="fr-FR"/>
              </w:rPr>
              <w:t>au rang de critère obligatoire d’appariement</w:t>
            </w:r>
            <w:r w:rsidR="006715E5">
              <w:rPr>
                <w:rFonts w:eastAsia="MS Mincho" w:cs="Times New Roman"/>
                <w:noProof/>
                <w:szCs w:val="32"/>
                <w:lang w:val="fr-FR"/>
              </w:rPr>
              <w:t>,</w:t>
            </w:r>
          </w:p>
          <w:p w14:paraId="550E1088" w14:textId="77777777" w:rsidR="006715E5" w:rsidRDefault="006715E5" w:rsidP="006715E5">
            <w:pPr>
              <w:pStyle w:val="ListParagraph"/>
              <w:ind w:left="318"/>
              <w:contextualSpacing w:val="0"/>
              <w:jc w:val="both"/>
              <w:rPr>
                <w:rFonts w:eastAsia="MS Mincho" w:cs="Times New Roman"/>
                <w:noProof/>
                <w:szCs w:val="32"/>
                <w:lang w:val="fr-FR"/>
              </w:rPr>
            </w:pPr>
          </w:p>
          <w:p w14:paraId="179D1537" w14:textId="59A40B98" w:rsidR="00922B9C" w:rsidRDefault="00922B9C" w:rsidP="006715E5">
            <w:pPr>
              <w:pStyle w:val="ListParagraph"/>
              <w:numPr>
                <w:ilvl w:val="0"/>
                <w:numId w:val="3"/>
              </w:numPr>
              <w:ind w:left="318" w:hanging="284"/>
              <w:contextualSpacing w:val="0"/>
              <w:jc w:val="both"/>
              <w:rPr>
                <w:rFonts w:eastAsia="MS Mincho" w:cs="Times New Roman"/>
                <w:noProof/>
                <w:szCs w:val="32"/>
                <w:lang w:val="fr-FR"/>
              </w:rPr>
            </w:pPr>
            <w:r>
              <w:rPr>
                <w:rFonts w:eastAsia="MS Mincho" w:cs="Times New Roman"/>
                <w:noProof/>
                <w:szCs w:val="32"/>
                <w:lang w:val="fr-FR"/>
              </w:rPr>
              <w:t>d’autre part, la notion de code a</w:t>
            </w:r>
            <w:r w:rsidR="00815063">
              <w:rPr>
                <w:rFonts w:eastAsia="MS Mincho" w:cs="Times New Roman"/>
                <w:noProof/>
                <w:szCs w:val="32"/>
                <w:lang w:val="fr-FR"/>
              </w:rPr>
              <w:t>f</w:t>
            </w:r>
            <w:r>
              <w:rPr>
                <w:rFonts w:eastAsia="MS Mincho" w:cs="Times New Roman"/>
                <w:noProof/>
                <w:szCs w:val="32"/>
                <w:lang w:val="fr-FR"/>
              </w:rPr>
              <w:t>filié est une notion locale qui est remplacée dans les instructions de dénouement T2S par le BIC sur 11 position</w:t>
            </w:r>
            <w:r w:rsidR="006715E5">
              <w:rPr>
                <w:rFonts w:eastAsia="MS Mincho" w:cs="Times New Roman"/>
                <w:noProof/>
                <w:szCs w:val="32"/>
                <w:lang w:val="fr-FR"/>
              </w:rPr>
              <w:t>s (BIC11)</w:t>
            </w:r>
            <w:r>
              <w:rPr>
                <w:rFonts w:eastAsia="MS Mincho" w:cs="Times New Roman"/>
                <w:noProof/>
                <w:szCs w:val="32"/>
                <w:lang w:val="fr-FR"/>
              </w:rPr>
              <w:t xml:space="preserve"> qui est une donnée obligatoire.  Dans un cadre </w:t>
            </w:r>
            <w:r w:rsidR="006715E5">
              <w:rPr>
                <w:rFonts w:eastAsia="MS Mincho" w:cs="Times New Roman"/>
                <w:noProof/>
                <w:szCs w:val="32"/>
                <w:lang w:val="fr-FR"/>
              </w:rPr>
              <w:t xml:space="preserve">de </w:t>
            </w:r>
            <w:r w:rsidR="008D4E4E">
              <w:rPr>
                <w:rFonts w:eastAsia="MS Mincho" w:cs="Times New Roman"/>
                <w:noProof/>
                <w:szCs w:val="32"/>
                <w:lang w:val="fr-FR"/>
              </w:rPr>
              <w:t>« </w:t>
            </w:r>
            <w:r>
              <w:rPr>
                <w:rFonts w:eastAsia="MS Mincho" w:cs="Times New Roman"/>
                <w:noProof/>
                <w:szCs w:val="32"/>
                <w:lang w:val="fr-FR"/>
              </w:rPr>
              <w:t>cross CSD</w:t>
            </w:r>
            <w:r w:rsidR="008D4E4E">
              <w:rPr>
                <w:rFonts w:eastAsia="MS Mincho" w:cs="Times New Roman"/>
                <w:noProof/>
                <w:szCs w:val="32"/>
                <w:lang w:val="fr-FR"/>
              </w:rPr>
              <w:t> »</w:t>
            </w:r>
            <w:r>
              <w:rPr>
                <w:rFonts w:eastAsia="MS Mincho" w:cs="Times New Roman"/>
                <w:noProof/>
                <w:szCs w:val="32"/>
                <w:lang w:val="fr-FR"/>
              </w:rPr>
              <w:t>, une contrepartie sera donc identifiée par son BIC11, donnée elle aussi élevée au rang de critère obligatoire de matching.</w:t>
            </w:r>
          </w:p>
          <w:p w14:paraId="0043905D" w14:textId="77777777" w:rsidR="006715E5" w:rsidRPr="006715E5" w:rsidRDefault="006715E5" w:rsidP="006715E5">
            <w:pPr>
              <w:pStyle w:val="ListParagraph"/>
              <w:rPr>
                <w:rFonts w:eastAsia="MS Mincho" w:cs="Times New Roman"/>
                <w:noProof/>
                <w:szCs w:val="32"/>
                <w:lang w:val="fr-FR"/>
              </w:rPr>
            </w:pPr>
          </w:p>
          <w:p w14:paraId="3B05E7CC" w14:textId="77777777" w:rsidR="00140482" w:rsidRPr="00922B9C" w:rsidRDefault="00922B9C" w:rsidP="006715E5">
            <w:pPr>
              <w:pStyle w:val="ListParagraph"/>
              <w:numPr>
                <w:ilvl w:val="0"/>
                <w:numId w:val="3"/>
              </w:numPr>
              <w:ind w:left="318" w:hanging="284"/>
              <w:contextualSpacing w:val="0"/>
              <w:jc w:val="both"/>
              <w:rPr>
                <w:rFonts w:eastAsia="MS Mincho" w:cs="Times New Roman"/>
                <w:noProof/>
                <w:szCs w:val="32"/>
                <w:lang w:val="fr-FR"/>
              </w:rPr>
            </w:pPr>
            <w:r>
              <w:rPr>
                <w:rFonts w:eastAsia="MS Mincho" w:cs="Times New Roman"/>
                <w:noProof/>
                <w:szCs w:val="32"/>
                <w:lang w:val="fr-FR"/>
              </w:rPr>
              <w:t>Enfin un troisième niveau de matching est proposé de façon optionnelle pour permettre de réduire les cas de confusion entre deux instructions revètant les mêmes caractéristiques et mettant en contrepartie deux participants de CSD mais pour des clients finaux différents. Ce niveau d’appariement est réalisé sur le client du participant au CSD sous réserve que les deux contreparties renseignent ce champ.  Ce dernier niveau fait l’objet d’une fiche de pratique de marché spécifique (</w:t>
            </w:r>
            <w:r w:rsidRPr="00922B9C">
              <w:rPr>
                <w:rFonts w:eastAsia="MS Mincho" w:cs="Times New Roman"/>
                <w:noProof/>
                <w:szCs w:val="32"/>
                <w:lang w:val="fr-FR"/>
              </w:rPr>
              <w:t>MS-MATCH-CRITE-02)</w:t>
            </w:r>
          </w:p>
        </w:tc>
      </w:tr>
      <w:tr w:rsidR="0081511D" w:rsidRPr="00290F4D" w14:paraId="459E9106" w14:textId="77777777" w:rsidTr="0081511D">
        <w:tc>
          <w:tcPr>
            <w:tcW w:w="2093" w:type="dxa"/>
            <w:tcBorders>
              <w:left w:val="nil"/>
              <w:right w:val="nil"/>
            </w:tcBorders>
            <w:shd w:val="clear" w:color="auto" w:fill="auto"/>
          </w:tcPr>
          <w:p w14:paraId="7800C897" w14:textId="77777777" w:rsidR="0081511D" w:rsidRDefault="0081511D" w:rsidP="00EC776F">
            <w:pPr>
              <w:rPr>
                <w:rFonts w:eastAsia="MS Mincho" w:cs="Times New Roman"/>
                <w:b/>
                <w:noProof/>
                <w:szCs w:val="32"/>
                <w:lang w:val="fr-FR"/>
              </w:rPr>
            </w:pPr>
          </w:p>
        </w:tc>
        <w:tc>
          <w:tcPr>
            <w:tcW w:w="7513" w:type="dxa"/>
            <w:tcBorders>
              <w:left w:val="nil"/>
              <w:right w:val="nil"/>
            </w:tcBorders>
            <w:shd w:val="clear" w:color="auto" w:fill="auto"/>
          </w:tcPr>
          <w:p w14:paraId="511C4C0E" w14:textId="77777777" w:rsidR="0081511D" w:rsidRPr="0081511D" w:rsidRDefault="0081511D" w:rsidP="0081511D">
            <w:pPr>
              <w:rPr>
                <w:rFonts w:eastAsia="MS Mincho" w:cs="Times New Roman"/>
                <w:b/>
                <w:noProof/>
                <w:szCs w:val="32"/>
                <w:lang w:val="fr-FR"/>
              </w:rPr>
            </w:pPr>
          </w:p>
        </w:tc>
      </w:tr>
      <w:tr w:rsidR="0081511D" w:rsidRPr="00290F4D" w14:paraId="79C12206" w14:textId="77777777" w:rsidTr="0081511D">
        <w:tc>
          <w:tcPr>
            <w:tcW w:w="2093" w:type="dxa"/>
            <w:shd w:val="clear" w:color="auto" w:fill="BFBFBF" w:themeFill="background1" w:themeFillShade="BF"/>
          </w:tcPr>
          <w:p w14:paraId="6F2E6825" w14:textId="77777777" w:rsidR="0081511D" w:rsidRDefault="0081511D" w:rsidP="00EC776F">
            <w:pPr>
              <w:rPr>
                <w:rFonts w:eastAsia="MS Mincho" w:cs="Times New Roman"/>
                <w:b/>
                <w:noProof/>
                <w:szCs w:val="32"/>
                <w:lang w:val="fr-FR"/>
              </w:rPr>
            </w:pPr>
            <w:r>
              <w:rPr>
                <w:rFonts w:eastAsia="MS Mincho" w:cs="Times New Roman"/>
                <w:b/>
                <w:noProof/>
                <w:szCs w:val="32"/>
                <w:lang w:val="fr-FR"/>
              </w:rPr>
              <w:lastRenderedPageBreak/>
              <w:t>Description de la problématique majeure</w:t>
            </w:r>
          </w:p>
        </w:tc>
        <w:tc>
          <w:tcPr>
            <w:tcW w:w="7513" w:type="dxa"/>
          </w:tcPr>
          <w:p w14:paraId="625E52E5" w14:textId="77777777" w:rsidR="00922B9C" w:rsidRDefault="00922B9C" w:rsidP="00064127">
            <w:pPr>
              <w:jc w:val="both"/>
              <w:rPr>
                <w:rFonts w:eastAsia="MS Mincho" w:cs="Times New Roman"/>
                <w:noProof/>
                <w:szCs w:val="32"/>
                <w:lang w:val="fr-FR"/>
              </w:rPr>
            </w:pPr>
            <w:r>
              <w:rPr>
                <w:rFonts w:eastAsia="MS Mincho" w:cs="Times New Roman"/>
                <w:noProof/>
                <w:szCs w:val="32"/>
                <w:lang w:val="fr-FR"/>
              </w:rPr>
              <w:t xml:space="preserve">Le bon renseignement des coordonnées de livraison conditionne le dénouement au bon lieu de dépôt (CSD, </w:t>
            </w:r>
            <w:r w:rsidR="006715E5">
              <w:rPr>
                <w:rFonts w:eastAsia="MS Mincho" w:cs="Times New Roman"/>
                <w:noProof/>
                <w:szCs w:val="32"/>
                <w:lang w:val="fr-FR"/>
              </w:rPr>
              <w:t xml:space="preserve">champ </w:t>
            </w:r>
            <w:r>
              <w:rPr>
                <w:rFonts w:eastAsia="MS Mincho" w:cs="Times New Roman"/>
                <w:noProof/>
                <w:szCs w:val="32"/>
                <w:lang w:val="fr-FR"/>
              </w:rPr>
              <w:t xml:space="preserve">obligatoire) chez la bonne contrepartie (participant au CSD, </w:t>
            </w:r>
            <w:r w:rsidR="006715E5">
              <w:rPr>
                <w:rFonts w:eastAsia="MS Mincho" w:cs="Times New Roman"/>
                <w:noProof/>
                <w:szCs w:val="32"/>
                <w:lang w:val="fr-FR"/>
              </w:rPr>
              <w:t xml:space="preserve">champ </w:t>
            </w:r>
            <w:r>
              <w:rPr>
                <w:rFonts w:eastAsia="MS Mincho" w:cs="Times New Roman"/>
                <w:noProof/>
                <w:szCs w:val="32"/>
                <w:lang w:val="fr-FR"/>
              </w:rPr>
              <w:t>obligatoire) et potentiellement pour le bon client de cette dernière (client du participant au CSD, champ optionnel).</w:t>
            </w:r>
          </w:p>
          <w:p w14:paraId="780235AB" w14:textId="77777777" w:rsidR="00064127" w:rsidRDefault="00064127" w:rsidP="00064127">
            <w:pPr>
              <w:jc w:val="both"/>
              <w:rPr>
                <w:rFonts w:eastAsia="MS Mincho" w:cs="Times New Roman"/>
                <w:noProof/>
                <w:szCs w:val="32"/>
                <w:lang w:val="fr-FR"/>
              </w:rPr>
            </w:pPr>
          </w:p>
          <w:p w14:paraId="579EF3FB" w14:textId="273D36CD" w:rsidR="00922B9C" w:rsidRDefault="00922B9C" w:rsidP="00064127">
            <w:pPr>
              <w:jc w:val="both"/>
              <w:rPr>
                <w:rFonts w:eastAsia="MS Mincho" w:cs="Times New Roman"/>
                <w:noProof/>
                <w:szCs w:val="32"/>
                <w:lang w:val="fr-FR"/>
              </w:rPr>
            </w:pPr>
            <w:r>
              <w:rPr>
                <w:rFonts w:eastAsia="MS Mincho" w:cs="Times New Roman"/>
                <w:noProof/>
                <w:szCs w:val="32"/>
                <w:lang w:val="fr-FR"/>
              </w:rPr>
              <w:t xml:space="preserve">La récupération en conséquence par le </w:t>
            </w:r>
            <w:r w:rsidR="00064127">
              <w:rPr>
                <w:rFonts w:eastAsia="MS Mincho" w:cs="Times New Roman"/>
                <w:noProof/>
                <w:szCs w:val="32"/>
                <w:lang w:val="fr-FR"/>
              </w:rPr>
              <w:t>teneur de compte conservateur (</w:t>
            </w:r>
            <w:r>
              <w:rPr>
                <w:rFonts w:eastAsia="MS Mincho" w:cs="Times New Roman"/>
                <w:noProof/>
                <w:szCs w:val="32"/>
                <w:lang w:val="fr-FR"/>
              </w:rPr>
              <w:t>TCC</w:t>
            </w:r>
            <w:r w:rsidR="00064127">
              <w:rPr>
                <w:rFonts w:eastAsia="MS Mincho" w:cs="Times New Roman"/>
                <w:noProof/>
                <w:szCs w:val="32"/>
                <w:lang w:val="fr-FR"/>
              </w:rPr>
              <w:t>)</w:t>
            </w:r>
            <w:r>
              <w:rPr>
                <w:rFonts w:eastAsia="MS Mincho" w:cs="Times New Roman"/>
                <w:noProof/>
                <w:szCs w:val="32"/>
                <w:lang w:val="fr-FR"/>
              </w:rPr>
              <w:t xml:space="preserve"> participant au CSD des informations dépend de la capacité de son client à fournir les informations pertinentes et exhaustives :</w:t>
            </w:r>
          </w:p>
          <w:p w14:paraId="0802C764" w14:textId="726C12CA" w:rsidR="00922B9C" w:rsidRDefault="00922B9C" w:rsidP="00064127">
            <w:pPr>
              <w:pStyle w:val="ListParagraph"/>
              <w:numPr>
                <w:ilvl w:val="0"/>
                <w:numId w:val="3"/>
              </w:numPr>
              <w:ind w:left="318" w:hanging="284"/>
              <w:contextualSpacing w:val="0"/>
              <w:jc w:val="both"/>
              <w:rPr>
                <w:rFonts w:eastAsia="MS Mincho" w:cs="Times New Roman"/>
                <w:noProof/>
                <w:szCs w:val="32"/>
                <w:lang w:val="fr-FR"/>
              </w:rPr>
            </w:pPr>
            <w:r w:rsidRPr="00020084">
              <w:rPr>
                <w:rFonts w:eastAsia="MS Mincho" w:cs="Times New Roman"/>
                <w:noProof/>
                <w:szCs w:val="32"/>
                <w:lang w:val="fr-FR"/>
              </w:rPr>
              <w:t xml:space="preserve">ad minima pour le lieu de dépôt (CSD) et </w:t>
            </w:r>
            <w:r>
              <w:rPr>
                <w:rFonts w:eastAsia="MS Mincho" w:cs="Times New Roman"/>
                <w:noProof/>
                <w:szCs w:val="32"/>
                <w:lang w:val="fr-FR"/>
              </w:rPr>
              <w:t>le participant au CSD contrepartie vers qui adresser (ou de qui recevoir) les titres sujets de l’instruction</w:t>
            </w:r>
            <w:r w:rsidR="00064127">
              <w:rPr>
                <w:rFonts w:eastAsia="MS Mincho" w:cs="Times New Roman"/>
                <w:noProof/>
                <w:szCs w:val="32"/>
                <w:lang w:val="fr-FR"/>
              </w:rPr>
              <w:t>.</w:t>
            </w:r>
          </w:p>
          <w:p w14:paraId="48CC8AC5" w14:textId="77777777" w:rsidR="00064127" w:rsidRPr="00064127" w:rsidRDefault="00064127" w:rsidP="00064127">
            <w:pPr>
              <w:pStyle w:val="ListParagraph"/>
              <w:ind w:left="318"/>
              <w:contextualSpacing w:val="0"/>
              <w:jc w:val="both"/>
              <w:rPr>
                <w:rFonts w:eastAsia="MS Mincho" w:cs="Times New Roman"/>
                <w:noProof/>
                <w:sz w:val="14"/>
                <w:szCs w:val="32"/>
                <w:lang w:val="fr-FR"/>
              </w:rPr>
            </w:pPr>
          </w:p>
          <w:p w14:paraId="6321E1EA" w14:textId="74DAA538" w:rsidR="00922B9C" w:rsidRDefault="00922B9C" w:rsidP="00064127">
            <w:pPr>
              <w:jc w:val="both"/>
              <w:rPr>
                <w:rFonts w:eastAsia="MS Mincho" w:cs="Times New Roman"/>
                <w:noProof/>
                <w:szCs w:val="32"/>
                <w:lang w:val="fr-FR"/>
              </w:rPr>
            </w:pPr>
            <w:r>
              <w:rPr>
                <w:rFonts w:eastAsia="MS Mincho" w:cs="Times New Roman"/>
                <w:noProof/>
                <w:szCs w:val="32"/>
                <w:lang w:val="fr-FR"/>
              </w:rPr>
              <w:t xml:space="preserve">Ces informations sont renseignées par les deux parties dans leurs instructions respectives tant pour leurs propres coordonnées d’IRL que pour les coordonnées de la contrepartie (participant livrant du CSD, CSD du participant livrant – CSD du participant recevant, participant recevant du CSD). </w:t>
            </w:r>
          </w:p>
          <w:p w14:paraId="183150C0" w14:textId="77777777" w:rsidR="00064127" w:rsidRDefault="00064127" w:rsidP="00064127">
            <w:pPr>
              <w:jc w:val="both"/>
              <w:rPr>
                <w:rFonts w:eastAsia="MS Mincho" w:cs="Times New Roman"/>
                <w:noProof/>
                <w:szCs w:val="32"/>
                <w:lang w:val="fr-FR"/>
              </w:rPr>
            </w:pPr>
          </w:p>
          <w:p w14:paraId="25E4CB37" w14:textId="77777777" w:rsidR="00922B9C" w:rsidRDefault="00922B9C" w:rsidP="00064127">
            <w:pPr>
              <w:jc w:val="both"/>
              <w:rPr>
                <w:rFonts w:eastAsia="MS Mincho" w:cs="Times New Roman"/>
                <w:noProof/>
                <w:szCs w:val="32"/>
                <w:lang w:val="fr-FR"/>
              </w:rPr>
            </w:pPr>
            <w:r>
              <w:rPr>
                <w:rFonts w:eastAsia="MS Mincho" w:cs="Times New Roman"/>
                <w:noProof/>
                <w:szCs w:val="32"/>
                <w:lang w:val="fr-FR"/>
              </w:rPr>
              <w:t xml:space="preserve">Dans T2S, le CSD et le participant au CSD sont des données </w:t>
            </w:r>
            <w:r w:rsidRPr="00922B9C">
              <w:rPr>
                <w:rFonts w:eastAsia="MS Mincho" w:cs="Times New Roman"/>
                <w:b/>
                <w:noProof/>
                <w:szCs w:val="32"/>
                <w:lang w:val="fr-FR"/>
              </w:rPr>
              <w:t>obligatoirement renseignées</w:t>
            </w:r>
            <w:r>
              <w:rPr>
                <w:rFonts w:eastAsia="MS Mincho" w:cs="Times New Roman"/>
                <w:noProof/>
                <w:szCs w:val="32"/>
                <w:lang w:val="fr-FR"/>
              </w:rPr>
              <w:t xml:space="preserve"> et devant s’apparier.</w:t>
            </w:r>
          </w:p>
          <w:p w14:paraId="042657FF" w14:textId="77777777" w:rsidR="004B24FF" w:rsidRPr="004B24FF" w:rsidRDefault="004B24FF" w:rsidP="00064127">
            <w:pPr>
              <w:jc w:val="both"/>
              <w:rPr>
                <w:rFonts w:eastAsia="MS Mincho" w:cs="Times New Roman"/>
                <w:noProof/>
                <w:sz w:val="16"/>
                <w:szCs w:val="32"/>
                <w:lang w:val="fr-FR"/>
              </w:rPr>
            </w:pPr>
          </w:p>
          <w:p w14:paraId="5554C476" w14:textId="77777777" w:rsidR="00922B9C" w:rsidRDefault="00922B9C" w:rsidP="00064127">
            <w:pPr>
              <w:jc w:val="both"/>
              <w:rPr>
                <w:rFonts w:eastAsia="MS Mincho" w:cs="Times New Roman"/>
                <w:noProof/>
                <w:szCs w:val="32"/>
                <w:lang w:val="fr-FR"/>
              </w:rPr>
            </w:pPr>
            <w:r>
              <w:rPr>
                <w:rFonts w:eastAsia="MS Mincho" w:cs="Times New Roman"/>
                <w:noProof/>
                <w:szCs w:val="32"/>
                <w:lang w:val="fr-FR"/>
              </w:rPr>
              <w:t>Si la donnée « CSD », transmise par le client d’un participant à un CSD, n’était pas renseignée, celle-ci devrait être déduite par le participant au CSD ou demandée auprès de son client.</w:t>
            </w:r>
          </w:p>
          <w:p w14:paraId="4E0A8F4D" w14:textId="77777777" w:rsidR="004B24FF" w:rsidRPr="004B24FF" w:rsidRDefault="004B24FF" w:rsidP="00064127">
            <w:pPr>
              <w:jc w:val="both"/>
              <w:rPr>
                <w:rFonts w:eastAsia="MS Mincho" w:cs="Times New Roman"/>
                <w:noProof/>
                <w:sz w:val="14"/>
                <w:szCs w:val="32"/>
                <w:lang w:val="fr-FR"/>
              </w:rPr>
            </w:pPr>
          </w:p>
          <w:p w14:paraId="3001C7A6" w14:textId="65D6E69F" w:rsidR="00922B9C" w:rsidRDefault="00922B9C" w:rsidP="00064127">
            <w:pPr>
              <w:jc w:val="both"/>
              <w:rPr>
                <w:rFonts w:eastAsia="MS Mincho" w:cs="Times New Roman"/>
                <w:noProof/>
                <w:szCs w:val="32"/>
                <w:lang w:val="fr-FR"/>
              </w:rPr>
            </w:pPr>
            <w:r>
              <w:rPr>
                <w:rFonts w:eastAsia="MS Mincho" w:cs="Times New Roman"/>
                <w:noProof/>
                <w:szCs w:val="32"/>
                <w:lang w:val="fr-FR"/>
              </w:rPr>
              <w:t>Concernant l’identification du participant au CSD, un participant en connexion indirecte sur T2S pourra utiliser le code affilié comme identifiant, Euroclear</w:t>
            </w:r>
            <w:r w:rsidR="004B24FF">
              <w:rPr>
                <w:rFonts w:eastAsia="MS Mincho" w:cs="Times New Roman"/>
                <w:noProof/>
                <w:szCs w:val="32"/>
                <w:lang w:val="fr-FR"/>
              </w:rPr>
              <w:t xml:space="preserve"> France</w:t>
            </w:r>
            <w:r>
              <w:rPr>
                <w:rFonts w:eastAsia="MS Mincho" w:cs="Times New Roman"/>
                <w:noProof/>
                <w:szCs w:val="32"/>
                <w:lang w:val="fr-FR"/>
              </w:rPr>
              <w:t xml:space="preserve"> assurant la transcodification code affilié, BIC11 associé pour les dénouements entre ses participants. Plus précisément, les deux codes appara</w:t>
            </w:r>
            <w:r w:rsidR="004B24FF">
              <w:rPr>
                <w:rFonts w:eastAsia="MS Mincho" w:cs="Times New Roman"/>
                <w:noProof/>
                <w:szCs w:val="32"/>
                <w:lang w:val="fr-FR"/>
              </w:rPr>
              <w:t>î</w:t>
            </w:r>
            <w:r>
              <w:rPr>
                <w:rFonts w:eastAsia="MS Mincho" w:cs="Times New Roman"/>
                <w:noProof/>
                <w:szCs w:val="32"/>
                <w:lang w:val="fr-FR"/>
              </w:rPr>
              <w:t>tront sur les écrans d’Euroclear France mis à disposition d</w:t>
            </w:r>
            <w:r w:rsidR="00F14083">
              <w:rPr>
                <w:rFonts w:eastAsia="MS Mincho" w:cs="Times New Roman"/>
                <w:noProof/>
                <w:szCs w:val="32"/>
                <w:lang w:val="fr-FR"/>
              </w:rPr>
              <w:t>è</w:t>
            </w:r>
            <w:r>
              <w:rPr>
                <w:rFonts w:eastAsia="MS Mincho" w:cs="Times New Roman"/>
                <w:noProof/>
                <w:szCs w:val="32"/>
                <w:lang w:val="fr-FR"/>
              </w:rPr>
              <w:t>s le démarrage de T2S.</w:t>
            </w:r>
          </w:p>
          <w:p w14:paraId="4F54EA8B" w14:textId="77777777" w:rsidR="00922B9C" w:rsidRDefault="00922B9C" w:rsidP="00064127">
            <w:pPr>
              <w:jc w:val="both"/>
              <w:rPr>
                <w:rFonts w:eastAsia="MS Mincho" w:cs="Times New Roman"/>
                <w:noProof/>
                <w:szCs w:val="32"/>
                <w:lang w:val="fr-FR"/>
              </w:rPr>
            </w:pPr>
            <w:r>
              <w:rPr>
                <w:rFonts w:eastAsia="MS Mincho" w:cs="Times New Roman"/>
                <w:noProof/>
                <w:szCs w:val="32"/>
                <w:lang w:val="fr-FR"/>
              </w:rPr>
              <w:t xml:space="preserve">Cette identification implique un lieu de dépôt en CSD euroclear et donc ne s’applique que dans un cadre purement domestique. </w:t>
            </w:r>
          </w:p>
          <w:p w14:paraId="323B12A5" w14:textId="77777777" w:rsidR="004B24FF" w:rsidRDefault="004B24FF" w:rsidP="00064127">
            <w:pPr>
              <w:jc w:val="both"/>
              <w:rPr>
                <w:rFonts w:eastAsia="MS Mincho" w:cs="Times New Roman"/>
                <w:noProof/>
                <w:szCs w:val="32"/>
                <w:lang w:val="fr-FR"/>
              </w:rPr>
            </w:pPr>
          </w:p>
          <w:p w14:paraId="07B6BC07" w14:textId="005A49C5" w:rsidR="00922B9C" w:rsidRDefault="00922B9C" w:rsidP="00064127">
            <w:pPr>
              <w:jc w:val="both"/>
              <w:rPr>
                <w:rFonts w:eastAsia="MS Mincho" w:cs="Times New Roman"/>
                <w:noProof/>
                <w:szCs w:val="32"/>
                <w:lang w:val="fr-FR"/>
              </w:rPr>
            </w:pPr>
            <w:r>
              <w:rPr>
                <w:rFonts w:eastAsia="MS Mincho" w:cs="Times New Roman"/>
                <w:noProof/>
                <w:szCs w:val="32"/>
                <w:lang w:val="fr-FR"/>
              </w:rPr>
              <w:t>Un participant en connexion direct sera contraint d’instruire en BIC11 le champ renseignant le participant au CSD de sa contrepartie.</w:t>
            </w:r>
          </w:p>
          <w:p w14:paraId="085810BE" w14:textId="77777777" w:rsidR="00922B9C" w:rsidRDefault="00922B9C" w:rsidP="00064127">
            <w:pPr>
              <w:rPr>
                <w:rFonts w:eastAsia="MS Mincho" w:cs="Times New Roman"/>
                <w:noProof/>
                <w:szCs w:val="32"/>
                <w:lang w:val="fr-FR"/>
              </w:rPr>
            </w:pPr>
          </w:p>
          <w:p w14:paraId="35870557" w14:textId="77777777" w:rsidR="00922B9C" w:rsidRDefault="00922B9C" w:rsidP="00064127">
            <w:pPr>
              <w:jc w:val="both"/>
              <w:rPr>
                <w:rFonts w:eastAsia="MS Mincho" w:cs="Times New Roman"/>
                <w:noProof/>
                <w:szCs w:val="32"/>
                <w:lang w:val="fr-FR"/>
              </w:rPr>
            </w:pPr>
            <w:r>
              <w:rPr>
                <w:rFonts w:eastAsia="MS Mincho" w:cs="Times New Roman"/>
                <w:noProof/>
                <w:szCs w:val="32"/>
                <w:lang w:val="fr-FR"/>
              </w:rPr>
              <w:t xml:space="preserve">La problématique principale s’assimile à un changement d’habitude pour passer : </w:t>
            </w:r>
          </w:p>
          <w:p w14:paraId="17E4BCEA" w14:textId="77777777" w:rsidR="00922B9C" w:rsidRDefault="00922B9C" w:rsidP="00064127">
            <w:pPr>
              <w:pStyle w:val="ListParagraph"/>
              <w:numPr>
                <w:ilvl w:val="0"/>
                <w:numId w:val="3"/>
              </w:numPr>
              <w:ind w:left="318" w:hanging="284"/>
              <w:contextualSpacing w:val="0"/>
              <w:jc w:val="both"/>
              <w:rPr>
                <w:rFonts w:eastAsia="MS Mincho" w:cs="Times New Roman"/>
                <w:noProof/>
                <w:szCs w:val="32"/>
                <w:lang w:val="fr-FR"/>
              </w:rPr>
            </w:pPr>
            <w:r>
              <w:rPr>
                <w:rFonts w:eastAsia="MS Mincho" w:cs="Times New Roman"/>
                <w:noProof/>
                <w:szCs w:val="32"/>
                <w:lang w:val="fr-FR"/>
              </w:rPr>
              <w:t>au renseignement du CSD pour identifier les bons lieux de dépôts dans la zone T2S, un participant donné pouvant avoir plusieurs lieux de dépôts (différents CSD) en fonction d’une valeur ou même pour une valeur donnée,</w:t>
            </w:r>
          </w:p>
          <w:p w14:paraId="3D301C79" w14:textId="2C76267E" w:rsidR="0081511D" w:rsidRPr="00922B9C" w:rsidRDefault="00922B9C" w:rsidP="00F14083">
            <w:pPr>
              <w:pStyle w:val="ListParagraph"/>
              <w:numPr>
                <w:ilvl w:val="0"/>
                <w:numId w:val="3"/>
              </w:numPr>
              <w:ind w:left="318" w:hanging="284"/>
              <w:contextualSpacing w:val="0"/>
              <w:jc w:val="both"/>
              <w:rPr>
                <w:rFonts w:eastAsia="MS Mincho" w:cs="Times New Roman"/>
                <w:noProof/>
                <w:szCs w:val="32"/>
                <w:lang w:val="fr-FR"/>
              </w:rPr>
            </w:pPr>
            <w:r>
              <w:rPr>
                <w:rFonts w:eastAsia="MS Mincho" w:cs="Times New Roman"/>
                <w:noProof/>
                <w:szCs w:val="32"/>
                <w:lang w:val="fr-FR"/>
              </w:rPr>
              <w:t>de l’usage du code affilié (généralement connu des opérateurs) vers celui du BIC11 (donnée nouvelle). Il convient notamment de préciser que le code affilié sera encore utilisé dans un certain nombre de services auxiliaires fournis par Euroclear comme</w:t>
            </w:r>
            <w:r w:rsidR="004B24FF">
              <w:rPr>
                <w:rFonts w:eastAsia="MS Mincho" w:cs="Times New Roman"/>
                <w:noProof/>
                <w:szCs w:val="32"/>
                <w:lang w:val="fr-FR"/>
              </w:rPr>
              <w:t xml:space="preserve"> </w:t>
            </w:r>
            <w:r>
              <w:rPr>
                <w:rFonts w:eastAsia="MS Mincho" w:cs="Times New Roman"/>
                <w:noProof/>
                <w:szCs w:val="32"/>
                <w:lang w:val="fr-FR"/>
              </w:rPr>
              <w:t>: SBI</w:t>
            </w:r>
            <w:r w:rsidR="00290F4D">
              <w:rPr>
                <w:rFonts w:eastAsia="MS Mincho" w:cs="Times New Roman"/>
                <w:noProof/>
                <w:szCs w:val="32"/>
                <w:lang w:val="fr-FR"/>
              </w:rPr>
              <w:t xml:space="preserve"> (</w:t>
            </w:r>
            <w:r w:rsidR="00290F4D" w:rsidRPr="00290F4D">
              <w:rPr>
                <w:lang w:val="fr-FR"/>
              </w:rPr>
              <w:t>Sous-système d’Ajustement Sociétés de Bourse-Intermédiaires</w:t>
            </w:r>
            <w:r w:rsidR="00290F4D">
              <w:rPr>
                <w:rFonts w:eastAsia="MS Mincho" w:cs="Times New Roman"/>
                <w:noProof/>
                <w:szCs w:val="32"/>
                <w:lang w:val="fr-FR"/>
              </w:rPr>
              <w:t>)</w:t>
            </w:r>
            <w:r>
              <w:rPr>
                <w:rFonts w:eastAsia="MS Mincho" w:cs="Times New Roman"/>
                <w:noProof/>
                <w:szCs w:val="32"/>
                <w:lang w:val="fr-FR"/>
              </w:rPr>
              <w:t>, les demandes de TPI</w:t>
            </w:r>
            <w:r w:rsidR="00290F4D">
              <w:rPr>
                <w:rFonts w:eastAsia="MS Mincho" w:cs="Times New Roman"/>
                <w:noProof/>
                <w:szCs w:val="32"/>
                <w:lang w:val="fr-FR"/>
              </w:rPr>
              <w:t xml:space="preserve"> (Titres au Porteur Identifiable)</w:t>
            </w:r>
            <w:r>
              <w:rPr>
                <w:rFonts w:eastAsia="MS Mincho" w:cs="Times New Roman"/>
                <w:noProof/>
                <w:szCs w:val="32"/>
                <w:lang w:val="fr-FR"/>
              </w:rPr>
              <w:t xml:space="preserve">, le traitement des BRN </w:t>
            </w:r>
            <w:r w:rsidR="00290F4D">
              <w:rPr>
                <w:rFonts w:eastAsia="MS Mincho" w:cs="Times New Roman"/>
                <w:noProof/>
                <w:szCs w:val="32"/>
                <w:lang w:val="fr-FR"/>
              </w:rPr>
              <w:t xml:space="preserve">(Bordereau de Référence Nominative) </w:t>
            </w:r>
            <w:r>
              <w:rPr>
                <w:rFonts w:eastAsia="MS Mincho" w:cs="Times New Roman"/>
                <w:noProof/>
                <w:szCs w:val="32"/>
                <w:lang w:val="fr-FR"/>
              </w:rPr>
              <w:t>ou celui des TCN</w:t>
            </w:r>
            <w:r w:rsidR="00290F4D">
              <w:rPr>
                <w:rFonts w:eastAsia="MS Mincho" w:cs="Times New Roman"/>
                <w:noProof/>
                <w:szCs w:val="32"/>
                <w:lang w:val="fr-FR"/>
              </w:rPr>
              <w:t xml:space="preserve"> </w:t>
            </w:r>
            <w:r w:rsidR="00290F4D">
              <w:rPr>
                <w:rFonts w:eastAsia="MS Mincho" w:cs="Times New Roman"/>
                <w:noProof/>
                <w:szCs w:val="32"/>
                <w:lang w:val="fr-FR"/>
              </w:rPr>
              <w:lastRenderedPageBreak/>
              <w:t>(Titres de Créance Négociable)</w:t>
            </w:r>
            <w:r>
              <w:rPr>
                <w:rFonts w:eastAsia="MS Mincho" w:cs="Times New Roman"/>
                <w:noProof/>
                <w:szCs w:val="32"/>
                <w:lang w:val="fr-FR"/>
              </w:rPr>
              <w:t>…</w:t>
            </w:r>
          </w:p>
        </w:tc>
      </w:tr>
      <w:tr w:rsidR="0081511D" w:rsidRPr="00290F4D" w14:paraId="7D3D22D7" w14:textId="77777777" w:rsidTr="006542ED">
        <w:tc>
          <w:tcPr>
            <w:tcW w:w="2093" w:type="dxa"/>
            <w:tcBorders>
              <w:left w:val="nil"/>
              <w:right w:val="nil"/>
            </w:tcBorders>
            <w:shd w:val="clear" w:color="auto" w:fill="auto"/>
          </w:tcPr>
          <w:p w14:paraId="014338BE" w14:textId="77777777" w:rsidR="0081511D" w:rsidRDefault="0081511D" w:rsidP="006542ED">
            <w:pPr>
              <w:rPr>
                <w:rFonts w:eastAsia="MS Mincho" w:cs="Times New Roman"/>
                <w:b/>
                <w:noProof/>
                <w:szCs w:val="32"/>
                <w:lang w:val="fr-FR"/>
              </w:rPr>
            </w:pPr>
          </w:p>
        </w:tc>
        <w:tc>
          <w:tcPr>
            <w:tcW w:w="7513" w:type="dxa"/>
            <w:tcBorders>
              <w:left w:val="nil"/>
              <w:right w:val="nil"/>
            </w:tcBorders>
            <w:shd w:val="clear" w:color="auto" w:fill="auto"/>
          </w:tcPr>
          <w:p w14:paraId="0AE48E8B" w14:textId="77777777" w:rsidR="0081511D" w:rsidRPr="0081511D" w:rsidRDefault="0081511D" w:rsidP="006542ED">
            <w:pPr>
              <w:rPr>
                <w:rFonts w:eastAsia="MS Mincho" w:cs="Times New Roman"/>
                <w:b/>
                <w:noProof/>
                <w:szCs w:val="32"/>
                <w:lang w:val="fr-FR"/>
              </w:rPr>
            </w:pPr>
          </w:p>
        </w:tc>
      </w:tr>
      <w:tr w:rsidR="0081511D" w:rsidRPr="0081511D" w14:paraId="7F715ECE" w14:textId="77777777" w:rsidTr="0081511D">
        <w:tc>
          <w:tcPr>
            <w:tcW w:w="2093" w:type="dxa"/>
            <w:shd w:val="clear" w:color="auto" w:fill="BFBFBF" w:themeFill="background1" w:themeFillShade="BF"/>
          </w:tcPr>
          <w:p w14:paraId="2D6E8E3A" w14:textId="77777777" w:rsidR="0081511D" w:rsidRDefault="0081511D" w:rsidP="006542ED">
            <w:pPr>
              <w:rPr>
                <w:rFonts w:eastAsia="MS Mincho" w:cs="Times New Roman"/>
                <w:b/>
                <w:noProof/>
                <w:szCs w:val="32"/>
                <w:lang w:val="fr-FR"/>
              </w:rPr>
            </w:pPr>
            <w:r>
              <w:rPr>
                <w:rFonts w:eastAsia="MS Mincho" w:cs="Times New Roman"/>
                <w:b/>
                <w:noProof/>
                <w:szCs w:val="32"/>
                <w:lang w:val="fr-FR"/>
              </w:rPr>
              <w:t xml:space="preserve">Description des rôles de toutes les parties prenantes </w:t>
            </w:r>
          </w:p>
          <w:p w14:paraId="05530989" w14:textId="77777777" w:rsidR="0081511D" w:rsidRPr="00D103DA" w:rsidRDefault="0081511D" w:rsidP="006542ED">
            <w:pPr>
              <w:rPr>
                <w:rFonts w:eastAsia="MS Mincho" w:cs="Times New Roman"/>
                <w:b/>
                <w:noProof/>
                <w:szCs w:val="32"/>
                <w:lang w:val="fr-FR"/>
              </w:rPr>
            </w:pPr>
            <w:r>
              <w:rPr>
                <w:rFonts w:eastAsia="MS Mincho" w:cs="Times New Roman"/>
                <w:b/>
                <w:noProof/>
                <w:szCs w:val="32"/>
                <w:lang w:val="fr-FR"/>
              </w:rPr>
              <w:t>(FACULTATIF)</w:t>
            </w:r>
          </w:p>
        </w:tc>
        <w:tc>
          <w:tcPr>
            <w:tcW w:w="7513" w:type="dxa"/>
          </w:tcPr>
          <w:p w14:paraId="5DA184AA" w14:textId="77777777" w:rsidR="0081511D" w:rsidRDefault="0081511D" w:rsidP="006542ED">
            <w:pPr>
              <w:rPr>
                <w:rFonts w:eastAsia="MS Mincho" w:cs="Times New Roman"/>
                <w:noProof/>
                <w:szCs w:val="32"/>
                <w:lang w:val="fr-FR"/>
              </w:rPr>
            </w:pPr>
          </w:p>
          <w:p w14:paraId="186B5AEE" w14:textId="77777777" w:rsidR="0081511D" w:rsidRDefault="0081511D" w:rsidP="006542ED">
            <w:pPr>
              <w:rPr>
                <w:rFonts w:eastAsia="MS Mincho" w:cs="Times New Roman"/>
                <w:noProof/>
                <w:szCs w:val="32"/>
                <w:lang w:val="fr-FR"/>
              </w:rPr>
            </w:pPr>
          </w:p>
          <w:p w14:paraId="698C28E3" w14:textId="77777777" w:rsidR="0081511D" w:rsidRDefault="0081511D" w:rsidP="006542ED">
            <w:pPr>
              <w:rPr>
                <w:rFonts w:eastAsia="MS Mincho" w:cs="Times New Roman"/>
                <w:noProof/>
                <w:szCs w:val="32"/>
                <w:lang w:val="fr-FR"/>
              </w:rPr>
            </w:pPr>
          </w:p>
          <w:p w14:paraId="410970CB" w14:textId="77777777" w:rsidR="0081511D" w:rsidRDefault="0081511D" w:rsidP="006542ED">
            <w:pPr>
              <w:rPr>
                <w:rFonts w:eastAsia="MS Mincho" w:cs="Times New Roman"/>
                <w:noProof/>
                <w:szCs w:val="32"/>
                <w:lang w:val="fr-FR"/>
              </w:rPr>
            </w:pPr>
          </w:p>
          <w:p w14:paraId="2238FDE8" w14:textId="77777777" w:rsidR="0081511D" w:rsidRDefault="0081511D" w:rsidP="006542ED">
            <w:pPr>
              <w:rPr>
                <w:rFonts w:eastAsia="MS Mincho" w:cs="Times New Roman"/>
                <w:noProof/>
                <w:szCs w:val="32"/>
                <w:lang w:val="fr-FR"/>
              </w:rPr>
            </w:pPr>
          </w:p>
        </w:tc>
      </w:tr>
      <w:tr w:rsidR="0081511D" w:rsidRPr="0081511D" w14:paraId="69218A1D" w14:textId="77777777" w:rsidTr="006542ED">
        <w:tc>
          <w:tcPr>
            <w:tcW w:w="2093" w:type="dxa"/>
            <w:tcBorders>
              <w:left w:val="nil"/>
              <w:right w:val="nil"/>
            </w:tcBorders>
            <w:shd w:val="clear" w:color="auto" w:fill="auto"/>
          </w:tcPr>
          <w:p w14:paraId="3B4F0783" w14:textId="77777777" w:rsidR="0081511D" w:rsidRDefault="0081511D" w:rsidP="006542ED">
            <w:pPr>
              <w:rPr>
                <w:rFonts w:eastAsia="MS Mincho" w:cs="Times New Roman"/>
                <w:b/>
                <w:noProof/>
                <w:szCs w:val="32"/>
                <w:lang w:val="fr-FR"/>
              </w:rPr>
            </w:pPr>
          </w:p>
        </w:tc>
        <w:tc>
          <w:tcPr>
            <w:tcW w:w="7513" w:type="dxa"/>
            <w:tcBorders>
              <w:left w:val="nil"/>
              <w:right w:val="nil"/>
            </w:tcBorders>
            <w:shd w:val="clear" w:color="auto" w:fill="auto"/>
          </w:tcPr>
          <w:p w14:paraId="61DFFE09" w14:textId="77777777" w:rsidR="0081511D" w:rsidRPr="0081511D" w:rsidRDefault="0081511D" w:rsidP="006542ED">
            <w:pPr>
              <w:rPr>
                <w:rFonts w:eastAsia="MS Mincho" w:cs="Times New Roman"/>
                <w:b/>
                <w:noProof/>
                <w:szCs w:val="32"/>
                <w:lang w:val="fr-FR"/>
              </w:rPr>
            </w:pPr>
          </w:p>
        </w:tc>
      </w:tr>
      <w:tr w:rsidR="0081511D" w:rsidRPr="0081511D" w14:paraId="1E816B52" w14:textId="77777777" w:rsidTr="0081511D">
        <w:tc>
          <w:tcPr>
            <w:tcW w:w="2093" w:type="dxa"/>
            <w:shd w:val="clear" w:color="auto" w:fill="BFBFBF" w:themeFill="background1" w:themeFillShade="BF"/>
          </w:tcPr>
          <w:p w14:paraId="46BC7B7D" w14:textId="77777777" w:rsidR="0081511D" w:rsidRDefault="0081511D" w:rsidP="006542ED">
            <w:pPr>
              <w:rPr>
                <w:rFonts w:eastAsia="MS Mincho" w:cs="Times New Roman"/>
                <w:b/>
                <w:noProof/>
                <w:szCs w:val="32"/>
                <w:lang w:val="fr-FR"/>
              </w:rPr>
            </w:pPr>
            <w:r>
              <w:rPr>
                <w:rFonts w:eastAsia="MS Mincho" w:cs="Times New Roman"/>
                <w:b/>
                <w:noProof/>
                <w:szCs w:val="32"/>
                <w:lang w:val="fr-FR"/>
              </w:rPr>
              <w:t>Schéma des flux</w:t>
            </w:r>
          </w:p>
          <w:p w14:paraId="47DA350A" w14:textId="77777777" w:rsidR="0081511D" w:rsidRDefault="0081511D" w:rsidP="006542ED">
            <w:pPr>
              <w:rPr>
                <w:rFonts w:eastAsia="MS Mincho" w:cs="Times New Roman"/>
                <w:b/>
                <w:noProof/>
                <w:szCs w:val="32"/>
                <w:lang w:val="fr-FR"/>
              </w:rPr>
            </w:pPr>
            <w:r>
              <w:rPr>
                <w:rFonts w:eastAsia="MS Mincho" w:cs="Times New Roman"/>
                <w:b/>
                <w:noProof/>
                <w:szCs w:val="32"/>
                <w:lang w:val="fr-FR"/>
              </w:rPr>
              <w:t>(FACULTATIF)</w:t>
            </w:r>
          </w:p>
        </w:tc>
        <w:tc>
          <w:tcPr>
            <w:tcW w:w="7513" w:type="dxa"/>
          </w:tcPr>
          <w:p w14:paraId="1931972D" w14:textId="77777777" w:rsidR="0081511D" w:rsidRPr="00FD2FD6" w:rsidRDefault="0081511D" w:rsidP="0081511D">
            <w:pPr>
              <w:rPr>
                <w:rFonts w:eastAsia="MS Mincho" w:cs="Times New Roman"/>
                <w:noProof/>
                <w:szCs w:val="32"/>
                <w:lang w:val="fr-FR"/>
              </w:rPr>
            </w:pPr>
          </w:p>
        </w:tc>
      </w:tr>
      <w:tr w:rsidR="0081511D" w:rsidRPr="0081511D" w14:paraId="66F5163F" w14:textId="77777777" w:rsidTr="006542ED">
        <w:tc>
          <w:tcPr>
            <w:tcW w:w="2093" w:type="dxa"/>
            <w:tcBorders>
              <w:left w:val="nil"/>
              <w:right w:val="nil"/>
            </w:tcBorders>
            <w:shd w:val="clear" w:color="auto" w:fill="auto"/>
          </w:tcPr>
          <w:p w14:paraId="65FEF7B0" w14:textId="77777777" w:rsidR="0081511D" w:rsidRDefault="0081511D" w:rsidP="006542ED">
            <w:pPr>
              <w:rPr>
                <w:rFonts w:eastAsia="MS Mincho" w:cs="Times New Roman"/>
                <w:b/>
                <w:noProof/>
                <w:szCs w:val="32"/>
                <w:lang w:val="fr-FR"/>
              </w:rPr>
            </w:pPr>
          </w:p>
        </w:tc>
        <w:tc>
          <w:tcPr>
            <w:tcW w:w="7513" w:type="dxa"/>
            <w:tcBorders>
              <w:left w:val="nil"/>
              <w:right w:val="nil"/>
            </w:tcBorders>
            <w:shd w:val="clear" w:color="auto" w:fill="auto"/>
          </w:tcPr>
          <w:p w14:paraId="0170FF0C" w14:textId="77777777" w:rsidR="0081511D" w:rsidRPr="0081511D" w:rsidRDefault="0081511D" w:rsidP="006542ED">
            <w:pPr>
              <w:rPr>
                <w:rFonts w:eastAsia="MS Mincho" w:cs="Times New Roman"/>
                <w:b/>
                <w:noProof/>
                <w:szCs w:val="32"/>
                <w:lang w:val="fr-FR"/>
              </w:rPr>
            </w:pPr>
          </w:p>
        </w:tc>
      </w:tr>
      <w:tr w:rsidR="0081511D" w:rsidRPr="00290F4D" w14:paraId="2CD943CF" w14:textId="77777777" w:rsidTr="0091257E">
        <w:tc>
          <w:tcPr>
            <w:tcW w:w="2093" w:type="dxa"/>
            <w:tcBorders>
              <w:bottom w:val="single" w:sz="4" w:space="0" w:color="auto"/>
            </w:tcBorders>
            <w:shd w:val="clear" w:color="auto" w:fill="BFBFBF" w:themeFill="background1" w:themeFillShade="BF"/>
          </w:tcPr>
          <w:p w14:paraId="63635324" w14:textId="77777777" w:rsidR="0081511D" w:rsidRDefault="0081511D" w:rsidP="00EC776F">
            <w:pPr>
              <w:rPr>
                <w:rFonts w:eastAsia="MS Mincho" w:cs="Times New Roman"/>
                <w:b/>
                <w:noProof/>
                <w:szCs w:val="32"/>
                <w:lang w:val="fr-FR"/>
              </w:rPr>
            </w:pPr>
            <w:r>
              <w:rPr>
                <w:rFonts w:eastAsia="MS Mincho" w:cs="Times New Roman"/>
                <w:b/>
                <w:noProof/>
                <w:szCs w:val="32"/>
                <w:lang w:val="fr-FR"/>
              </w:rPr>
              <w:t>Liens avec d’autres pratiques</w:t>
            </w:r>
          </w:p>
        </w:tc>
        <w:tc>
          <w:tcPr>
            <w:tcW w:w="7513" w:type="dxa"/>
            <w:tcBorders>
              <w:bottom w:val="single" w:sz="4" w:space="0" w:color="auto"/>
            </w:tcBorders>
          </w:tcPr>
          <w:p w14:paraId="747972BA" w14:textId="77777777" w:rsidR="002A5701" w:rsidRDefault="002A5701" w:rsidP="002A5701">
            <w:pPr>
              <w:pStyle w:val="ListParagraph"/>
              <w:numPr>
                <w:ilvl w:val="0"/>
                <w:numId w:val="8"/>
              </w:numPr>
              <w:spacing w:after="200" w:line="276" w:lineRule="auto"/>
              <w:ind w:left="317" w:hanging="284"/>
              <w:rPr>
                <w:rFonts w:eastAsia="MS Mincho" w:cs="Times New Roman"/>
                <w:noProof/>
                <w:sz w:val="20"/>
                <w:szCs w:val="20"/>
                <w:lang w:val="fr-FR"/>
              </w:rPr>
            </w:pPr>
            <w:r>
              <w:rPr>
                <w:rFonts w:eastAsia="MS Mincho" w:cs="Times New Roman"/>
                <w:noProof/>
                <w:sz w:val="20"/>
                <w:szCs w:val="20"/>
                <w:lang w:val="fr-FR"/>
              </w:rPr>
              <w:t xml:space="preserve">MS-MATCH-CRITE-02 : </w:t>
            </w:r>
            <w:r w:rsidRPr="00373A28">
              <w:rPr>
                <w:rFonts w:eastAsia="MS Mincho" w:cs="Times New Roman"/>
                <w:noProof/>
                <w:sz w:val="20"/>
                <w:szCs w:val="20"/>
                <w:lang w:val="fr-FR"/>
              </w:rPr>
              <w:t>Usage du champs optionnel : client du participant du CSD</w:t>
            </w:r>
          </w:p>
          <w:p w14:paraId="723343ED" w14:textId="77777777" w:rsidR="002A5701" w:rsidRDefault="002A5701" w:rsidP="002A5701">
            <w:pPr>
              <w:pStyle w:val="ListParagraph"/>
              <w:numPr>
                <w:ilvl w:val="0"/>
                <w:numId w:val="8"/>
              </w:numPr>
              <w:spacing w:after="200" w:line="276" w:lineRule="auto"/>
              <w:ind w:left="317" w:hanging="284"/>
              <w:rPr>
                <w:rFonts w:eastAsia="MS Mincho" w:cs="Times New Roman"/>
                <w:noProof/>
                <w:sz w:val="20"/>
                <w:szCs w:val="20"/>
                <w:lang w:val="fr-FR"/>
              </w:rPr>
            </w:pPr>
            <w:r w:rsidRPr="00373A28">
              <w:rPr>
                <w:rFonts w:eastAsia="MS Mincho" w:cs="Times New Roman"/>
                <w:noProof/>
                <w:sz w:val="20"/>
                <w:szCs w:val="20"/>
                <w:lang w:val="fr-FR"/>
              </w:rPr>
              <w:t>MS-MATCH-CRITE-03 : Utilisation des critères additionnels de matching</w:t>
            </w:r>
          </w:p>
          <w:p w14:paraId="33C1CCC4" w14:textId="77777777" w:rsidR="0081511D" w:rsidRPr="002A5701" w:rsidRDefault="002A5701" w:rsidP="002A5701">
            <w:pPr>
              <w:pStyle w:val="ListParagraph"/>
              <w:numPr>
                <w:ilvl w:val="0"/>
                <w:numId w:val="8"/>
              </w:numPr>
              <w:ind w:left="317" w:hanging="284"/>
              <w:rPr>
                <w:rFonts w:eastAsia="MS Mincho" w:cs="Times New Roman"/>
                <w:noProof/>
                <w:sz w:val="20"/>
                <w:szCs w:val="20"/>
                <w:lang w:val="fr-FR"/>
              </w:rPr>
            </w:pPr>
            <w:r w:rsidRPr="00373A28">
              <w:rPr>
                <w:rFonts w:eastAsia="MS Mincho" w:cs="Times New Roman"/>
                <w:noProof/>
                <w:sz w:val="20"/>
                <w:szCs w:val="20"/>
                <w:lang w:val="fr-FR"/>
              </w:rPr>
              <w:t>RE-CPTY-AGENT-01 : Identification d</w:t>
            </w:r>
            <w:r>
              <w:rPr>
                <w:rFonts w:eastAsia="MS Mincho" w:cs="Times New Roman"/>
                <w:noProof/>
                <w:sz w:val="20"/>
                <w:szCs w:val="20"/>
                <w:lang w:val="fr-FR"/>
              </w:rPr>
              <w:t>e l'agent dans les confirmations</w:t>
            </w:r>
          </w:p>
        </w:tc>
      </w:tr>
    </w:tbl>
    <w:p w14:paraId="260B366A" w14:textId="77777777" w:rsidR="001E0D83" w:rsidRDefault="001E0D83" w:rsidP="00D103DA">
      <w:pPr>
        <w:spacing w:after="0" w:line="240" w:lineRule="auto"/>
        <w:rPr>
          <w:rFonts w:eastAsia="MS Mincho" w:cs="Times New Roman"/>
          <w:noProof/>
          <w:szCs w:val="32"/>
          <w:lang w:val="fr-FR"/>
        </w:rPr>
      </w:pPr>
    </w:p>
    <w:p w14:paraId="17334EA9" w14:textId="77777777" w:rsidR="0081511D" w:rsidRDefault="0081511D" w:rsidP="00D103DA">
      <w:pPr>
        <w:spacing w:after="0" w:line="240" w:lineRule="auto"/>
        <w:rPr>
          <w:rFonts w:eastAsia="MS Mincho" w:cs="Times New Roman"/>
          <w:noProof/>
          <w:szCs w:val="32"/>
          <w:lang w:val="fr-FR"/>
        </w:rPr>
      </w:pPr>
    </w:p>
    <w:p w14:paraId="265D6E2E" w14:textId="77777777" w:rsidR="0081511D" w:rsidRPr="004F6025" w:rsidRDefault="0081511D" w:rsidP="0081511D">
      <w:pPr>
        <w:pStyle w:val="ListParagraph"/>
        <w:numPr>
          <w:ilvl w:val="0"/>
          <w:numId w:val="1"/>
        </w:numPr>
        <w:spacing w:after="0" w:line="240" w:lineRule="auto"/>
        <w:ind w:left="284" w:hanging="284"/>
        <w:rPr>
          <w:rFonts w:eastAsia="MS Mincho" w:cs="Times New Roman"/>
          <w:b/>
          <w:caps/>
          <w:noProof/>
          <w:sz w:val="32"/>
          <w:szCs w:val="32"/>
          <w:lang w:val="fr-FR"/>
        </w:rPr>
      </w:pPr>
      <w:r>
        <w:rPr>
          <w:rFonts w:eastAsia="MS Mincho" w:cs="Times New Roman"/>
          <w:b/>
          <w:caps/>
          <w:noProof/>
          <w:sz w:val="32"/>
          <w:szCs w:val="32"/>
          <w:lang w:val="fr-FR"/>
        </w:rPr>
        <w:t>proposition de pratique de marché</w:t>
      </w:r>
    </w:p>
    <w:p w14:paraId="6958AACF" w14:textId="77777777" w:rsidR="0081511D" w:rsidRDefault="0081511D" w:rsidP="00D103DA">
      <w:pPr>
        <w:spacing w:after="0" w:line="240" w:lineRule="auto"/>
        <w:rPr>
          <w:rFonts w:eastAsia="MS Mincho" w:cs="Times New Roman"/>
          <w:noProof/>
          <w:szCs w:val="32"/>
          <w:lang w:val="fr-FR"/>
        </w:rPr>
      </w:pPr>
    </w:p>
    <w:tbl>
      <w:tblPr>
        <w:tblStyle w:val="TableGrid"/>
        <w:tblW w:w="9606" w:type="dxa"/>
        <w:tblLook w:val="04A0" w:firstRow="1" w:lastRow="0" w:firstColumn="1" w:lastColumn="0" w:noHBand="0" w:noVBand="1"/>
      </w:tblPr>
      <w:tblGrid>
        <w:gridCol w:w="2093"/>
        <w:gridCol w:w="7483"/>
        <w:gridCol w:w="30"/>
      </w:tblGrid>
      <w:tr w:rsidR="001E0D83" w:rsidRPr="00290F4D" w14:paraId="7C8C0E83" w14:textId="77777777" w:rsidTr="0081511D">
        <w:trPr>
          <w:gridAfter w:val="1"/>
          <w:wAfter w:w="30" w:type="dxa"/>
        </w:trPr>
        <w:tc>
          <w:tcPr>
            <w:tcW w:w="2093" w:type="dxa"/>
            <w:shd w:val="clear" w:color="auto" w:fill="BFBFBF" w:themeFill="background1" w:themeFillShade="BF"/>
          </w:tcPr>
          <w:p w14:paraId="099DA7B6" w14:textId="77777777" w:rsidR="001E0D83" w:rsidRPr="00D103DA" w:rsidRDefault="0091257E" w:rsidP="00EC776F">
            <w:pPr>
              <w:rPr>
                <w:rFonts w:eastAsia="MS Mincho" w:cs="Times New Roman"/>
                <w:b/>
                <w:noProof/>
                <w:szCs w:val="32"/>
                <w:lang w:val="fr-FR"/>
              </w:rPr>
            </w:pPr>
            <w:r>
              <w:rPr>
                <w:rFonts w:eastAsia="MS Mincho" w:cs="Times New Roman"/>
                <w:b/>
                <w:noProof/>
                <w:szCs w:val="32"/>
                <w:lang w:val="fr-FR"/>
              </w:rPr>
              <w:t>Pratique</w:t>
            </w:r>
            <w:r w:rsidR="00BA66D3">
              <w:rPr>
                <w:rFonts w:eastAsia="MS Mincho" w:cs="Times New Roman"/>
                <w:b/>
                <w:noProof/>
                <w:szCs w:val="32"/>
                <w:lang w:val="fr-FR"/>
              </w:rPr>
              <w:t xml:space="preserve"> </w:t>
            </w:r>
            <w:r w:rsidR="001E0D83">
              <w:rPr>
                <w:rFonts w:eastAsia="MS Mincho" w:cs="Times New Roman"/>
                <w:b/>
                <w:noProof/>
                <w:szCs w:val="32"/>
                <w:lang w:val="fr-FR"/>
              </w:rPr>
              <w:t>recommandé</w:t>
            </w:r>
            <w:r w:rsidR="00BA66D3">
              <w:rPr>
                <w:rFonts w:eastAsia="MS Mincho" w:cs="Times New Roman"/>
                <w:b/>
                <w:noProof/>
                <w:szCs w:val="32"/>
                <w:lang w:val="fr-FR"/>
              </w:rPr>
              <w:t>e</w:t>
            </w:r>
          </w:p>
        </w:tc>
        <w:tc>
          <w:tcPr>
            <w:tcW w:w="7483" w:type="dxa"/>
          </w:tcPr>
          <w:p w14:paraId="0037A2CD" w14:textId="77777777" w:rsidR="00922B9C" w:rsidRPr="00C33595" w:rsidRDefault="00922B9C" w:rsidP="00922B9C">
            <w:pPr>
              <w:spacing w:before="120"/>
              <w:jc w:val="both"/>
              <w:rPr>
                <w:rFonts w:eastAsia="MS Mincho" w:cs="Times New Roman"/>
                <w:noProof/>
                <w:szCs w:val="32"/>
                <w:lang w:val="fr-FR"/>
              </w:rPr>
            </w:pPr>
            <w:r w:rsidRPr="00C33595">
              <w:rPr>
                <w:rFonts w:eastAsia="MS Mincho" w:cs="Times New Roman"/>
                <w:noProof/>
                <w:szCs w:val="32"/>
                <w:lang w:val="fr-FR"/>
              </w:rPr>
              <w:t>La donnée « CSD de la contrepartie » doit par défaut être mentionnée dans les instructions de règlement livraison.</w:t>
            </w:r>
          </w:p>
          <w:p w14:paraId="716D2FFE" w14:textId="77777777" w:rsidR="00922B9C" w:rsidRPr="00C33595" w:rsidRDefault="00922B9C" w:rsidP="00922B9C">
            <w:pPr>
              <w:spacing w:before="120"/>
              <w:jc w:val="both"/>
              <w:rPr>
                <w:rFonts w:eastAsia="MS Mincho" w:cs="Times New Roman"/>
                <w:noProof/>
                <w:szCs w:val="32"/>
                <w:lang w:val="fr-FR"/>
              </w:rPr>
            </w:pPr>
            <w:r w:rsidRPr="00C33595">
              <w:rPr>
                <w:rFonts w:eastAsia="MS Mincho" w:cs="Times New Roman"/>
                <w:noProof/>
                <w:szCs w:val="32"/>
                <w:lang w:val="fr-FR"/>
              </w:rPr>
              <w:t>Cette exigence repose clairement sur le Participant au CSD contraint de fournir cette donnée dans ses instructions de façon systématique.</w:t>
            </w:r>
          </w:p>
          <w:p w14:paraId="04D712D9" w14:textId="77777777" w:rsidR="00922B9C" w:rsidRPr="00C33595" w:rsidRDefault="00922B9C" w:rsidP="00922B9C">
            <w:pPr>
              <w:spacing w:before="120"/>
              <w:jc w:val="both"/>
              <w:rPr>
                <w:rFonts w:eastAsia="MS Mincho" w:cs="Times New Roman"/>
                <w:noProof/>
                <w:szCs w:val="32"/>
                <w:lang w:val="fr-FR"/>
              </w:rPr>
            </w:pPr>
            <w:r w:rsidRPr="00C33595">
              <w:rPr>
                <w:rFonts w:eastAsia="MS Mincho" w:cs="Times New Roman"/>
                <w:noProof/>
                <w:szCs w:val="32"/>
                <w:lang w:val="fr-FR"/>
              </w:rPr>
              <w:t xml:space="preserve">La fourniture de cette donnée par le client du participant au CSD dans ses instructions transmises à ce participant est la recommandation de la pratique de marché. Sa mise en œuvre à ce niveau est cependant à la discrétion du participant dans sa relation avec son client qui pourrait choisir de les déduire </w:t>
            </w:r>
            <w:r>
              <w:rPr>
                <w:rFonts w:eastAsia="MS Mincho" w:cs="Times New Roman"/>
                <w:noProof/>
                <w:szCs w:val="32"/>
                <w:lang w:val="fr-FR"/>
              </w:rPr>
              <w:t xml:space="preserve">s’il en a la capacité </w:t>
            </w:r>
            <w:r w:rsidRPr="00C33595">
              <w:rPr>
                <w:rFonts w:eastAsia="MS Mincho" w:cs="Times New Roman"/>
                <w:noProof/>
                <w:szCs w:val="32"/>
                <w:lang w:val="fr-FR"/>
              </w:rPr>
              <w:t>ou de réclamer sa fourniture systèmatique par le client.</w:t>
            </w:r>
          </w:p>
          <w:p w14:paraId="49FABC2A" w14:textId="07195ED1" w:rsidR="00922B9C" w:rsidRDefault="00922B9C" w:rsidP="00922B9C">
            <w:pPr>
              <w:spacing w:before="120"/>
              <w:jc w:val="both"/>
              <w:rPr>
                <w:rFonts w:eastAsia="MS Mincho" w:cs="Times New Roman"/>
                <w:noProof/>
                <w:szCs w:val="32"/>
                <w:lang w:val="fr-FR"/>
              </w:rPr>
            </w:pPr>
            <w:r w:rsidRPr="00C33595">
              <w:rPr>
                <w:rFonts w:eastAsia="MS Mincho" w:cs="Times New Roman"/>
                <w:noProof/>
                <w:szCs w:val="32"/>
                <w:lang w:val="fr-FR"/>
              </w:rPr>
              <w:t>Le BIC 11 pour identifier le participant au CSD doit être privilégié autant</w:t>
            </w:r>
            <w:r w:rsidR="00F14083">
              <w:rPr>
                <w:rFonts w:eastAsia="MS Mincho" w:cs="Times New Roman"/>
                <w:noProof/>
                <w:szCs w:val="32"/>
                <w:lang w:val="fr-FR"/>
              </w:rPr>
              <w:t xml:space="preserve"> que</w:t>
            </w:r>
            <w:r w:rsidRPr="00C33595">
              <w:rPr>
                <w:rFonts w:eastAsia="MS Mincho" w:cs="Times New Roman"/>
                <w:noProof/>
                <w:szCs w:val="32"/>
                <w:lang w:val="fr-FR"/>
              </w:rPr>
              <w:t xml:space="preserve"> faire se peut dans l’échange entre les parties. A défaut, le recours au code affilié peut être maintenu dans le cadre de filière décrite commé étant « propriétaire » (type SBI) et par essence, les échanges par messagerie avec Euroclear </w:t>
            </w:r>
            <w:r w:rsidR="004B24FF">
              <w:rPr>
                <w:rFonts w:eastAsia="MS Mincho" w:cs="Times New Roman"/>
                <w:noProof/>
                <w:szCs w:val="32"/>
                <w:lang w:val="fr-FR"/>
              </w:rPr>
              <w:t xml:space="preserve">France </w:t>
            </w:r>
            <w:r w:rsidRPr="00C33595">
              <w:rPr>
                <w:rFonts w:eastAsia="MS Mincho" w:cs="Times New Roman"/>
                <w:noProof/>
                <w:szCs w:val="32"/>
                <w:lang w:val="fr-FR"/>
              </w:rPr>
              <w:t xml:space="preserve">devront suivre les règles définies par Euroclear </w:t>
            </w:r>
            <w:r w:rsidR="004B24FF">
              <w:rPr>
                <w:rFonts w:eastAsia="MS Mincho" w:cs="Times New Roman"/>
                <w:noProof/>
                <w:szCs w:val="32"/>
                <w:lang w:val="fr-FR"/>
              </w:rPr>
              <w:t xml:space="preserve">France </w:t>
            </w:r>
            <w:r w:rsidRPr="00C33595">
              <w:rPr>
                <w:rFonts w:eastAsia="MS Mincho" w:cs="Times New Roman"/>
                <w:noProof/>
                <w:szCs w:val="32"/>
                <w:lang w:val="fr-FR"/>
              </w:rPr>
              <w:t xml:space="preserve">qui a la seule main sur ses services privatifs. </w:t>
            </w:r>
          </w:p>
          <w:p w14:paraId="33116CFA" w14:textId="2C87512F" w:rsidR="00922B9C" w:rsidRPr="00C33595" w:rsidRDefault="00922B9C" w:rsidP="00922B9C">
            <w:pPr>
              <w:spacing w:before="120"/>
              <w:jc w:val="both"/>
              <w:rPr>
                <w:rFonts w:eastAsia="MS Mincho" w:cs="Times New Roman"/>
                <w:noProof/>
                <w:szCs w:val="32"/>
                <w:lang w:val="fr-FR"/>
              </w:rPr>
            </w:pPr>
            <w:r w:rsidRPr="00C33595">
              <w:rPr>
                <w:rFonts w:eastAsia="MS Mincho" w:cs="Times New Roman"/>
                <w:noProof/>
                <w:szCs w:val="32"/>
                <w:lang w:val="fr-FR"/>
              </w:rPr>
              <w:t xml:space="preserve">A ce titre, il convient de noter que la modification de l’ensemble des systèmes d’Euroclear France offrant différents services n’est pas envisagée à court terme. De fait, les échanges dans un cadre domestique entre établissements hors système, reposeront dans un premier temps sur l’identification du participant au CSD en code affilié tant que les systèmes associés d’Euroclear </w:t>
            </w:r>
            <w:r w:rsidR="00F14083">
              <w:rPr>
                <w:rFonts w:eastAsia="MS Mincho" w:cs="Times New Roman"/>
                <w:noProof/>
                <w:szCs w:val="32"/>
                <w:lang w:val="fr-FR"/>
              </w:rPr>
              <w:t xml:space="preserve">France </w:t>
            </w:r>
            <w:r w:rsidRPr="00C33595">
              <w:rPr>
                <w:rFonts w:eastAsia="MS Mincho" w:cs="Times New Roman"/>
                <w:noProof/>
                <w:szCs w:val="32"/>
                <w:lang w:val="fr-FR"/>
              </w:rPr>
              <w:t>n’auront pas évolué. Le BIC11 sera par contre incontournable pour les opérations vers d’autres CSD.</w:t>
            </w:r>
          </w:p>
          <w:p w14:paraId="3E8E84DE" w14:textId="77777777" w:rsidR="00AA1FDB" w:rsidRPr="00C33595" w:rsidRDefault="00922B9C" w:rsidP="00922B9C">
            <w:pPr>
              <w:spacing w:before="120"/>
              <w:jc w:val="both"/>
              <w:rPr>
                <w:rFonts w:eastAsia="MS Mincho" w:cs="Times New Roman"/>
                <w:noProof/>
                <w:szCs w:val="32"/>
                <w:lang w:val="fr-FR"/>
              </w:rPr>
            </w:pPr>
            <w:r w:rsidRPr="00C33595">
              <w:rPr>
                <w:rFonts w:eastAsia="MS Mincho" w:cs="Times New Roman"/>
                <w:noProof/>
                <w:szCs w:val="32"/>
                <w:lang w:val="fr-FR"/>
              </w:rPr>
              <w:t xml:space="preserve">Cette préconisation doit être prise en compte et donc relayée auprès des </w:t>
            </w:r>
            <w:r w:rsidRPr="00C33595">
              <w:rPr>
                <w:rFonts w:eastAsia="MS Mincho" w:cs="Times New Roman"/>
                <w:noProof/>
                <w:szCs w:val="32"/>
                <w:lang w:val="fr-FR"/>
              </w:rPr>
              <w:lastRenderedPageBreak/>
              <w:t>différents groupes de travail ayant défini des chartes de bonnes pratiques ou des cahiers des charges de Place et où la notion de code affilié serait mentionnée.</w:t>
            </w:r>
          </w:p>
        </w:tc>
      </w:tr>
      <w:tr w:rsidR="00922B9C" w:rsidRPr="00290F4D" w14:paraId="44D8AE51" w14:textId="77777777" w:rsidTr="0081511D">
        <w:trPr>
          <w:gridAfter w:val="1"/>
          <w:wAfter w:w="30" w:type="dxa"/>
        </w:trPr>
        <w:tc>
          <w:tcPr>
            <w:tcW w:w="2093" w:type="dxa"/>
            <w:shd w:val="clear" w:color="auto" w:fill="BFBFBF" w:themeFill="background1" w:themeFillShade="BF"/>
          </w:tcPr>
          <w:p w14:paraId="2415BDF0" w14:textId="77777777" w:rsidR="00922B9C" w:rsidRDefault="00922B9C" w:rsidP="00EC776F">
            <w:pPr>
              <w:rPr>
                <w:rFonts w:eastAsia="MS Mincho" w:cs="Times New Roman"/>
                <w:b/>
                <w:noProof/>
                <w:szCs w:val="32"/>
                <w:lang w:val="fr-FR"/>
              </w:rPr>
            </w:pPr>
            <w:r>
              <w:rPr>
                <w:rFonts w:eastAsia="MS Mincho" w:cs="Times New Roman"/>
                <w:b/>
                <w:noProof/>
                <w:szCs w:val="32"/>
                <w:lang w:val="fr-FR"/>
              </w:rPr>
              <w:lastRenderedPageBreak/>
              <w:t>Raisons du choix</w:t>
            </w:r>
          </w:p>
        </w:tc>
        <w:tc>
          <w:tcPr>
            <w:tcW w:w="7483" w:type="dxa"/>
          </w:tcPr>
          <w:p w14:paraId="71246DE3" w14:textId="5E423AAF" w:rsidR="00922B9C" w:rsidRPr="00922B9C" w:rsidRDefault="00922B9C" w:rsidP="00922B9C">
            <w:pPr>
              <w:spacing w:before="120"/>
              <w:jc w:val="both"/>
              <w:rPr>
                <w:rFonts w:eastAsia="MS Mincho" w:cs="Times New Roman"/>
                <w:b/>
                <w:noProof/>
                <w:szCs w:val="32"/>
                <w:lang w:val="fr-FR"/>
              </w:rPr>
            </w:pPr>
            <w:r w:rsidRPr="00922B9C">
              <w:rPr>
                <w:rFonts w:eastAsia="MS Mincho" w:cs="Times New Roman"/>
                <w:b/>
                <w:noProof/>
                <w:szCs w:val="32"/>
                <w:lang w:val="fr-FR"/>
              </w:rPr>
              <w:t>Indication du CSD (BIC11)</w:t>
            </w:r>
          </w:p>
          <w:p w14:paraId="1D98852B" w14:textId="77777777" w:rsidR="00922B9C" w:rsidRPr="00C33595" w:rsidRDefault="00922B9C" w:rsidP="00922B9C">
            <w:pPr>
              <w:spacing w:before="120"/>
              <w:jc w:val="both"/>
              <w:rPr>
                <w:rFonts w:eastAsia="MS Mincho" w:cs="Times New Roman"/>
                <w:noProof/>
                <w:szCs w:val="32"/>
                <w:lang w:val="fr-FR"/>
              </w:rPr>
            </w:pPr>
            <w:r w:rsidRPr="00C33595">
              <w:rPr>
                <w:rFonts w:eastAsia="MS Mincho" w:cs="Times New Roman"/>
                <w:noProof/>
                <w:szCs w:val="32"/>
                <w:lang w:val="fr-FR"/>
              </w:rPr>
              <w:t xml:space="preserve">Toute déduction de coordonnées d’IRL  nécessite une phase d’initialisation qui ne peut être faite sans indication donnée préalablement par le client pour déduire les schémas de règlement livraison en fonction de différents critères (contrepartie, marché etc…). Ces schémas peuvent changer dans le temps ou du fait de l’expérience de T2S. </w:t>
            </w:r>
          </w:p>
          <w:p w14:paraId="7F398514" w14:textId="77777777" w:rsidR="00922B9C" w:rsidRPr="00C33595" w:rsidRDefault="00922B9C" w:rsidP="00922B9C">
            <w:pPr>
              <w:spacing w:before="120"/>
              <w:jc w:val="both"/>
              <w:rPr>
                <w:rFonts w:eastAsia="MS Mincho" w:cs="Times New Roman"/>
                <w:noProof/>
                <w:szCs w:val="32"/>
                <w:lang w:val="fr-FR"/>
              </w:rPr>
            </w:pPr>
            <w:r w:rsidRPr="00C33595">
              <w:rPr>
                <w:rFonts w:eastAsia="MS Mincho" w:cs="Times New Roman"/>
                <w:noProof/>
                <w:szCs w:val="32"/>
                <w:lang w:val="fr-FR"/>
              </w:rPr>
              <w:t>Par défaut, la mention d’un schéma de règlement livraison part donc toujours d’une information initialement transmise par le client à son TCC avec une évolution possible dans le temps.</w:t>
            </w:r>
          </w:p>
          <w:p w14:paraId="5CB354E3" w14:textId="77777777" w:rsidR="00922B9C" w:rsidRPr="00922B9C" w:rsidRDefault="00922B9C" w:rsidP="00922B9C">
            <w:pPr>
              <w:spacing w:before="120"/>
              <w:jc w:val="both"/>
              <w:rPr>
                <w:rFonts w:eastAsia="MS Mincho" w:cs="Times New Roman"/>
                <w:noProof/>
                <w:szCs w:val="32"/>
                <w:lang w:val="fr-FR"/>
              </w:rPr>
            </w:pPr>
          </w:p>
          <w:p w14:paraId="66CC75C8" w14:textId="2DD237C6" w:rsidR="00922B9C" w:rsidRPr="00694503" w:rsidRDefault="00922B9C" w:rsidP="00922B9C">
            <w:pPr>
              <w:spacing w:before="120"/>
              <w:jc w:val="both"/>
              <w:rPr>
                <w:b/>
                <w:lang w:val="fr-FR"/>
              </w:rPr>
            </w:pPr>
            <w:r w:rsidRPr="00694503">
              <w:rPr>
                <w:b/>
                <w:lang w:val="fr-FR"/>
              </w:rPr>
              <w:t>Indication du participant du CSD (BIC11)</w:t>
            </w:r>
          </w:p>
          <w:p w14:paraId="4CCF7A62" w14:textId="1ADC2BDF" w:rsidR="00922B9C" w:rsidRPr="00C33595" w:rsidRDefault="00922B9C" w:rsidP="00922B9C">
            <w:pPr>
              <w:spacing w:before="120"/>
              <w:jc w:val="both"/>
              <w:rPr>
                <w:rFonts w:eastAsia="MS Mincho" w:cs="Times New Roman"/>
                <w:noProof/>
                <w:szCs w:val="32"/>
                <w:lang w:val="fr-FR"/>
              </w:rPr>
            </w:pPr>
            <w:r w:rsidRPr="00C33595">
              <w:rPr>
                <w:rFonts w:eastAsia="MS Mincho" w:cs="Times New Roman"/>
                <w:noProof/>
                <w:szCs w:val="32"/>
                <w:lang w:val="fr-FR"/>
              </w:rPr>
              <w:t xml:space="preserve">Le BIC11 doit être privilégié dans la mesure où cette information deviendra la norme dans les échanges « cross CSD ». Le maintien en mode domestique de la pratique basée sur le code affilié se justifie </w:t>
            </w:r>
            <w:r w:rsidR="00F14083" w:rsidRPr="00C33595">
              <w:rPr>
                <w:rFonts w:eastAsia="MS Mincho" w:cs="Times New Roman"/>
                <w:noProof/>
                <w:szCs w:val="32"/>
                <w:lang w:val="fr-FR"/>
              </w:rPr>
              <w:t>d</w:t>
            </w:r>
            <w:r w:rsidR="00F14083">
              <w:rPr>
                <w:rFonts w:eastAsia="MS Mincho" w:cs="Times New Roman"/>
                <w:noProof/>
                <w:szCs w:val="32"/>
                <w:lang w:val="fr-FR"/>
              </w:rPr>
              <w:t>è</w:t>
            </w:r>
            <w:r w:rsidR="00F14083" w:rsidRPr="00C33595">
              <w:rPr>
                <w:rFonts w:eastAsia="MS Mincho" w:cs="Times New Roman"/>
                <w:noProof/>
                <w:szCs w:val="32"/>
                <w:lang w:val="fr-FR"/>
              </w:rPr>
              <w:t xml:space="preserve">s </w:t>
            </w:r>
            <w:r w:rsidRPr="00C33595">
              <w:rPr>
                <w:rFonts w:eastAsia="MS Mincho" w:cs="Times New Roman"/>
                <w:noProof/>
                <w:szCs w:val="32"/>
                <w:lang w:val="fr-FR"/>
              </w:rPr>
              <w:t>lors que les systèmes d’Euroclear France ne propose</w:t>
            </w:r>
            <w:r w:rsidR="00F14083">
              <w:rPr>
                <w:rFonts w:eastAsia="MS Mincho" w:cs="Times New Roman"/>
                <w:noProof/>
                <w:szCs w:val="32"/>
                <w:lang w:val="fr-FR"/>
              </w:rPr>
              <w:t>nt</w:t>
            </w:r>
            <w:r w:rsidRPr="00C33595">
              <w:rPr>
                <w:rFonts w:eastAsia="MS Mincho" w:cs="Times New Roman"/>
                <w:noProof/>
                <w:szCs w:val="32"/>
                <w:lang w:val="fr-FR"/>
              </w:rPr>
              <w:t xml:space="preserve"> pas le BIC11. La mise à niveau des systèmes chez Euroclear France a un impact significatif pour l’ensemble de la Place nécessitant un déploiment défini en commun. Aucune visibilité n’est donnée actuellement sur cette mise en œuvre. </w:t>
            </w:r>
          </w:p>
          <w:p w14:paraId="4E96DDB0" w14:textId="0B477235" w:rsidR="00922B9C" w:rsidRPr="00C33595" w:rsidRDefault="00922B9C" w:rsidP="00922B9C">
            <w:pPr>
              <w:spacing w:before="120"/>
              <w:jc w:val="both"/>
              <w:rPr>
                <w:rFonts w:eastAsia="MS Mincho" w:cs="Times New Roman"/>
                <w:noProof/>
                <w:szCs w:val="32"/>
                <w:lang w:val="fr-FR"/>
              </w:rPr>
            </w:pPr>
            <w:r w:rsidRPr="00C33595">
              <w:rPr>
                <w:rFonts w:eastAsia="MS Mincho" w:cs="Times New Roman"/>
                <w:noProof/>
                <w:szCs w:val="32"/>
                <w:lang w:val="fr-FR"/>
              </w:rPr>
              <w:t xml:space="preserve">Les nouveaux affiliés d’ESES se verront attribuer un code </w:t>
            </w:r>
            <w:r w:rsidR="00815063">
              <w:rPr>
                <w:rFonts w:eastAsia="MS Mincho" w:cs="Times New Roman"/>
                <w:noProof/>
                <w:szCs w:val="32"/>
                <w:lang w:val="fr-FR"/>
              </w:rPr>
              <w:t>a</w:t>
            </w:r>
            <w:r w:rsidRPr="00C33595">
              <w:rPr>
                <w:rFonts w:eastAsia="MS Mincho" w:cs="Times New Roman"/>
                <w:noProof/>
                <w:szCs w:val="32"/>
                <w:lang w:val="fr-FR"/>
              </w:rPr>
              <w:t>ffilié tant que les évolutions des systèmes ESES ne seront pas totalement effectué</w:t>
            </w:r>
            <w:r w:rsidR="00815063">
              <w:rPr>
                <w:rFonts w:eastAsia="MS Mincho" w:cs="Times New Roman"/>
                <w:noProof/>
                <w:szCs w:val="32"/>
                <w:lang w:val="fr-FR"/>
              </w:rPr>
              <w:t>e</w:t>
            </w:r>
            <w:r w:rsidRPr="00C33595">
              <w:rPr>
                <w:rFonts w:eastAsia="MS Mincho" w:cs="Times New Roman"/>
                <w:noProof/>
                <w:szCs w:val="32"/>
                <w:lang w:val="fr-FR"/>
              </w:rPr>
              <w:t>s vers le code BIC11. Le code affilié sera donc utilisable de façon générale.</w:t>
            </w:r>
          </w:p>
          <w:p w14:paraId="0CC38BD9" w14:textId="28E9FD20" w:rsidR="00922B9C" w:rsidRPr="00C33595" w:rsidRDefault="00922B9C" w:rsidP="00922B9C">
            <w:pPr>
              <w:spacing w:before="120"/>
              <w:jc w:val="both"/>
              <w:rPr>
                <w:rFonts w:eastAsia="MS Mincho" w:cs="Times New Roman"/>
                <w:noProof/>
                <w:szCs w:val="32"/>
                <w:lang w:val="fr-FR"/>
              </w:rPr>
            </w:pPr>
            <w:r w:rsidRPr="00C33595">
              <w:rPr>
                <w:rFonts w:eastAsia="MS Mincho" w:cs="Times New Roman"/>
                <w:noProof/>
                <w:szCs w:val="32"/>
                <w:lang w:val="fr-FR"/>
              </w:rPr>
              <w:t xml:space="preserve">La table de correspondance </w:t>
            </w:r>
            <w:r w:rsidR="00815063">
              <w:rPr>
                <w:rFonts w:eastAsia="MS Mincho" w:cs="Times New Roman"/>
                <w:noProof/>
                <w:szCs w:val="32"/>
                <w:lang w:val="fr-FR"/>
              </w:rPr>
              <w:t>c</w:t>
            </w:r>
            <w:r w:rsidRPr="00C33595">
              <w:rPr>
                <w:rFonts w:eastAsia="MS Mincho" w:cs="Times New Roman"/>
                <w:noProof/>
                <w:szCs w:val="32"/>
                <w:lang w:val="fr-FR"/>
              </w:rPr>
              <w:t>ode affilié / B</w:t>
            </w:r>
            <w:r w:rsidR="00815063">
              <w:rPr>
                <w:rFonts w:eastAsia="MS Mincho" w:cs="Times New Roman"/>
                <w:noProof/>
                <w:szCs w:val="32"/>
                <w:lang w:val="fr-FR"/>
              </w:rPr>
              <w:t>IC</w:t>
            </w:r>
            <w:r w:rsidRPr="00C33595">
              <w:rPr>
                <w:rFonts w:eastAsia="MS Mincho" w:cs="Times New Roman"/>
                <w:noProof/>
                <w:szCs w:val="32"/>
                <w:lang w:val="fr-FR"/>
              </w:rPr>
              <w:t>11 sera mise à disposition sur le site Internet d’Euroclear</w:t>
            </w:r>
            <w:r w:rsidR="00815063">
              <w:rPr>
                <w:rFonts w:eastAsia="MS Mincho" w:cs="Times New Roman"/>
                <w:noProof/>
                <w:szCs w:val="32"/>
                <w:lang w:val="fr-FR"/>
              </w:rPr>
              <w:t xml:space="preserve"> France</w:t>
            </w:r>
            <w:r w:rsidRPr="00C33595">
              <w:rPr>
                <w:rFonts w:eastAsia="MS Mincho" w:cs="Times New Roman"/>
                <w:noProof/>
                <w:szCs w:val="32"/>
                <w:lang w:val="fr-FR"/>
              </w:rPr>
              <w:t>.</w:t>
            </w:r>
          </w:p>
        </w:tc>
      </w:tr>
      <w:tr w:rsidR="0081511D" w:rsidRPr="00290F4D" w14:paraId="3BF5EFD0" w14:textId="77777777" w:rsidTr="0081511D">
        <w:tc>
          <w:tcPr>
            <w:tcW w:w="2093" w:type="dxa"/>
            <w:tcBorders>
              <w:left w:val="nil"/>
              <w:right w:val="nil"/>
            </w:tcBorders>
            <w:shd w:val="clear" w:color="auto" w:fill="auto"/>
          </w:tcPr>
          <w:p w14:paraId="47A432E4" w14:textId="77777777" w:rsidR="0081511D" w:rsidRDefault="0081511D" w:rsidP="006542ED">
            <w:pPr>
              <w:rPr>
                <w:rFonts w:eastAsia="MS Mincho" w:cs="Times New Roman"/>
                <w:b/>
                <w:noProof/>
                <w:szCs w:val="32"/>
                <w:lang w:val="fr-FR"/>
              </w:rPr>
            </w:pPr>
          </w:p>
        </w:tc>
        <w:tc>
          <w:tcPr>
            <w:tcW w:w="7513" w:type="dxa"/>
            <w:gridSpan w:val="2"/>
            <w:tcBorders>
              <w:left w:val="nil"/>
              <w:right w:val="nil"/>
            </w:tcBorders>
            <w:shd w:val="clear" w:color="auto" w:fill="auto"/>
          </w:tcPr>
          <w:p w14:paraId="01412A07" w14:textId="77777777" w:rsidR="0081511D" w:rsidRPr="0081511D" w:rsidRDefault="0081511D" w:rsidP="006542ED">
            <w:pPr>
              <w:rPr>
                <w:rFonts w:eastAsia="MS Mincho" w:cs="Times New Roman"/>
                <w:b/>
                <w:noProof/>
                <w:szCs w:val="32"/>
                <w:lang w:val="fr-FR"/>
              </w:rPr>
            </w:pPr>
          </w:p>
        </w:tc>
      </w:tr>
      <w:tr w:rsidR="0081511D" w14:paraId="7959C5A1" w14:textId="77777777" w:rsidTr="0081511D">
        <w:trPr>
          <w:gridAfter w:val="1"/>
          <w:wAfter w:w="30" w:type="dxa"/>
        </w:trPr>
        <w:tc>
          <w:tcPr>
            <w:tcW w:w="2093" w:type="dxa"/>
            <w:tcBorders>
              <w:bottom w:val="single" w:sz="4" w:space="0" w:color="auto"/>
            </w:tcBorders>
            <w:shd w:val="clear" w:color="auto" w:fill="BFBFBF" w:themeFill="background1" w:themeFillShade="BF"/>
          </w:tcPr>
          <w:p w14:paraId="64FDCAEA" w14:textId="77777777" w:rsidR="0081511D" w:rsidRDefault="0081511D" w:rsidP="006542ED">
            <w:pPr>
              <w:rPr>
                <w:rFonts w:eastAsia="MS Mincho" w:cs="Times New Roman"/>
                <w:b/>
                <w:noProof/>
                <w:szCs w:val="32"/>
                <w:lang w:val="fr-FR"/>
              </w:rPr>
            </w:pPr>
            <w:r>
              <w:rPr>
                <w:rFonts w:eastAsia="MS Mincho" w:cs="Times New Roman"/>
                <w:b/>
                <w:noProof/>
                <w:szCs w:val="32"/>
                <w:lang w:val="fr-FR"/>
              </w:rPr>
              <w:t xml:space="preserve">Description des rôles de toutes les parties prenantes </w:t>
            </w:r>
          </w:p>
          <w:p w14:paraId="775E5BD4" w14:textId="77777777" w:rsidR="0081511D" w:rsidRPr="00D103DA" w:rsidRDefault="0081511D" w:rsidP="006542ED">
            <w:pPr>
              <w:rPr>
                <w:rFonts w:eastAsia="MS Mincho" w:cs="Times New Roman"/>
                <w:b/>
                <w:noProof/>
                <w:szCs w:val="32"/>
                <w:lang w:val="fr-FR"/>
              </w:rPr>
            </w:pPr>
            <w:r>
              <w:rPr>
                <w:rFonts w:eastAsia="MS Mincho" w:cs="Times New Roman"/>
                <w:b/>
                <w:noProof/>
                <w:szCs w:val="32"/>
                <w:lang w:val="fr-FR"/>
              </w:rPr>
              <w:t>(FACULTATIF)</w:t>
            </w:r>
          </w:p>
        </w:tc>
        <w:tc>
          <w:tcPr>
            <w:tcW w:w="7483" w:type="dxa"/>
            <w:tcBorders>
              <w:bottom w:val="single" w:sz="4" w:space="0" w:color="auto"/>
            </w:tcBorders>
          </w:tcPr>
          <w:p w14:paraId="79F5D8A3" w14:textId="77777777" w:rsidR="0081511D" w:rsidRDefault="0081511D" w:rsidP="006542ED">
            <w:pPr>
              <w:rPr>
                <w:rFonts w:eastAsia="MS Mincho" w:cs="Times New Roman"/>
                <w:noProof/>
                <w:szCs w:val="32"/>
                <w:lang w:val="fr-FR"/>
              </w:rPr>
            </w:pPr>
          </w:p>
          <w:p w14:paraId="6784D288" w14:textId="77777777" w:rsidR="0081511D" w:rsidRDefault="0081511D" w:rsidP="006542ED">
            <w:pPr>
              <w:rPr>
                <w:rFonts w:eastAsia="MS Mincho" w:cs="Times New Roman"/>
                <w:noProof/>
                <w:szCs w:val="32"/>
                <w:lang w:val="fr-FR"/>
              </w:rPr>
            </w:pPr>
          </w:p>
          <w:p w14:paraId="6D8DAC35" w14:textId="77777777" w:rsidR="0081511D" w:rsidRDefault="0081511D" w:rsidP="006542ED">
            <w:pPr>
              <w:rPr>
                <w:rFonts w:eastAsia="MS Mincho" w:cs="Times New Roman"/>
                <w:noProof/>
                <w:szCs w:val="32"/>
                <w:lang w:val="fr-FR"/>
              </w:rPr>
            </w:pPr>
          </w:p>
          <w:p w14:paraId="6F14504E" w14:textId="77777777" w:rsidR="0081511D" w:rsidRDefault="0081511D" w:rsidP="006542ED">
            <w:pPr>
              <w:rPr>
                <w:rFonts w:eastAsia="MS Mincho" w:cs="Times New Roman"/>
                <w:noProof/>
                <w:szCs w:val="32"/>
                <w:lang w:val="fr-FR"/>
              </w:rPr>
            </w:pPr>
          </w:p>
        </w:tc>
      </w:tr>
      <w:tr w:rsidR="0081511D" w14:paraId="4BA665D8" w14:textId="77777777" w:rsidTr="0081511D">
        <w:trPr>
          <w:gridAfter w:val="1"/>
          <w:wAfter w:w="30" w:type="dxa"/>
        </w:trPr>
        <w:tc>
          <w:tcPr>
            <w:tcW w:w="2093" w:type="dxa"/>
            <w:tcBorders>
              <w:left w:val="nil"/>
              <w:right w:val="nil"/>
            </w:tcBorders>
            <w:shd w:val="clear" w:color="auto" w:fill="FFFFFF" w:themeFill="background1"/>
          </w:tcPr>
          <w:p w14:paraId="03FFB717" w14:textId="77777777" w:rsidR="0081511D" w:rsidRDefault="0081511D" w:rsidP="006542ED">
            <w:pPr>
              <w:rPr>
                <w:rFonts w:eastAsia="MS Mincho" w:cs="Times New Roman"/>
                <w:b/>
                <w:noProof/>
                <w:szCs w:val="32"/>
                <w:lang w:val="fr-FR"/>
              </w:rPr>
            </w:pPr>
          </w:p>
        </w:tc>
        <w:tc>
          <w:tcPr>
            <w:tcW w:w="7483" w:type="dxa"/>
            <w:tcBorders>
              <w:left w:val="nil"/>
              <w:bottom w:val="single" w:sz="4" w:space="0" w:color="auto"/>
              <w:right w:val="nil"/>
            </w:tcBorders>
            <w:shd w:val="clear" w:color="auto" w:fill="FFFFFF" w:themeFill="background1"/>
          </w:tcPr>
          <w:p w14:paraId="041F9BBD" w14:textId="77777777" w:rsidR="0081511D" w:rsidRDefault="0081511D" w:rsidP="006542ED">
            <w:pPr>
              <w:rPr>
                <w:rFonts w:eastAsia="MS Mincho" w:cs="Times New Roman"/>
                <w:noProof/>
                <w:szCs w:val="32"/>
                <w:lang w:val="fr-FR"/>
              </w:rPr>
            </w:pPr>
          </w:p>
        </w:tc>
      </w:tr>
      <w:tr w:rsidR="0081511D" w14:paraId="5EBCC2B1" w14:textId="77777777" w:rsidTr="0081511D">
        <w:trPr>
          <w:gridAfter w:val="1"/>
          <w:wAfter w:w="30" w:type="dxa"/>
        </w:trPr>
        <w:tc>
          <w:tcPr>
            <w:tcW w:w="2093" w:type="dxa"/>
            <w:shd w:val="clear" w:color="auto" w:fill="BFBFBF" w:themeFill="background1" w:themeFillShade="BF"/>
          </w:tcPr>
          <w:p w14:paraId="499DF48C" w14:textId="77777777" w:rsidR="0081511D" w:rsidRDefault="0081511D" w:rsidP="006542ED">
            <w:pPr>
              <w:rPr>
                <w:rFonts w:eastAsia="MS Mincho" w:cs="Times New Roman"/>
                <w:b/>
                <w:noProof/>
                <w:szCs w:val="32"/>
                <w:lang w:val="fr-FR"/>
              </w:rPr>
            </w:pPr>
            <w:r>
              <w:rPr>
                <w:rFonts w:eastAsia="MS Mincho" w:cs="Times New Roman"/>
                <w:b/>
                <w:noProof/>
                <w:szCs w:val="32"/>
                <w:lang w:val="fr-FR"/>
              </w:rPr>
              <w:t>Schéma des flux</w:t>
            </w:r>
          </w:p>
          <w:p w14:paraId="4BBB79F9" w14:textId="77777777" w:rsidR="0081511D" w:rsidRDefault="0081511D" w:rsidP="006542ED">
            <w:pPr>
              <w:rPr>
                <w:rFonts w:eastAsia="MS Mincho" w:cs="Times New Roman"/>
                <w:b/>
                <w:noProof/>
                <w:szCs w:val="32"/>
                <w:lang w:val="fr-FR"/>
              </w:rPr>
            </w:pPr>
            <w:r>
              <w:rPr>
                <w:rFonts w:eastAsia="MS Mincho" w:cs="Times New Roman"/>
                <w:b/>
                <w:noProof/>
                <w:szCs w:val="32"/>
                <w:lang w:val="fr-FR"/>
              </w:rPr>
              <w:t>(FACULTATIF)</w:t>
            </w:r>
          </w:p>
        </w:tc>
        <w:tc>
          <w:tcPr>
            <w:tcW w:w="7483" w:type="dxa"/>
            <w:tcBorders>
              <w:bottom w:val="single" w:sz="4" w:space="0" w:color="auto"/>
            </w:tcBorders>
          </w:tcPr>
          <w:p w14:paraId="72431A7F" w14:textId="77777777" w:rsidR="0081511D" w:rsidRDefault="0081511D" w:rsidP="006542ED">
            <w:pPr>
              <w:rPr>
                <w:rFonts w:eastAsia="MS Mincho" w:cs="Times New Roman"/>
                <w:noProof/>
                <w:szCs w:val="32"/>
                <w:lang w:val="fr-FR"/>
              </w:rPr>
            </w:pPr>
          </w:p>
          <w:p w14:paraId="135C8090" w14:textId="77777777" w:rsidR="0081511D" w:rsidRDefault="0081511D" w:rsidP="006542ED">
            <w:pPr>
              <w:rPr>
                <w:rFonts w:eastAsia="MS Mincho" w:cs="Times New Roman"/>
                <w:noProof/>
                <w:szCs w:val="32"/>
                <w:lang w:val="fr-FR"/>
              </w:rPr>
            </w:pPr>
          </w:p>
        </w:tc>
      </w:tr>
    </w:tbl>
    <w:p w14:paraId="0A85EADA" w14:textId="77777777" w:rsidR="00363E89" w:rsidRDefault="00363E89" w:rsidP="001E0D83">
      <w:pPr>
        <w:spacing w:after="0" w:line="240" w:lineRule="auto"/>
        <w:rPr>
          <w:rFonts w:eastAsia="MS Mincho" w:cs="Times New Roman"/>
          <w:noProof/>
          <w:szCs w:val="32"/>
          <w:lang w:val="fr-FR"/>
        </w:rPr>
      </w:pPr>
    </w:p>
    <w:p w14:paraId="4E8F6BE9" w14:textId="77777777" w:rsidR="00BA6B0A" w:rsidRDefault="00BA6B0A" w:rsidP="001E0D83">
      <w:pPr>
        <w:spacing w:after="0" w:line="240" w:lineRule="auto"/>
        <w:rPr>
          <w:rFonts w:eastAsia="MS Mincho" w:cs="Times New Roman"/>
          <w:noProof/>
          <w:szCs w:val="32"/>
          <w:lang w:val="fr-FR"/>
        </w:rPr>
      </w:pPr>
    </w:p>
    <w:p w14:paraId="6F2BA4C1" w14:textId="77777777" w:rsidR="00140482" w:rsidRDefault="00140482">
      <w:pPr>
        <w:rPr>
          <w:rFonts w:eastAsia="MS Mincho" w:cs="Times New Roman"/>
          <w:b/>
          <w:caps/>
          <w:noProof/>
          <w:sz w:val="32"/>
          <w:szCs w:val="32"/>
          <w:lang w:val="fr-FR"/>
        </w:rPr>
      </w:pPr>
    </w:p>
    <w:p w14:paraId="20D9E7F6" w14:textId="77777777" w:rsidR="00815063" w:rsidRDefault="00815063">
      <w:pPr>
        <w:rPr>
          <w:rFonts w:eastAsia="MS Mincho" w:cs="Times New Roman"/>
          <w:b/>
          <w:caps/>
          <w:noProof/>
          <w:sz w:val="32"/>
          <w:szCs w:val="32"/>
          <w:lang w:val="fr-FR"/>
        </w:rPr>
      </w:pPr>
    </w:p>
    <w:p w14:paraId="62A49026" w14:textId="77777777" w:rsidR="00815063" w:rsidRDefault="00815063">
      <w:pPr>
        <w:rPr>
          <w:rFonts w:eastAsia="MS Mincho" w:cs="Times New Roman"/>
          <w:b/>
          <w:caps/>
          <w:noProof/>
          <w:sz w:val="32"/>
          <w:szCs w:val="32"/>
          <w:lang w:val="fr-FR"/>
        </w:rPr>
      </w:pPr>
    </w:p>
    <w:p w14:paraId="5E3ADC17" w14:textId="77777777" w:rsidR="00815063" w:rsidRDefault="00815063">
      <w:pPr>
        <w:rPr>
          <w:rFonts w:eastAsia="MS Mincho" w:cs="Times New Roman"/>
          <w:b/>
          <w:caps/>
          <w:noProof/>
          <w:sz w:val="32"/>
          <w:szCs w:val="32"/>
          <w:lang w:val="fr-FR"/>
        </w:rPr>
      </w:pPr>
    </w:p>
    <w:p w14:paraId="785C7B84" w14:textId="77777777" w:rsidR="00140482" w:rsidRPr="004F6025" w:rsidRDefault="00140482" w:rsidP="00140482">
      <w:pPr>
        <w:pStyle w:val="ListParagraph"/>
        <w:numPr>
          <w:ilvl w:val="0"/>
          <w:numId w:val="1"/>
        </w:numPr>
        <w:spacing w:after="0" w:line="240" w:lineRule="auto"/>
        <w:ind w:left="284" w:hanging="284"/>
        <w:rPr>
          <w:rFonts w:eastAsia="MS Mincho" w:cs="Times New Roman"/>
          <w:b/>
          <w:caps/>
          <w:noProof/>
          <w:sz w:val="32"/>
          <w:szCs w:val="32"/>
          <w:lang w:val="fr-FR"/>
        </w:rPr>
      </w:pPr>
      <w:r>
        <w:rPr>
          <w:rFonts w:eastAsia="MS Mincho" w:cs="Times New Roman"/>
          <w:b/>
          <w:caps/>
          <w:noProof/>
          <w:sz w:val="32"/>
          <w:szCs w:val="32"/>
          <w:lang w:val="fr-FR"/>
        </w:rPr>
        <w:t>mise en oeuvre</w:t>
      </w:r>
    </w:p>
    <w:p w14:paraId="0EFB7D74" w14:textId="77777777" w:rsidR="00140482" w:rsidRDefault="00140482" w:rsidP="00140482">
      <w:pPr>
        <w:spacing w:after="0" w:line="240" w:lineRule="auto"/>
        <w:rPr>
          <w:rFonts w:eastAsia="MS Mincho" w:cs="Times New Roman"/>
          <w:noProof/>
          <w:szCs w:val="32"/>
          <w:lang w:val="fr-FR"/>
        </w:rPr>
      </w:pPr>
    </w:p>
    <w:tbl>
      <w:tblPr>
        <w:tblStyle w:val="TableGrid"/>
        <w:tblW w:w="9616" w:type="dxa"/>
        <w:tblLook w:val="04A0" w:firstRow="1" w:lastRow="0" w:firstColumn="1" w:lastColumn="0" w:noHBand="0" w:noVBand="1"/>
      </w:tblPr>
      <w:tblGrid>
        <w:gridCol w:w="2302"/>
        <w:gridCol w:w="2166"/>
        <w:gridCol w:w="272"/>
        <w:gridCol w:w="1599"/>
        <w:gridCol w:w="839"/>
        <w:gridCol w:w="842"/>
        <w:gridCol w:w="1556"/>
        <w:gridCol w:w="40"/>
      </w:tblGrid>
      <w:tr w:rsidR="00140482" w:rsidRPr="00290F4D" w14:paraId="5509708C" w14:textId="77777777" w:rsidTr="000E651B">
        <w:trPr>
          <w:trHeight w:val="338"/>
        </w:trPr>
        <w:tc>
          <w:tcPr>
            <w:tcW w:w="2302" w:type="dxa"/>
            <w:vMerge w:val="restart"/>
            <w:shd w:val="clear" w:color="auto" w:fill="BFBFBF" w:themeFill="background1" w:themeFillShade="BF"/>
          </w:tcPr>
          <w:p w14:paraId="6108806A" w14:textId="77777777" w:rsidR="00140482" w:rsidRPr="00D103DA" w:rsidRDefault="00140482" w:rsidP="000E651B">
            <w:pPr>
              <w:rPr>
                <w:rFonts w:eastAsia="MS Mincho" w:cs="Times New Roman"/>
                <w:b/>
                <w:noProof/>
                <w:szCs w:val="32"/>
                <w:lang w:val="fr-FR"/>
              </w:rPr>
            </w:pPr>
            <w:r>
              <w:rPr>
                <w:rFonts w:eastAsia="MS Mincho" w:cs="Times New Roman"/>
                <w:b/>
                <w:noProof/>
                <w:szCs w:val="32"/>
                <w:lang w:val="fr-FR"/>
              </w:rPr>
              <w:t>Horizon de mise en oeuvre</w:t>
            </w:r>
          </w:p>
        </w:tc>
        <w:tc>
          <w:tcPr>
            <w:tcW w:w="2438" w:type="dxa"/>
            <w:gridSpan w:val="2"/>
          </w:tcPr>
          <w:p w14:paraId="1E3341F8" w14:textId="77777777" w:rsidR="00140482" w:rsidRPr="00785264" w:rsidRDefault="00140482" w:rsidP="000E651B">
            <w:pPr>
              <w:jc w:val="center"/>
              <w:rPr>
                <w:rFonts w:eastAsia="MS Mincho" w:cs="Times New Roman"/>
                <w:b/>
                <w:noProof/>
                <w:szCs w:val="32"/>
                <w:lang w:val="fr-FR"/>
              </w:rPr>
            </w:pPr>
            <w:r w:rsidRPr="00785264">
              <w:rPr>
                <w:rFonts w:eastAsia="MS Mincho" w:cs="Times New Roman"/>
                <w:b/>
                <w:noProof/>
                <w:szCs w:val="32"/>
                <w:lang w:val="fr-FR"/>
              </w:rPr>
              <w:t>Avant la migration vers T2S</w:t>
            </w:r>
          </w:p>
        </w:tc>
        <w:tc>
          <w:tcPr>
            <w:tcW w:w="2438" w:type="dxa"/>
            <w:gridSpan w:val="2"/>
          </w:tcPr>
          <w:p w14:paraId="2F768A4E" w14:textId="77777777" w:rsidR="00140482" w:rsidRPr="009637E5" w:rsidRDefault="00140482" w:rsidP="000E651B">
            <w:pPr>
              <w:jc w:val="center"/>
              <w:rPr>
                <w:rFonts w:eastAsia="MS Mincho" w:cs="Times New Roman"/>
                <w:b/>
                <w:noProof/>
                <w:szCs w:val="32"/>
                <w:lang w:val="fr-FR"/>
              </w:rPr>
            </w:pPr>
            <w:r>
              <w:rPr>
                <w:rFonts w:eastAsia="MS Mincho" w:cs="Times New Roman"/>
                <w:b/>
                <w:noProof/>
                <w:szCs w:val="32"/>
                <w:lang w:val="fr-FR"/>
              </w:rPr>
              <w:t>Lors du démarrage en production sur T2S</w:t>
            </w:r>
          </w:p>
        </w:tc>
        <w:tc>
          <w:tcPr>
            <w:tcW w:w="2438" w:type="dxa"/>
            <w:gridSpan w:val="3"/>
          </w:tcPr>
          <w:p w14:paraId="71A4A98D" w14:textId="77777777" w:rsidR="00140482" w:rsidRPr="009637E5" w:rsidRDefault="00140482" w:rsidP="000E651B">
            <w:pPr>
              <w:jc w:val="center"/>
              <w:rPr>
                <w:rFonts w:eastAsia="MS Mincho" w:cs="Times New Roman"/>
                <w:b/>
                <w:noProof/>
                <w:szCs w:val="32"/>
                <w:lang w:val="fr-FR"/>
              </w:rPr>
            </w:pPr>
            <w:r>
              <w:rPr>
                <w:rFonts w:eastAsia="MS Mincho" w:cs="Times New Roman"/>
                <w:b/>
                <w:noProof/>
                <w:szCs w:val="32"/>
                <w:lang w:val="fr-FR"/>
              </w:rPr>
              <w:t>Après la migration vers T2S</w:t>
            </w:r>
          </w:p>
        </w:tc>
      </w:tr>
      <w:tr w:rsidR="00140482" w14:paraId="6AAC5AE0" w14:textId="77777777" w:rsidTr="000E651B">
        <w:trPr>
          <w:trHeight w:val="337"/>
        </w:trPr>
        <w:tc>
          <w:tcPr>
            <w:tcW w:w="2302" w:type="dxa"/>
            <w:vMerge/>
            <w:tcBorders>
              <w:bottom w:val="single" w:sz="4" w:space="0" w:color="auto"/>
            </w:tcBorders>
            <w:shd w:val="clear" w:color="auto" w:fill="BFBFBF" w:themeFill="background1" w:themeFillShade="BF"/>
          </w:tcPr>
          <w:p w14:paraId="662F7B1B" w14:textId="77777777" w:rsidR="00140482" w:rsidRDefault="00140482" w:rsidP="000E651B">
            <w:pPr>
              <w:rPr>
                <w:rFonts w:eastAsia="MS Mincho" w:cs="Times New Roman"/>
                <w:b/>
                <w:noProof/>
                <w:szCs w:val="32"/>
                <w:lang w:val="fr-FR"/>
              </w:rPr>
            </w:pPr>
          </w:p>
        </w:tc>
        <w:tc>
          <w:tcPr>
            <w:tcW w:w="2438" w:type="dxa"/>
            <w:gridSpan w:val="2"/>
            <w:tcBorders>
              <w:bottom w:val="single" w:sz="4" w:space="0" w:color="auto"/>
            </w:tcBorders>
            <w:shd w:val="clear" w:color="auto" w:fill="auto"/>
          </w:tcPr>
          <w:p w14:paraId="4692A941" w14:textId="77777777" w:rsidR="00140482" w:rsidRDefault="00140482" w:rsidP="000E651B">
            <w:pPr>
              <w:jc w:val="center"/>
              <w:rPr>
                <w:rFonts w:ascii="Wingdings" w:hAnsi="Wingdings" w:cs="Wingdings"/>
                <w:sz w:val="26"/>
                <w:szCs w:val="26"/>
              </w:rPr>
            </w:pPr>
            <w:r>
              <w:rPr>
                <w:rFonts w:ascii="Wingdings" w:hAnsi="Wingdings" w:cs="Wingdings"/>
                <w:sz w:val="26"/>
                <w:szCs w:val="26"/>
              </w:rPr>
              <w:t></w:t>
            </w:r>
          </w:p>
          <w:p w14:paraId="0373F26A" w14:textId="77777777" w:rsidR="00140482" w:rsidRPr="00785264" w:rsidRDefault="00140482" w:rsidP="000E651B">
            <w:pPr>
              <w:jc w:val="center"/>
              <w:rPr>
                <w:rFonts w:cs="Wingdings"/>
                <w:szCs w:val="26"/>
              </w:rPr>
            </w:pPr>
            <w:r w:rsidRPr="00785264">
              <w:rPr>
                <w:rFonts w:cs="Wingdings"/>
                <w:szCs w:val="26"/>
              </w:rPr>
              <w:t xml:space="preserve">Date: </w:t>
            </w:r>
            <w:r>
              <w:rPr>
                <w:rFonts w:cs="Wingdings"/>
                <w:szCs w:val="26"/>
              </w:rPr>
              <w:t>________</w:t>
            </w:r>
          </w:p>
          <w:p w14:paraId="12279125" w14:textId="77777777" w:rsidR="00140482" w:rsidRDefault="00140482" w:rsidP="000E651B">
            <w:pPr>
              <w:rPr>
                <w:rFonts w:eastAsia="MS Mincho" w:cs="Times New Roman"/>
                <w:noProof/>
                <w:szCs w:val="32"/>
                <w:lang w:val="fr-FR"/>
              </w:rPr>
            </w:pPr>
          </w:p>
        </w:tc>
        <w:tc>
          <w:tcPr>
            <w:tcW w:w="2438" w:type="dxa"/>
            <w:gridSpan w:val="2"/>
            <w:tcBorders>
              <w:bottom w:val="single" w:sz="4" w:space="0" w:color="auto"/>
            </w:tcBorders>
          </w:tcPr>
          <w:p w14:paraId="12F7FA9B" w14:textId="77777777" w:rsidR="00140482" w:rsidRDefault="00922B9C" w:rsidP="000E651B">
            <w:pPr>
              <w:jc w:val="center"/>
              <w:rPr>
                <w:rFonts w:ascii="Wingdings" w:hAnsi="Wingdings" w:cs="Wingdings"/>
                <w:sz w:val="26"/>
                <w:szCs w:val="26"/>
              </w:rPr>
            </w:pPr>
            <w:r>
              <w:rPr>
                <w:rFonts w:ascii="Wingdings" w:hAnsi="Wingdings" w:cs="Wingdings"/>
                <w:sz w:val="26"/>
                <w:szCs w:val="26"/>
              </w:rPr>
              <w:t></w:t>
            </w:r>
          </w:p>
          <w:p w14:paraId="4E55CEB2" w14:textId="77777777" w:rsidR="00140482" w:rsidRPr="00785264" w:rsidRDefault="00140482" w:rsidP="000E651B">
            <w:pPr>
              <w:jc w:val="center"/>
              <w:rPr>
                <w:rFonts w:cs="Wingdings"/>
                <w:szCs w:val="26"/>
              </w:rPr>
            </w:pPr>
            <w:r w:rsidRPr="00785264">
              <w:rPr>
                <w:rFonts w:cs="Wingdings"/>
                <w:szCs w:val="26"/>
              </w:rPr>
              <w:t xml:space="preserve">Date: </w:t>
            </w:r>
            <w:r>
              <w:rPr>
                <w:rFonts w:cs="Wingdings"/>
                <w:szCs w:val="26"/>
              </w:rPr>
              <w:t>12/09/2016</w:t>
            </w:r>
          </w:p>
        </w:tc>
        <w:tc>
          <w:tcPr>
            <w:tcW w:w="2438" w:type="dxa"/>
            <w:gridSpan w:val="3"/>
            <w:tcBorders>
              <w:bottom w:val="single" w:sz="4" w:space="0" w:color="auto"/>
            </w:tcBorders>
            <w:shd w:val="clear" w:color="auto" w:fill="FFFFFF" w:themeFill="background1"/>
          </w:tcPr>
          <w:p w14:paraId="4CE759F4" w14:textId="77777777" w:rsidR="00140482" w:rsidRDefault="00140482" w:rsidP="000E651B">
            <w:pPr>
              <w:jc w:val="center"/>
              <w:rPr>
                <w:rFonts w:ascii="Wingdings" w:hAnsi="Wingdings" w:cs="Wingdings"/>
                <w:sz w:val="26"/>
                <w:szCs w:val="26"/>
              </w:rPr>
            </w:pPr>
            <w:r>
              <w:rPr>
                <w:rFonts w:ascii="Wingdings" w:hAnsi="Wingdings" w:cs="Wingdings"/>
                <w:sz w:val="26"/>
                <w:szCs w:val="26"/>
              </w:rPr>
              <w:t></w:t>
            </w:r>
          </w:p>
          <w:p w14:paraId="6272D6EE" w14:textId="77777777" w:rsidR="00140482" w:rsidRPr="00785264" w:rsidRDefault="00140482" w:rsidP="000E651B">
            <w:pPr>
              <w:jc w:val="center"/>
              <w:rPr>
                <w:rFonts w:cs="Wingdings"/>
                <w:szCs w:val="26"/>
              </w:rPr>
            </w:pPr>
            <w:r w:rsidRPr="00785264">
              <w:rPr>
                <w:rFonts w:cs="Wingdings"/>
                <w:szCs w:val="26"/>
              </w:rPr>
              <w:t xml:space="preserve">Date: </w:t>
            </w:r>
            <w:r>
              <w:rPr>
                <w:rFonts w:cs="Wingdings"/>
                <w:szCs w:val="26"/>
              </w:rPr>
              <w:t>________</w:t>
            </w:r>
          </w:p>
        </w:tc>
      </w:tr>
      <w:tr w:rsidR="00140482" w14:paraId="106794A2" w14:textId="77777777" w:rsidTr="000E651B">
        <w:trPr>
          <w:gridAfter w:val="1"/>
          <w:wAfter w:w="40" w:type="dxa"/>
          <w:trHeight w:val="337"/>
        </w:trPr>
        <w:tc>
          <w:tcPr>
            <w:tcW w:w="2302" w:type="dxa"/>
            <w:tcBorders>
              <w:left w:val="nil"/>
              <w:right w:val="nil"/>
            </w:tcBorders>
            <w:shd w:val="clear" w:color="auto" w:fill="FFFFFF" w:themeFill="background1"/>
          </w:tcPr>
          <w:p w14:paraId="71272B39" w14:textId="77777777" w:rsidR="00140482" w:rsidRDefault="00140482" w:rsidP="000E651B">
            <w:pPr>
              <w:rPr>
                <w:rFonts w:eastAsia="MS Mincho" w:cs="Times New Roman"/>
                <w:b/>
                <w:noProof/>
                <w:szCs w:val="32"/>
                <w:lang w:val="fr-FR"/>
              </w:rPr>
            </w:pPr>
          </w:p>
        </w:tc>
        <w:tc>
          <w:tcPr>
            <w:tcW w:w="2166" w:type="dxa"/>
            <w:tcBorders>
              <w:left w:val="nil"/>
              <w:right w:val="nil"/>
            </w:tcBorders>
            <w:shd w:val="clear" w:color="auto" w:fill="FFFFFF" w:themeFill="background1"/>
          </w:tcPr>
          <w:p w14:paraId="06B22079" w14:textId="77777777" w:rsidR="00140482" w:rsidRDefault="00140482" w:rsidP="000E651B">
            <w:pPr>
              <w:rPr>
                <w:rFonts w:eastAsia="MS Mincho" w:cs="Times New Roman"/>
                <w:noProof/>
                <w:szCs w:val="32"/>
                <w:lang w:val="fr-FR"/>
              </w:rPr>
            </w:pPr>
          </w:p>
        </w:tc>
        <w:tc>
          <w:tcPr>
            <w:tcW w:w="1871" w:type="dxa"/>
            <w:gridSpan w:val="2"/>
            <w:tcBorders>
              <w:left w:val="nil"/>
              <w:right w:val="nil"/>
            </w:tcBorders>
            <w:shd w:val="clear" w:color="auto" w:fill="FFFFFF" w:themeFill="background1"/>
          </w:tcPr>
          <w:p w14:paraId="7A9471AF" w14:textId="77777777" w:rsidR="00140482" w:rsidRDefault="00140482" w:rsidP="000E651B">
            <w:pPr>
              <w:rPr>
                <w:rFonts w:eastAsia="MS Mincho" w:cs="Times New Roman"/>
                <w:noProof/>
                <w:szCs w:val="32"/>
                <w:lang w:val="fr-FR"/>
              </w:rPr>
            </w:pPr>
          </w:p>
        </w:tc>
        <w:tc>
          <w:tcPr>
            <w:tcW w:w="1681" w:type="dxa"/>
            <w:gridSpan w:val="2"/>
            <w:tcBorders>
              <w:left w:val="nil"/>
              <w:right w:val="nil"/>
            </w:tcBorders>
            <w:shd w:val="clear" w:color="auto" w:fill="FFFFFF" w:themeFill="background1"/>
          </w:tcPr>
          <w:p w14:paraId="2BDA3B77" w14:textId="77777777" w:rsidR="00140482" w:rsidRDefault="00140482" w:rsidP="000E651B">
            <w:pPr>
              <w:jc w:val="center"/>
              <w:rPr>
                <w:rFonts w:eastAsia="MS Mincho" w:cs="Times New Roman"/>
                <w:noProof/>
                <w:szCs w:val="32"/>
                <w:lang w:val="fr-FR"/>
              </w:rPr>
            </w:pPr>
          </w:p>
        </w:tc>
        <w:tc>
          <w:tcPr>
            <w:tcW w:w="1556" w:type="dxa"/>
            <w:tcBorders>
              <w:left w:val="nil"/>
              <w:right w:val="nil"/>
            </w:tcBorders>
            <w:shd w:val="clear" w:color="auto" w:fill="FFFFFF" w:themeFill="background1"/>
          </w:tcPr>
          <w:p w14:paraId="6E28057E" w14:textId="77777777" w:rsidR="00140482" w:rsidRDefault="00140482" w:rsidP="000E651B">
            <w:pPr>
              <w:rPr>
                <w:rFonts w:eastAsia="MS Mincho" w:cs="Times New Roman"/>
                <w:noProof/>
                <w:szCs w:val="32"/>
                <w:lang w:val="fr-FR"/>
              </w:rPr>
            </w:pPr>
          </w:p>
        </w:tc>
      </w:tr>
      <w:tr w:rsidR="00140482" w14:paraId="34BEE7DD" w14:textId="77777777" w:rsidTr="000E651B">
        <w:trPr>
          <w:gridAfter w:val="1"/>
          <w:wAfter w:w="40" w:type="dxa"/>
        </w:trPr>
        <w:tc>
          <w:tcPr>
            <w:tcW w:w="2302" w:type="dxa"/>
            <w:tcBorders>
              <w:bottom w:val="single" w:sz="4" w:space="0" w:color="auto"/>
            </w:tcBorders>
            <w:shd w:val="clear" w:color="auto" w:fill="BFBFBF" w:themeFill="background1" w:themeFillShade="BF"/>
          </w:tcPr>
          <w:p w14:paraId="70BDC704" w14:textId="77777777" w:rsidR="00140482" w:rsidRDefault="00140482" w:rsidP="000E651B">
            <w:pPr>
              <w:rPr>
                <w:rFonts w:eastAsia="MS Mincho" w:cs="Times New Roman"/>
                <w:b/>
                <w:noProof/>
                <w:szCs w:val="32"/>
                <w:lang w:val="fr-FR"/>
              </w:rPr>
            </w:pPr>
            <w:r>
              <w:rPr>
                <w:rFonts w:eastAsia="MS Mincho" w:cs="Times New Roman"/>
                <w:b/>
                <w:noProof/>
                <w:szCs w:val="32"/>
                <w:lang w:val="fr-FR"/>
              </w:rPr>
              <w:t>Faut-il un jeu de tests spécifique pour la pratique ?</w:t>
            </w:r>
          </w:p>
        </w:tc>
        <w:tc>
          <w:tcPr>
            <w:tcW w:w="4037" w:type="dxa"/>
            <w:gridSpan w:val="3"/>
            <w:tcBorders>
              <w:bottom w:val="single" w:sz="4" w:space="0" w:color="auto"/>
            </w:tcBorders>
          </w:tcPr>
          <w:p w14:paraId="3B88DF30" w14:textId="77777777" w:rsidR="00140482" w:rsidRPr="00922B9C" w:rsidRDefault="00140482" w:rsidP="00922B9C">
            <w:pPr>
              <w:autoSpaceDE w:val="0"/>
              <w:autoSpaceDN w:val="0"/>
              <w:adjustRightInd w:val="0"/>
              <w:jc w:val="center"/>
              <w:rPr>
                <w:rFonts w:ascii="MS Shell Dlg 2" w:hAnsi="MS Shell Dlg 2" w:cs="MS Shell Dlg 2"/>
                <w:sz w:val="16"/>
                <w:szCs w:val="16"/>
                <w:lang w:val="fr-FR"/>
              </w:rPr>
            </w:pPr>
            <w:r>
              <w:rPr>
                <w:lang w:val="fr-FR"/>
              </w:rPr>
              <w:t xml:space="preserve">Oui  </w:t>
            </w:r>
            <w:r w:rsidR="00922B9C">
              <w:rPr>
                <w:rFonts w:ascii="Wingdings" w:hAnsi="Wingdings" w:cs="Wingdings"/>
                <w:sz w:val="26"/>
                <w:szCs w:val="26"/>
              </w:rPr>
              <w:t></w:t>
            </w:r>
          </w:p>
          <w:p w14:paraId="0CE6FC4C" w14:textId="77777777" w:rsidR="00140482" w:rsidRPr="00E35B86" w:rsidRDefault="00140482" w:rsidP="000E651B">
            <w:pPr>
              <w:autoSpaceDE w:val="0"/>
              <w:autoSpaceDN w:val="0"/>
              <w:adjustRightInd w:val="0"/>
              <w:jc w:val="center"/>
              <w:rPr>
                <w:rFonts w:ascii="MS Shell Dlg 2" w:hAnsi="MS Shell Dlg 2" w:cs="MS Shell Dlg 2"/>
                <w:sz w:val="16"/>
                <w:szCs w:val="16"/>
                <w:lang w:val="fr-FR"/>
              </w:rPr>
            </w:pPr>
          </w:p>
        </w:tc>
        <w:tc>
          <w:tcPr>
            <w:tcW w:w="3237" w:type="dxa"/>
            <w:gridSpan w:val="3"/>
            <w:tcBorders>
              <w:bottom w:val="single" w:sz="4" w:space="0" w:color="auto"/>
            </w:tcBorders>
          </w:tcPr>
          <w:p w14:paraId="1469AA82" w14:textId="77777777" w:rsidR="00140482" w:rsidRDefault="00140482" w:rsidP="000E651B">
            <w:pPr>
              <w:tabs>
                <w:tab w:val="left" w:pos="9356"/>
              </w:tabs>
              <w:ind w:right="-279"/>
              <w:jc w:val="center"/>
              <w:rPr>
                <w:lang w:val="fr-FR"/>
              </w:rPr>
            </w:pPr>
            <w:r>
              <w:rPr>
                <w:lang w:val="fr-FR"/>
              </w:rPr>
              <w:t xml:space="preserve">Non  </w:t>
            </w:r>
            <w:r>
              <w:rPr>
                <w:rFonts w:ascii="Wingdings" w:hAnsi="Wingdings" w:cs="Wingdings"/>
                <w:sz w:val="26"/>
                <w:szCs w:val="26"/>
              </w:rPr>
              <w:t></w:t>
            </w:r>
          </w:p>
        </w:tc>
      </w:tr>
      <w:bookmarkEnd w:id="0"/>
    </w:tbl>
    <w:p w14:paraId="1AD1CA53" w14:textId="77777777" w:rsidR="00BA6B0A" w:rsidRDefault="00BA6B0A" w:rsidP="001E0D83">
      <w:pPr>
        <w:spacing w:after="0" w:line="240" w:lineRule="auto"/>
        <w:rPr>
          <w:rFonts w:eastAsia="MS Mincho" w:cs="Times New Roman"/>
          <w:noProof/>
          <w:szCs w:val="32"/>
          <w:lang w:val="fr-FR"/>
        </w:rPr>
      </w:pPr>
    </w:p>
    <w:sectPr w:rsidR="00BA6B0A" w:rsidSect="006D6846">
      <w:headerReference w:type="default" r:id="rId9"/>
      <w:footerReference w:type="default" r:id="rId10"/>
      <w:pgSz w:w="12240" w:h="15840"/>
      <w:pgMar w:top="142"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6D18F57" w15:done="0"/>
  <w15:commentEx w15:paraId="06C9EDC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2BB764" w14:textId="77777777" w:rsidR="00077D2B" w:rsidRDefault="00077D2B" w:rsidP="006D6846">
      <w:pPr>
        <w:spacing w:after="0" w:line="240" w:lineRule="auto"/>
      </w:pPr>
      <w:r>
        <w:separator/>
      </w:r>
    </w:p>
  </w:endnote>
  <w:endnote w:type="continuationSeparator" w:id="0">
    <w:p w14:paraId="7DC419EF" w14:textId="77777777" w:rsidR="00077D2B" w:rsidRDefault="00077D2B" w:rsidP="006D68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EUAlbertina">
    <w:altName w:val="EU Albertina"/>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Shell Dlg 2">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7671504"/>
      <w:docPartObj>
        <w:docPartGallery w:val="Page Numbers (Bottom of Page)"/>
        <w:docPartUnique/>
      </w:docPartObj>
    </w:sdtPr>
    <w:sdtEndPr/>
    <w:sdtContent>
      <w:sdt>
        <w:sdtPr>
          <w:id w:val="-1769616900"/>
          <w:docPartObj>
            <w:docPartGallery w:val="Page Numbers (Top of Page)"/>
            <w:docPartUnique/>
          </w:docPartObj>
        </w:sdtPr>
        <w:sdtEndPr/>
        <w:sdtContent>
          <w:p w14:paraId="0B44E585" w14:textId="5EAFEBF1" w:rsidR="00815063" w:rsidRDefault="00815063">
            <w:pPr>
              <w:pStyle w:val="Footer"/>
              <w:jc w:val="right"/>
            </w:pPr>
            <w:r>
              <w:rPr>
                <w:lang w:val="fr-FR"/>
              </w:rPr>
              <w:t xml:space="preserve">Page </w:t>
            </w:r>
            <w:r>
              <w:rPr>
                <w:b/>
                <w:bCs/>
                <w:sz w:val="24"/>
                <w:szCs w:val="24"/>
              </w:rPr>
              <w:fldChar w:fldCharType="begin"/>
            </w:r>
            <w:r>
              <w:rPr>
                <w:b/>
                <w:bCs/>
              </w:rPr>
              <w:instrText>PAGE</w:instrText>
            </w:r>
            <w:r>
              <w:rPr>
                <w:b/>
                <w:bCs/>
                <w:sz w:val="24"/>
                <w:szCs w:val="24"/>
              </w:rPr>
              <w:fldChar w:fldCharType="separate"/>
            </w:r>
            <w:r w:rsidR="00290F4D">
              <w:rPr>
                <w:b/>
                <w:bCs/>
                <w:noProof/>
              </w:rPr>
              <w:t>1</w:t>
            </w:r>
            <w:r>
              <w:rPr>
                <w:b/>
                <w:bCs/>
                <w:sz w:val="24"/>
                <w:szCs w:val="24"/>
              </w:rPr>
              <w:fldChar w:fldCharType="end"/>
            </w:r>
            <w:r>
              <w:rPr>
                <w:lang w:val="fr-FR"/>
              </w:rPr>
              <w:t xml:space="preserve"> sur </w:t>
            </w:r>
            <w:r>
              <w:rPr>
                <w:b/>
                <w:bCs/>
                <w:sz w:val="24"/>
                <w:szCs w:val="24"/>
              </w:rPr>
              <w:fldChar w:fldCharType="begin"/>
            </w:r>
            <w:r>
              <w:rPr>
                <w:b/>
                <w:bCs/>
              </w:rPr>
              <w:instrText>NUMPAGES</w:instrText>
            </w:r>
            <w:r>
              <w:rPr>
                <w:b/>
                <w:bCs/>
                <w:sz w:val="24"/>
                <w:szCs w:val="24"/>
              </w:rPr>
              <w:fldChar w:fldCharType="separate"/>
            </w:r>
            <w:r w:rsidR="00290F4D">
              <w:rPr>
                <w:b/>
                <w:bCs/>
                <w:noProof/>
              </w:rPr>
              <w:t>5</w:t>
            </w:r>
            <w:r>
              <w:rPr>
                <w:b/>
                <w:bCs/>
                <w:sz w:val="24"/>
                <w:szCs w:val="24"/>
              </w:rPr>
              <w:fldChar w:fldCharType="end"/>
            </w:r>
          </w:p>
        </w:sdtContent>
      </w:sdt>
    </w:sdtContent>
  </w:sdt>
  <w:p w14:paraId="1CF38738" w14:textId="77777777" w:rsidR="00EC776F" w:rsidRDefault="00EC776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E18CBB" w14:textId="77777777" w:rsidR="00077D2B" w:rsidRDefault="00077D2B" w:rsidP="006D6846">
      <w:pPr>
        <w:spacing w:after="0" w:line="240" w:lineRule="auto"/>
      </w:pPr>
      <w:r>
        <w:separator/>
      </w:r>
    </w:p>
  </w:footnote>
  <w:footnote w:type="continuationSeparator" w:id="0">
    <w:p w14:paraId="3CDB8042" w14:textId="77777777" w:rsidR="00077D2B" w:rsidRDefault="00077D2B" w:rsidP="006D684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1416" w:type="dxa"/>
      <w:tblInd w:w="-8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496"/>
      <w:gridCol w:w="3122"/>
      <w:gridCol w:w="2798"/>
    </w:tblGrid>
    <w:tr w:rsidR="00AF0807" w14:paraId="00B5B609" w14:textId="77777777" w:rsidTr="00AF0807">
      <w:trPr>
        <w:trHeight w:val="573"/>
      </w:trPr>
      <w:tc>
        <w:tcPr>
          <w:tcW w:w="5496" w:type="dxa"/>
          <w:vAlign w:val="center"/>
        </w:tcPr>
        <w:p w14:paraId="734B222A" w14:textId="77777777" w:rsidR="00AF0807" w:rsidRDefault="00AF0807" w:rsidP="00AF0807">
          <w:pPr>
            <w:pStyle w:val="Header"/>
            <w:jc w:val="center"/>
            <w:rPr>
              <w:b/>
              <w:lang w:val="fr-FR"/>
            </w:rPr>
          </w:pPr>
          <w:r w:rsidRPr="007F6CFC">
            <w:rPr>
              <w:b/>
              <w:lang w:val="fr-FR"/>
            </w:rPr>
            <w:t>Groupe d’Adaptation des Pratiques de Marché T2S</w:t>
          </w:r>
        </w:p>
        <w:p w14:paraId="246A9B92" w14:textId="77777777" w:rsidR="00AF0807" w:rsidRDefault="00AF0807" w:rsidP="00AF0807">
          <w:pPr>
            <w:pStyle w:val="Header"/>
            <w:jc w:val="center"/>
            <w:rPr>
              <w:b/>
              <w:lang w:val="fr-FR"/>
            </w:rPr>
          </w:pPr>
          <w:r>
            <w:rPr>
              <w:b/>
              <w:lang w:val="fr-FR"/>
            </w:rPr>
            <w:t>Fiche Pratique de marché</w:t>
          </w:r>
        </w:p>
      </w:tc>
      <w:tc>
        <w:tcPr>
          <w:tcW w:w="3122" w:type="dxa"/>
          <w:vAlign w:val="center"/>
        </w:tcPr>
        <w:p w14:paraId="28DF02B0" w14:textId="77777777" w:rsidR="00AF0807" w:rsidRDefault="00AF0807" w:rsidP="00AF0807">
          <w:pPr>
            <w:pStyle w:val="Header"/>
            <w:tabs>
              <w:tab w:val="clear" w:pos="4680"/>
            </w:tabs>
            <w:rPr>
              <w:b/>
              <w:lang w:val="fr-FR"/>
            </w:rPr>
          </w:pPr>
          <w:r>
            <w:rPr>
              <w:noProof/>
            </w:rPr>
            <w:drawing>
              <wp:inline distT="0" distB="0" distL="0" distR="0" wp14:anchorId="6A992BC9" wp14:editId="11319D1B">
                <wp:extent cx="1032931" cy="516467"/>
                <wp:effectExtent l="0" t="0" r="0" b="0"/>
                <wp:docPr id="2"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5"/>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32931" cy="516467"/>
                        </a:xfrm>
                        <a:prstGeom prst="rect">
                          <a:avLst/>
                        </a:prstGeom>
                      </pic:spPr>
                    </pic:pic>
                  </a:graphicData>
                </a:graphic>
              </wp:inline>
            </w:drawing>
          </w:r>
        </w:p>
      </w:tc>
      <w:tc>
        <w:tcPr>
          <w:tcW w:w="2798" w:type="dxa"/>
        </w:tcPr>
        <w:p w14:paraId="0E76DAD4" w14:textId="77777777" w:rsidR="00AF0807" w:rsidRDefault="00AF0807" w:rsidP="00AF0807">
          <w:pPr>
            <w:pStyle w:val="Header"/>
            <w:tabs>
              <w:tab w:val="clear" w:pos="4680"/>
            </w:tabs>
            <w:ind w:left="-139" w:firstLine="31"/>
            <w:rPr>
              <w:noProof/>
              <w:lang w:val="fr-FR" w:eastAsia="fr-FR"/>
            </w:rPr>
          </w:pPr>
          <w:r>
            <w:object w:dxaOrig="7200" w:dyaOrig="4605" w14:anchorId="3764DB8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5.4pt;height:54pt" o:ole="">
                <v:imagedata r:id="rId2" o:title=""/>
              </v:shape>
              <o:OLEObject Type="Embed" ProgID="PBrush" ShapeID="_x0000_i1025" DrawAspect="Content" ObjectID="_1534306599" r:id="rId3"/>
            </w:object>
          </w:r>
        </w:p>
      </w:tc>
    </w:tr>
    <w:tr w:rsidR="00AF0807" w:rsidRPr="00290F4D" w14:paraId="29768C9B" w14:textId="77777777" w:rsidTr="00AF0807">
      <w:trPr>
        <w:trHeight w:val="188"/>
      </w:trPr>
      <w:tc>
        <w:tcPr>
          <w:tcW w:w="5496" w:type="dxa"/>
          <w:vAlign w:val="center"/>
        </w:tcPr>
        <w:p w14:paraId="56152187" w14:textId="77777777" w:rsidR="00AF0807" w:rsidRPr="00EC776F" w:rsidRDefault="00AF0807" w:rsidP="00AF0807">
          <w:pPr>
            <w:pStyle w:val="Header"/>
            <w:jc w:val="center"/>
            <w:rPr>
              <w:i/>
              <w:lang w:val="fr-FR"/>
            </w:rPr>
          </w:pPr>
          <w:r>
            <w:rPr>
              <w:i/>
              <w:lang w:val="fr-FR"/>
            </w:rPr>
            <w:t xml:space="preserve">Référence de la pratique : </w:t>
          </w:r>
          <w:r w:rsidRPr="00EC776F">
            <w:rPr>
              <w:i/>
              <w:lang w:val="fr-FR"/>
            </w:rPr>
            <w:t>MS-MATCH-CRITE-01</w:t>
          </w:r>
        </w:p>
      </w:tc>
      <w:tc>
        <w:tcPr>
          <w:tcW w:w="3122" w:type="dxa"/>
          <w:vAlign w:val="center"/>
        </w:tcPr>
        <w:p w14:paraId="03B422F9" w14:textId="77777777" w:rsidR="00AF0807" w:rsidRPr="00EC776F" w:rsidRDefault="00AF0807" w:rsidP="00AF0807">
          <w:pPr>
            <w:pStyle w:val="Header"/>
            <w:jc w:val="center"/>
            <w:rPr>
              <w:noProof/>
              <w:lang w:val="fr-FR"/>
            </w:rPr>
          </w:pPr>
        </w:p>
      </w:tc>
      <w:tc>
        <w:tcPr>
          <w:tcW w:w="2798" w:type="dxa"/>
        </w:tcPr>
        <w:p w14:paraId="30AE4AC1" w14:textId="77777777" w:rsidR="00AF0807" w:rsidRPr="00EC776F" w:rsidRDefault="00AF0807" w:rsidP="00AF0807">
          <w:pPr>
            <w:pStyle w:val="Header"/>
            <w:jc w:val="center"/>
            <w:rPr>
              <w:noProof/>
              <w:lang w:val="fr-FR"/>
            </w:rPr>
          </w:pPr>
        </w:p>
      </w:tc>
    </w:tr>
  </w:tbl>
  <w:p w14:paraId="43FCDC84" w14:textId="77777777" w:rsidR="00EC776F" w:rsidRPr="00C221EA" w:rsidRDefault="00EC776F">
    <w:pPr>
      <w:pStyle w:val="Header"/>
      <w:rPr>
        <w:b/>
        <w:sz w:val="20"/>
        <w:szCs w:val="20"/>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44BC6"/>
    <w:multiLevelType w:val="hybridMultilevel"/>
    <w:tmpl w:val="2C0049D2"/>
    <w:lvl w:ilvl="0" w:tplc="A162A862">
      <w:start w:val="1"/>
      <w:numFmt w:val="bullet"/>
      <w:lvlText w:val=""/>
      <w:lvlJc w:val="left"/>
      <w:pPr>
        <w:ind w:left="1140" w:hanging="360"/>
      </w:pPr>
      <w:rPr>
        <w:rFonts w:ascii="Wingdings" w:eastAsia="MS Mincho" w:hAnsi="Wingdings" w:cs="Times New Roman" w:hint="default"/>
      </w:rPr>
    </w:lvl>
    <w:lvl w:ilvl="1" w:tplc="040C0003" w:tentative="1">
      <w:start w:val="1"/>
      <w:numFmt w:val="bullet"/>
      <w:lvlText w:val="o"/>
      <w:lvlJc w:val="left"/>
      <w:pPr>
        <w:ind w:left="1860" w:hanging="360"/>
      </w:pPr>
      <w:rPr>
        <w:rFonts w:ascii="Courier New" w:hAnsi="Courier New" w:cs="Courier New" w:hint="default"/>
      </w:rPr>
    </w:lvl>
    <w:lvl w:ilvl="2" w:tplc="040C0005" w:tentative="1">
      <w:start w:val="1"/>
      <w:numFmt w:val="bullet"/>
      <w:lvlText w:val=""/>
      <w:lvlJc w:val="left"/>
      <w:pPr>
        <w:ind w:left="2580" w:hanging="360"/>
      </w:pPr>
      <w:rPr>
        <w:rFonts w:ascii="Wingdings" w:hAnsi="Wingdings" w:hint="default"/>
      </w:rPr>
    </w:lvl>
    <w:lvl w:ilvl="3" w:tplc="040C0001" w:tentative="1">
      <w:start w:val="1"/>
      <w:numFmt w:val="bullet"/>
      <w:lvlText w:val=""/>
      <w:lvlJc w:val="left"/>
      <w:pPr>
        <w:ind w:left="3300" w:hanging="360"/>
      </w:pPr>
      <w:rPr>
        <w:rFonts w:ascii="Symbol" w:hAnsi="Symbol" w:hint="default"/>
      </w:rPr>
    </w:lvl>
    <w:lvl w:ilvl="4" w:tplc="040C0003" w:tentative="1">
      <w:start w:val="1"/>
      <w:numFmt w:val="bullet"/>
      <w:lvlText w:val="o"/>
      <w:lvlJc w:val="left"/>
      <w:pPr>
        <w:ind w:left="4020" w:hanging="360"/>
      </w:pPr>
      <w:rPr>
        <w:rFonts w:ascii="Courier New" w:hAnsi="Courier New" w:cs="Courier New" w:hint="default"/>
      </w:rPr>
    </w:lvl>
    <w:lvl w:ilvl="5" w:tplc="040C0005" w:tentative="1">
      <w:start w:val="1"/>
      <w:numFmt w:val="bullet"/>
      <w:lvlText w:val=""/>
      <w:lvlJc w:val="left"/>
      <w:pPr>
        <w:ind w:left="4740" w:hanging="360"/>
      </w:pPr>
      <w:rPr>
        <w:rFonts w:ascii="Wingdings" w:hAnsi="Wingdings" w:hint="default"/>
      </w:rPr>
    </w:lvl>
    <w:lvl w:ilvl="6" w:tplc="040C0001" w:tentative="1">
      <w:start w:val="1"/>
      <w:numFmt w:val="bullet"/>
      <w:lvlText w:val=""/>
      <w:lvlJc w:val="left"/>
      <w:pPr>
        <w:ind w:left="5460" w:hanging="360"/>
      </w:pPr>
      <w:rPr>
        <w:rFonts w:ascii="Symbol" w:hAnsi="Symbol" w:hint="default"/>
      </w:rPr>
    </w:lvl>
    <w:lvl w:ilvl="7" w:tplc="040C0003" w:tentative="1">
      <w:start w:val="1"/>
      <w:numFmt w:val="bullet"/>
      <w:lvlText w:val="o"/>
      <w:lvlJc w:val="left"/>
      <w:pPr>
        <w:ind w:left="6180" w:hanging="360"/>
      </w:pPr>
      <w:rPr>
        <w:rFonts w:ascii="Courier New" w:hAnsi="Courier New" w:cs="Courier New" w:hint="default"/>
      </w:rPr>
    </w:lvl>
    <w:lvl w:ilvl="8" w:tplc="040C0005" w:tentative="1">
      <w:start w:val="1"/>
      <w:numFmt w:val="bullet"/>
      <w:lvlText w:val=""/>
      <w:lvlJc w:val="left"/>
      <w:pPr>
        <w:ind w:left="6900" w:hanging="360"/>
      </w:pPr>
      <w:rPr>
        <w:rFonts w:ascii="Wingdings" w:hAnsi="Wingdings" w:hint="default"/>
      </w:rPr>
    </w:lvl>
  </w:abstractNum>
  <w:abstractNum w:abstractNumId="1">
    <w:nsid w:val="049741B3"/>
    <w:multiLevelType w:val="hybridMultilevel"/>
    <w:tmpl w:val="1B20EB06"/>
    <w:lvl w:ilvl="0" w:tplc="437E9AEE">
      <w:start w:val="1"/>
      <w:numFmt w:val="bullet"/>
      <w:lvlText w:val="-"/>
      <w:lvlJc w:val="left"/>
      <w:pPr>
        <w:ind w:left="720" w:hanging="360"/>
      </w:pPr>
      <w:rPr>
        <w:rFonts w:ascii="Calibri" w:eastAsia="MS Mincho"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175A7E25"/>
    <w:multiLevelType w:val="hybridMultilevel"/>
    <w:tmpl w:val="B692A802"/>
    <w:lvl w:ilvl="0" w:tplc="0C880406">
      <w:start w:val="1"/>
      <w:numFmt w:val="bullet"/>
      <w:lvlText w:val="-"/>
      <w:lvlJc w:val="left"/>
      <w:pPr>
        <w:ind w:left="720" w:hanging="360"/>
      </w:pPr>
      <w:rPr>
        <w:rFonts w:ascii="Calibri" w:eastAsia="MS Mincho"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25B8456E"/>
    <w:multiLevelType w:val="hybridMultilevel"/>
    <w:tmpl w:val="842AD4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B7B0E1E"/>
    <w:multiLevelType w:val="hybridMultilevel"/>
    <w:tmpl w:val="43EAEF10"/>
    <w:lvl w:ilvl="0" w:tplc="9346639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65323E3"/>
    <w:multiLevelType w:val="hybridMultilevel"/>
    <w:tmpl w:val="92625E74"/>
    <w:lvl w:ilvl="0" w:tplc="1A349598">
      <w:start w:val="1"/>
      <w:numFmt w:val="bullet"/>
      <w:lvlText w:val="-"/>
      <w:lvlJc w:val="left"/>
      <w:pPr>
        <w:ind w:left="720" w:hanging="360"/>
      </w:pPr>
      <w:rPr>
        <w:rFonts w:ascii="Calibri" w:eastAsia="MS Mincho"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D8479E7"/>
    <w:multiLevelType w:val="hybridMultilevel"/>
    <w:tmpl w:val="E1226E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E2F2BC6"/>
    <w:multiLevelType w:val="hybridMultilevel"/>
    <w:tmpl w:val="1C8C7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6"/>
  </w:num>
  <w:num w:numId="4">
    <w:abstractNumId w:val="5"/>
  </w:num>
  <w:num w:numId="5">
    <w:abstractNumId w:val="1"/>
  </w:num>
  <w:num w:numId="6">
    <w:abstractNumId w:val="0"/>
  </w:num>
  <w:num w:numId="7">
    <w:abstractNumId w:val="2"/>
  </w:num>
  <w:num w:numId="8">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e Sousa, Maria">
    <w15:presenceInfo w15:providerId="AD" w15:userId="S-1-5-21-3942990428-588001494-4079709122-10935"/>
  </w15:person>
  <w15:person w15:author="Banbuck Odile">
    <w15:presenceInfo w15:providerId="None" w15:userId="Banbuck Odil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6846"/>
    <w:rsid w:val="00020084"/>
    <w:rsid w:val="00064127"/>
    <w:rsid w:val="000706A3"/>
    <w:rsid w:val="00077D2B"/>
    <w:rsid w:val="000A6C94"/>
    <w:rsid w:val="000C1C9B"/>
    <w:rsid w:val="000D6F4D"/>
    <w:rsid w:val="000F3C24"/>
    <w:rsid w:val="0012033F"/>
    <w:rsid w:val="00140482"/>
    <w:rsid w:val="00142A92"/>
    <w:rsid w:val="00145ADA"/>
    <w:rsid w:val="001522A5"/>
    <w:rsid w:val="00162BBA"/>
    <w:rsid w:val="00183F7A"/>
    <w:rsid w:val="001A26CA"/>
    <w:rsid w:val="001B0416"/>
    <w:rsid w:val="001B1E38"/>
    <w:rsid w:val="001C4C4C"/>
    <w:rsid w:val="001C7BAF"/>
    <w:rsid w:val="001D7830"/>
    <w:rsid w:val="001E0D83"/>
    <w:rsid w:val="00211814"/>
    <w:rsid w:val="00217510"/>
    <w:rsid w:val="002514BC"/>
    <w:rsid w:val="0027134C"/>
    <w:rsid w:val="00283DDE"/>
    <w:rsid w:val="0028538B"/>
    <w:rsid w:val="00290F4D"/>
    <w:rsid w:val="002A5701"/>
    <w:rsid w:val="00343829"/>
    <w:rsid w:val="00343B9E"/>
    <w:rsid w:val="003631EA"/>
    <w:rsid w:val="00363E89"/>
    <w:rsid w:val="003929BA"/>
    <w:rsid w:val="003A4E76"/>
    <w:rsid w:val="003B3DA4"/>
    <w:rsid w:val="003D5E9F"/>
    <w:rsid w:val="003D7060"/>
    <w:rsid w:val="00464015"/>
    <w:rsid w:val="004818D8"/>
    <w:rsid w:val="00482296"/>
    <w:rsid w:val="004B24FF"/>
    <w:rsid w:val="004F6025"/>
    <w:rsid w:val="005061BA"/>
    <w:rsid w:val="0051485E"/>
    <w:rsid w:val="00567B1D"/>
    <w:rsid w:val="00575F36"/>
    <w:rsid w:val="005C2ACA"/>
    <w:rsid w:val="00622E8A"/>
    <w:rsid w:val="00625541"/>
    <w:rsid w:val="00652C13"/>
    <w:rsid w:val="006715E5"/>
    <w:rsid w:val="00694503"/>
    <w:rsid w:val="0069580E"/>
    <w:rsid w:val="006D6846"/>
    <w:rsid w:val="00701AE2"/>
    <w:rsid w:val="00714CE6"/>
    <w:rsid w:val="00727BF7"/>
    <w:rsid w:val="0074709E"/>
    <w:rsid w:val="00765664"/>
    <w:rsid w:val="007B7B10"/>
    <w:rsid w:val="007C7303"/>
    <w:rsid w:val="007F6CFC"/>
    <w:rsid w:val="0080446B"/>
    <w:rsid w:val="00815063"/>
    <w:rsid w:val="0081511D"/>
    <w:rsid w:val="00830B7B"/>
    <w:rsid w:val="00841E84"/>
    <w:rsid w:val="00875CA1"/>
    <w:rsid w:val="008800A4"/>
    <w:rsid w:val="00893912"/>
    <w:rsid w:val="008A30A6"/>
    <w:rsid w:val="008C734C"/>
    <w:rsid w:val="008D4E4E"/>
    <w:rsid w:val="0091257E"/>
    <w:rsid w:val="0092276F"/>
    <w:rsid w:val="00922A8E"/>
    <w:rsid w:val="00922B9C"/>
    <w:rsid w:val="00933237"/>
    <w:rsid w:val="009606C4"/>
    <w:rsid w:val="00982218"/>
    <w:rsid w:val="00995F65"/>
    <w:rsid w:val="009978DE"/>
    <w:rsid w:val="009A24A6"/>
    <w:rsid w:val="009A2F1A"/>
    <w:rsid w:val="009A64D1"/>
    <w:rsid w:val="00A133A7"/>
    <w:rsid w:val="00A20577"/>
    <w:rsid w:val="00A21489"/>
    <w:rsid w:val="00A40ED4"/>
    <w:rsid w:val="00A45A45"/>
    <w:rsid w:val="00A678C0"/>
    <w:rsid w:val="00A746A0"/>
    <w:rsid w:val="00A90EEC"/>
    <w:rsid w:val="00AA1FDB"/>
    <w:rsid w:val="00AA62D7"/>
    <w:rsid w:val="00AC134F"/>
    <w:rsid w:val="00AF0807"/>
    <w:rsid w:val="00B26098"/>
    <w:rsid w:val="00B31057"/>
    <w:rsid w:val="00B44E11"/>
    <w:rsid w:val="00B540C8"/>
    <w:rsid w:val="00B62B1E"/>
    <w:rsid w:val="00B727D8"/>
    <w:rsid w:val="00B9491F"/>
    <w:rsid w:val="00BA66D3"/>
    <w:rsid w:val="00BA6B0A"/>
    <w:rsid w:val="00BC7577"/>
    <w:rsid w:val="00BE4C60"/>
    <w:rsid w:val="00C070B0"/>
    <w:rsid w:val="00C1000A"/>
    <w:rsid w:val="00C221EA"/>
    <w:rsid w:val="00C33595"/>
    <w:rsid w:val="00C3423B"/>
    <w:rsid w:val="00C43D15"/>
    <w:rsid w:val="00C57689"/>
    <w:rsid w:val="00C60EC8"/>
    <w:rsid w:val="00C65EB2"/>
    <w:rsid w:val="00C77C0A"/>
    <w:rsid w:val="00CB0F41"/>
    <w:rsid w:val="00CC7462"/>
    <w:rsid w:val="00CE6DA3"/>
    <w:rsid w:val="00CF605A"/>
    <w:rsid w:val="00D103DA"/>
    <w:rsid w:val="00D12DE8"/>
    <w:rsid w:val="00D252A7"/>
    <w:rsid w:val="00D50DB6"/>
    <w:rsid w:val="00D529B3"/>
    <w:rsid w:val="00D53037"/>
    <w:rsid w:val="00D5515F"/>
    <w:rsid w:val="00DB106F"/>
    <w:rsid w:val="00DD071C"/>
    <w:rsid w:val="00E351C1"/>
    <w:rsid w:val="00E35B86"/>
    <w:rsid w:val="00E438E3"/>
    <w:rsid w:val="00E52109"/>
    <w:rsid w:val="00E62EAE"/>
    <w:rsid w:val="00EB44AB"/>
    <w:rsid w:val="00EC776F"/>
    <w:rsid w:val="00F00BF4"/>
    <w:rsid w:val="00F14083"/>
    <w:rsid w:val="00F358FF"/>
    <w:rsid w:val="00F35CCA"/>
    <w:rsid w:val="00F84B2D"/>
    <w:rsid w:val="00F904C9"/>
    <w:rsid w:val="00FC06B7"/>
    <w:rsid w:val="00FC4F18"/>
    <w:rsid w:val="00FE1975"/>
    <w:rsid w:val="00FF529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FB0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D68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6846"/>
  </w:style>
  <w:style w:type="paragraph" w:styleId="Footer">
    <w:name w:val="footer"/>
    <w:basedOn w:val="Normal"/>
    <w:link w:val="FooterChar"/>
    <w:uiPriority w:val="99"/>
    <w:unhideWhenUsed/>
    <w:rsid w:val="006D68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6846"/>
  </w:style>
  <w:style w:type="paragraph" w:styleId="BalloonText">
    <w:name w:val="Balloon Text"/>
    <w:basedOn w:val="Normal"/>
    <w:link w:val="BalloonTextChar"/>
    <w:uiPriority w:val="99"/>
    <w:semiHidden/>
    <w:unhideWhenUsed/>
    <w:rsid w:val="006D68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6846"/>
    <w:rPr>
      <w:rFonts w:ascii="Tahoma" w:hAnsi="Tahoma" w:cs="Tahoma"/>
      <w:sz w:val="16"/>
      <w:szCs w:val="16"/>
    </w:rPr>
  </w:style>
  <w:style w:type="paragraph" w:styleId="TOC1">
    <w:name w:val="toc 1"/>
    <w:basedOn w:val="Normal"/>
    <w:next w:val="Normal"/>
    <w:autoRedefine/>
    <w:uiPriority w:val="99"/>
    <w:rsid w:val="00DB106F"/>
    <w:pPr>
      <w:tabs>
        <w:tab w:val="right" w:leader="dot" w:pos="9771"/>
      </w:tabs>
      <w:spacing w:before="120" w:after="120" w:line="240" w:lineRule="auto"/>
      <w:jc w:val="both"/>
    </w:pPr>
    <w:rPr>
      <w:rFonts w:ascii="Times New Roman" w:eastAsia="MS Mincho" w:hAnsi="Times New Roman" w:cs="Times New Roman"/>
      <w:b/>
      <w:caps/>
      <w:noProof/>
      <w:sz w:val="32"/>
      <w:szCs w:val="32"/>
      <w:u w:val="single"/>
      <w:lang w:val="en-GB"/>
    </w:rPr>
  </w:style>
  <w:style w:type="paragraph" w:styleId="ListParagraph">
    <w:name w:val="List Paragraph"/>
    <w:basedOn w:val="Normal"/>
    <w:uiPriority w:val="34"/>
    <w:qFormat/>
    <w:rsid w:val="00B26098"/>
    <w:pPr>
      <w:ind w:left="720"/>
      <w:contextualSpacing/>
    </w:pPr>
  </w:style>
  <w:style w:type="table" w:styleId="TableGrid">
    <w:name w:val="Table Grid"/>
    <w:basedOn w:val="TableNormal"/>
    <w:uiPriority w:val="59"/>
    <w:rsid w:val="001B1E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
    <w:name w:val="norm"/>
    <w:basedOn w:val="Normal"/>
    <w:link w:val="normChar"/>
    <w:uiPriority w:val="99"/>
    <w:rsid w:val="00CE6DA3"/>
    <w:pPr>
      <w:tabs>
        <w:tab w:val="left" w:pos="851"/>
        <w:tab w:val="right" w:pos="9356"/>
      </w:tabs>
      <w:spacing w:before="60" w:after="60" w:line="360" w:lineRule="atLeast"/>
      <w:jc w:val="both"/>
    </w:pPr>
    <w:rPr>
      <w:rFonts w:ascii="Times New Roman" w:eastAsia="Times New Roman" w:hAnsi="Times New Roman" w:cs="Times New Roman"/>
      <w:szCs w:val="20"/>
    </w:rPr>
  </w:style>
  <w:style w:type="character" w:customStyle="1" w:styleId="normChar">
    <w:name w:val="norm Char"/>
    <w:link w:val="norm"/>
    <w:uiPriority w:val="99"/>
    <w:locked/>
    <w:rsid w:val="00CE6DA3"/>
    <w:rPr>
      <w:rFonts w:ascii="Times New Roman" w:eastAsia="Times New Roman" w:hAnsi="Times New Roman" w:cs="Times New Roman"/>
      <w:szCs w:val="20"/>
    </w:rPr>
  </w:style>
  <w:style w:type="paragraph" w:customStyle="1" w:styleId="CM1">
    <w:name w:val="CM1"/>
    <w:basedOn w:val="Normal"/>
    <w:next w:val="Normal"/>
    <w:uiPriority w:val="99"/>
    <w:rsid w:val="003D5E9F"/>
    <w:pPr>
      <w:autoSpaceDE w:val="0"/>
      <w:autoSpaceDN w:val="0"/>
      <w:adjustRightInd w:val="0"/>
      <w:spacing w:after="0" w:line="240" w:lineRule="auto"/>
    </w:pPr>
    <w:rPr>
      <w:rFonts w:ascii="EUAlbertina" w:hAnsi="EUAlbertina"/>
      <w:sz w:val="24"/>
      <w:szCs w:val="24"/>
      <w:lang w:val="fr-FR"/>
    </w:rPr>
  </w:style>
  <w:style w:type="paragraph" w:customStyle="1" w:styleId="CM3">
    <w:name w:val="CM3"/>
    <w:basedOn w:val="Normal"/>
    <w:next w:val="Normal"/>
    <w:uiPriority w:val="99"/>
    <w:rsid w:val="003D5E9F"/>
    <w:pPr>
      <w:autoSpaceDE w:val="0"/>
      <w:autoSpaceDN w:val="0"/>
      <w:adjustRightInd w:val="0"/>
      <w:spacing w:after="0" w:line="240" w:lineRule="auto"/>
    </w:pPr>
    <w:rPr>
      <w:rFonts w:ascii="EUAlbertina" w:hAnsi="EUAlbertina"/>
      <w:sz w:val="24"/>
      <w:szCs w:val="24"/>
      <w:lang w:val="fr-FR"/>
    </w:rPr>
  </w:style>
  <w:style w:type="paragraph" w:customStyle="1" w:styleId="CM4">
    <w:name w:val="CM4"/>
    <w:basedOn w:val="Normal"/>
    <w:next w:val="Normal"/>
    <w:uiPriority w:val="99"/>
    <w:rsid w:val="00DD071C"/>
    <w:pPr>
      <w:autoSpaceDE w:val="0"/>
      <w:autoSpaceDN w:val="0"/>
      <w:adjustRightInd w:val="0"/>
      <w:spacing w:after="0" w:line="240" w:lineRule="auto"/>
    </w:pPr>
    <w:rPr>
      <w:rFonts w:ascii="EUAlbertina" w:hAnsi="EUAlbertina"/>
      <w:sz w:val="24"/>
      <w:szCs w:val="24"/>
      <w:lang w:val="fr-FR"/>
    </w:rPr>
  </w:style>
  <w:style w:type="paragraph" w:customStyle="1" w:styleId="Default">
    <w:name w:val="Default"/>
    <w:rsid w:val="00DD071C"/>
    <w:pPr>
      <w:autoSpaceDE w:val="0"/>
      <w:autoSpaceDN w:val="0"/>
      <w:adjustRightInd w:val="0"/>
      <w:spacing w:after="0" w:line="240" w:lineRule="auto"/>
    </w:pPr>
    <w:rPr>
      <w:rFonts w:ascii="EUAlbertina" w:hAnsi="EUAlbertina" w:cs="EUAlbertina"/>
      <w:color w:val="000000"/>
      <w:sz w:val="24"/>
      <w:szCs w:val="24"/>
      <w:lang w:val="fr-FR"/>
    </w:rPr>
  </w:style>
  <w:style w:type="character" w:customStyle="1" w:styleId="st1">
    <w:name w:val="st1"/>
    <w:basedOn w:val="DefaultParagraphFont"/>
    <w:rsid w:val="00AF0807"/>
  </w:style>
  <w:style w:type="character" w:styleId="CommentReference">
    <w:name w:val="annotation reference"/>
    <w:basedOn w:val="DefaultParagraphFont"/>
    <w:uiPriority w:val="99"/>
    <w:semiHidden/>
    <w:unhideWhenUsed/>
    <w:rsid w:val="006715E5"/>
    <w:rPr>
      <w:sz w:val="16"/>
      <w:szCs w:val="16"/>
    </w:rPr>
  </w:style>
  <w:style w:type="paragraph" w:styleId="CommentText">
    <w:name w:val="annotation text"/>
    <w:basedOn w:val="Normal"/>
    <w:link w:val="CommentTextChar"/>
    <w:uiPriority w:val="99"/>
    <w:semiHidden/>
    <w:unhideWhenUsed/>
    <w:rsid w:val="006715E5"/>
    <w:pPr>
      <w:spacing w:line="240" w:lineRule="auto"/>
    </w:pPr>
    <w:rPr>
      <w:sz w:val="20"/>
      <w:szCs w:val="20"/>
    </w:rPr>
  </w:style>
  <w:style w:type="character" w:customStyle="1" w:styleId="CommentTextChar">
    <w:name w:val="Comment Text Char"/>
    <w:basedOn w:val="DefaultParagraphFont"/>
    <w:link w:val="CommentText"/>
    <w:uiPriority w:val="99"/>
    <w:semiHidden/>
    <w:rsid w:val="006715E5"/>
    <w:rPr>
      <w:sz w:val="20"/>
      <w:szCs w:val="20"/>
    </w:rPr>
  </w:style>
  <w:style w:type="paragraph" w:styleId="CommentSubject">
    <w:name w:val="annotation subject"/>
    <w:basedOn w:val="CommentText"/>
    <w:next w:val="CommentText"/>
    <w:link w:val="CommentSubjectChar"/>
    <w:uiPriority w:val="99"/>
    <w:semiHidden/>
    <w:unhideWhenUsed/>
    <w:rsid w:val="006715E5"/>
    <w:rPr>
      <w:b/>
      <w:bCs/>
    </w:rPr>
  </w:style>
  <w:style w:type="character" w:customStyle="1" w:styleId="CommentSubjectChar">
    <w:name w:val="Comment Subject Char"/>
    <w:basedOn w:val="CommentTextChar"/>
    <w:link w:val="CommentSubject"/>
    <w:uiPriority w:val="99"/>
    <w:semiHidden/>
    <w:rsid w:val="006715E5"/>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D68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6846"/>
  </w:style>
  <w:style w:type="paragraph" w:styleId="Footer">
    <w:name w:val="footer"/>
    <w:basedOn w:val="Normal"/>
    <w:link w:val="FooterChar"/>
    <w:uiPriority w:val="99"/>
    <w:unhideWhenUsed/>
    <w:rsid w:val="006D68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6846"/>
  </w:style>
  <w:style w:type="paragraph" w:styleId="BalloonText">
    <w:name w:val="Balloon Text"/>
    <w:basedOn w:val="Normal"/>
    <w:link w:val="BalloonTextChar"/>
    <w:uiPriority w:val="99"/>
    <w:semiHidden/>
    <w:unhideWhenUsed/>
    <w:rsid w:val="006D68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6846"/>
    <w:rPr>
      <w:rFonts w:ascii="Tahoma" w:hAnsi="Tahoma" w:cs="Tahoma"/>
      <w:sz w:val="16"/>
      <w:szCs w:val="16"/>
    </w:rPr>
  </w:style>
  <w:style w:type="paragraph" w:styleId="TOC1">
    <w:name w:val="toc 1"/>
    <w:basedOn w:val="Normal"/>
    <w:next w:val="Normal"/>
    <w:autoRedefine/>
    <w:uiPriority w:val="99"/>
    <w:rsid w:val="00DB106F"/>
    <w:pPr>
      <w:tabs>
        <w:tab w:val="right" w:leader="dot" w:pos="9771"/>
      </w:tabs>
      <w:spacing w:before="120" w:after="120" w:line="240" w:lineRule="auto"/>
      <w:jc w:val="both"/>
    </w:pPr>
    <w:rPr>
      <w:rFonts w:ascii="Times New Roman" w:eastAsia="MS Mincho" w:hAnsi="Times New Roman" w:cs="Times New Roman"/>
      <w:b/>
      <w:caps/>
      <w:noProof/>
      <w:sz w:val="32"/>
      <w:szCs w:val="32"/>
      <w:u w:val="single"/>
      <w:lang w:val="en-GB"/>
    </w:rPr>
  </w:style>
  <w:style w:type="paragraph" w:styleId="ListParagraph">
    <w:name w:val="List Paragraph"/>
    <w:basedOn w:val="Normal"/>
    <w:uiPriority w:val="34"/>
    <w:qFormat/>
    <w:rsid w:val="00B26098"/>
    <w:pPr>
      <w:ind w:left="720"/>
      <w:contextualSpacing/>
    </w:pPr>
  </w:style>
  <w:style w:type="table" w:styleId="TableGrid">
    <w:name w:val="Table Grid"/>
    <w:basedOn w:val="TableNormal"/>
    <w:uiPriority w:val="59"/>
    <w:rsid w:val="001B1E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
    <w:name w:val="norm"/>
    <w:basedOn w:val="Normal"/>
    <w:link w:val="normChar"/>
    <w:uiPriority w:val="99"/>
    <w:rsid w:val="00CE6DA3"/>
    <w:pPr>
      <w:tabs>
        <w:tab w:val="left" w:pos="851"/>
        <w:tab w:val="right" w:pos="9356"/>
      </w:tabs>
      <w:spacing w:before="60" w:after="60" w:line="360" w:lineRule="atLeast"/>
      <w:jc w:val="both"/>
    </w:pPr>
    <w:rPr>
      <w:rFonts w:ascii="Times New Roman" w:eastAsia="Times New Roman" w:hAnsi="Times New Roman" w:cs="Times New Roman"/>
      <w:szCs w:val="20"/>
    </w:rPr>
  </w:style>
  <w:style w:type="character" w:customStyle="1" w:styleId="normChar">
    <w:name w:val="norm Char"/>
    <w:link w:val="norm"/>
    <w:uiPriority w:val="99"/>
    <w:locked/>
    <w:rsid w:val="00CE6DA3"/>
    <w:rPr>
      <w:rFonts w:ascii="Times New Roman" w:eastAsia="Times New Roman" w:hAnsi="Times New Roman" w:cs="Times New Roman"/>
      <w:szCs w:val="20"/>
    </w:rPr>
  </w:style>
  <w:style w:type="paragraph" w:customStyle="1" w:styleId="CM1">
    <w:name w:val="CM1"/>
    <w:basedOn w:val="Normal"/>
    <w:next w:val="Normal"/>
    <w:uiPriority w:val="99"/>
    <w:rsid w:val="003D5E9F"/>
    <w:pPr>
      <w:autoSpaceDE w:val="0"/>
      <w:autoSpaceDN w:val="0"/>
      <w:adjustRightInd w:val="0"/>
      <w:spacing w:after="0" w:line="240" w:lineRule="auto"/>
    </w:pPr>
    <w:rPr>
      <w:rFonts w:ascii="EUAlbertina" w:hAnsi="EUAlbertina"/>
      <w:sz w:val="24"/>
      <w:szCs w:val="24"/>
      <w:lang w:val="fr-FR"/>
    </w:rPr>
  </w:style>
  <w:style w:type="paragraph" w:customStyle="1" w:styleId="CM3">
    <w:name w:val="CM3"/>
    <w:basedOn w:val="Normal"/>
    <w:next w:val="Normal"/>
    <w:uiPriority w:val="99"/>
    <w:rsid w:val="003D5E9F"/>
    <w:pPr>
      <w:autoSpaceDE w:val="0"/>
      <w:autoSpaceDN w:val="0"/>
      <w:adjustRightInd w:val="0"/>
      <w:spacing w:after="0" w:line="240" w:lineRule="auto"/>
    </w:pPr>
    <w:rPr>
      <w:rFonts w:ascii="EUAlbertina" w:hAnsi="EUAlbertina"/>
      <w:sz w:val="24"/>
      <w:szCs w:val="24"/>
      <w:lang w:val="fr-FR"/>
    </w:rPr>
  </w:style>
  <w:style w:type="paragraph" w:customStyle="1" w:styleId="CM4">
    <w:name w:val="CM4"/>
    <w:basedOn w:val="Normal"/>
    <w:next w:val="Normal"/>
    <w:uiPriority w:val="99"/>
    <w:rsid w:val="00DD071C"/>
    <w:pPr>
      <w:autoSpaceDE w:val="0"/>
      <w:autoSpaceDN w:val="0"/>
      <w:adjustRightInd w:val="0"/>
      <w:spacing w:after="0" w:line="240" w:lineRule="auto"/>
    </w:pPr>
    <w:rPr>
      <w:rFonts w:ascii="EUAlbertina" w:hAnsi="EUAlbertina"/>
      <w:sz w:val="24"/>
      <w:szCs w:val="24"/>
      <w:lang w:val="fr-FR"/>
    </w:rPr>
  </w:style>
  <w:style w:type="paragraph" w:customStyle="1" w:styleId="Default">
    <w:name w:val="Default"/>
    <w:rsid w:val="00DD071C"/>
    <w:pPr>
      <w:autoSpaceDE w:val="0"/>
      <w:autoSpaceDN w:val="0"/>
      <w:adjustRightInd w:val="0"/>
      <w:spacing w:after="0" w:line="240" w:lineRule="auto"/>
    </w:pPr>
    <w:rPr>
      <w:rFonts w:ascii="EUAlbertina" w:hAnsi="EUAlbertina" w:cs="EUAlbertina"/>
      <w:color w:val="000000"/>
      <w:sz w:val="24"/>
      <w:szCs w:val="24"/>
      <w:lang w:val="fr-FR"/>
    </w:rPr>
  </w:style>
  <w:style w:type="character" w:customStyle="1" w:styleId="st1">
    <w:name w:val="st1"/>
    <w:basedOn w:val="DefaultParagraphFont"/>
    <w:rsid w:val="00AF0807"/>
  </w:style>
  <w:style w:type="character" w:styleId="CommentReference">
    <w:name w:val="annotation reference"/>
    <w:basedOn w:val="DefaultParagraphFont"/>
    <w:uiPriority w:val="99"/>
    <w:semiHidden/>
    <w:unhideWhenUsed/>
    <w:rsid w:val="006715E5"/>
    <w:rPr>
      <w:sz w:val="16"/>
      <w:szCs w:val="16"/>
    </w:rPr>
  </w:style>
  <w:style w:type="paragraph" w:styleId="CommentText">
    <w:name w:val="annotation text"/>
    <w:basedOn w:val="Normal"/>
    <w:link w:val="CommentTextChar"/>
    <w:uiPriority w:val="99"/>
    <w:semiHidden/>
    <w:unhideWhenUsed/>
    <w:rsid w:val="006715E5"/>
    <w:pPr>
      <w:spacing w:line="240" w:lineRule="auto"/>
    </w:pPr>
    <w:rPr>
      <w:sz w:val="20"/>
      <w:szCs w:val="20"/>
    </w:rPr>
  </w:style>
  <w:style w:type="character" w:customStyle="1" w:styleId="CommentTextChar">
    <w:name w:val="Comment Text Char"/>
    <w:basedOn w:val="DefaultParagraphFont"/>
    <w:link w:val="CommentText"/>
    <w:uiPriority w:val="99"/>
    <w:semiHidden/>
    <w:rsid w:val="006715E5"/>
    <w:rPr>
      <w:sz w:val="20"/>
      <w:szCs w:val="20"/>
    </w:rPr>
  </w:style>
  <w:style w:type="paragraph" w:styleId="CommentSubject">
    <w:name w:val="annotation subject"/>
    <w:basedOn w:val="CommentText"/>
    <w:next w:val="CommentText"/>
    <w:link w:val="CommentSubjectChar"/>
    <w:uiPriority w:val="99"/>
    <w:semiHidden/>
    <w:unhideWhenUsed/>
    <w:rsid w:val="006715E5"/>
    <w:rPr>
      <w:b/>
      <w:bCs/>
    </w:rPr>
  </w:style>
  <w:style w:type="character" w:customStyle="1" w:styleId="CommentSubjectChar">
    <w:name w:val="Comment Subject Char"/>
    <w:basedOn w:val="CommentTextChar"/>
    <w:link w:val="CommentSubject"/>
    <w:uiPriority w:val="99"/>
    <w:semiHidden/>
    <w:rsid w:val="006715E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commentsExtended" Target="commentsExtended.xm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B691CC-E9EF-4AB5-84B4-ED184ECD57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1258</Words>
  <Characters>7172</Characters>
  <Application>Microsoft Office Word</Application>
  <DocSecurity>0</DocSecurity>
  <Lines>59</Lines>
  <Paragraphs>16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Cognizant Technology Solutions</Company>
  <LinksUpToDate>false</LinksUpToDate>
  <CharactersWithSpaces>8414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Cognizant Technology Solutions</dc:creator>
  <cp:lastModifiedBy>François DUBRAU</cp:lastModifiedBy>
  <cp:revision>5</cp:revision>
  <cp:lastPrinted>2015-10-09T10:36:00Z</cp:lastPrinted>
  <dcterms:created xsi:type="dcterms:W3CDTF">2016-05-13T15:18:00Z</dcterms:created>
  <dcterms:modified xsi:type="dcterms:W3CDTF">2016-09-02T05:30:00Z</dcterms:modified>
</cp:coreProperties>
</file>