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575F36" w:rsidRPr="00EC776F" w:rsidRDefault="009274ED"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sidRPr="009274ED">
        <w:rPr>
          <w:b/>
          <w:noProof/>
          <w:sz w:val="36"/>
          <w:lang w:val="fr-FR"/>
        </w:rPr>
        <w:t>Utilisation des critères additionnels de matching</w:t>
      </w:r>
    </w:p>
    <w:p w:rsidR="001B1E38" w:rsidRDefault="001B1E38" w:rsidP="006D6846">
      <w:pPr>
        <w:tabs>
          <w:tab w:val="left" w:pos="9356"/>
        </w:tabs>
        <w:ind w:right="-279"/>
        <w:rPr>
          <w:lang w:val="fr-FR"/>
        </w:rPr>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776CD9" w:rsidP="00776CD9">
            <w:pPr>
              <w:tabs>
                <w:tab w:val="left" w:pos="9356"/>
              </w:tabs>
              <w:ind w:right="-279"/>
              <w:rPr>
                <w:lang w:val="fr-FR"/>
              </w:rPr>
            </w:pPr>
            <w:r>
              <w:rPr>
                <w:lang w:val="fr-FR"/>
              </w:rPr>
              <w:t>2</w:t>
            </w:r>
            <w:r w:rsidR="00140482">
              <w:rPr>
                <w:lang w:val="fr-FR"/>
              </w:rPr>
              <w:t>.</w:t>
            </w:r>
            <w:r>
              <w:rPr>
                <w:lang w:val="fr-FR"/>
              </w:rPr>
              <w:t>0</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9274ED" w:rsidP="006D6846">
            <w:pPr>
              <w:tabs>
                <w:tab w:val="left" w:pos="9356"/>
              </w:tabs>
              <w:ind w:right="-279"/>
              <w:rPr>
                <w:lang w:val="fr-FR"/>
              </w:rPr>
            </w:pPr>
            <w:r>
              <w:rPr>
                <w:lang w:val="fr-FR"/>
              </w:rPr>
              <w:t xml:space="preserve">30 août </w:t>
            </w:r>
            <w:r w:rsidR="00140482">
              <w:rPr>
                <w:lang w:val="fr-FR"/>
              </w:rPr>
              <w:t>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2093"/>
        <w:gridCol w:w="7513"/>
      </w:tblGrid>
      <w:tr w:rsidR="00D103DA" w:rsidRPr="009274ED" w:rsidTr="0091257E">
        <w:tc>
          <w:tcPr>
            <w:tcW w:w="2093"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rsidR="00140482" w:rsidRPr="00776CD9" w:rsidRDefault="009274ED" w:rsidP="009274ED">
            <w:pPr>
              <w:spacing w:beforeLines="60" w:before="144"/>
              <w:jc w:val="both"/>
              <w:rPr>
                <w:rFonts w:eastAsia="MS Mincho" w:cs="Times New Roman"/>
                <w:noProof/>
                <w:szCs w:val="32"/>
                <w:lang w:val="fr-FR"/>
              </w:rPr>
            </w:pPr>
            <w:r w:rsidRPr="009274ED">
              <w:rPr>
                <w:rFonts w:cs="Tahoma"/>
                <w:szCs w:val="21"/>
                <w:lang w:val="fr-FR" w:eastAsia="fr-FR"/>
              </w:rPr>
              <w:t>Il n’y a pas aujourd’hui de critères additionnels de matching en Euroclear France, mais uniquement des critères obligatoires.</w:t>
            </w:r>
          </w:p>
        </w:tc>
      </w:tr>
      <w:tr w:rsidR="00D103DA" w:rsidRPr="009274ED"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893912" w:rsidRPr="00C90EAB" w:rsidTr="0081511D">
        <w:tc>
          <w:tcPr>
            <w:tcW w:w="2093"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rsidR="009274ED" w:rsidRPr="009274ED" w:rsidRDefault="009274ED" w:rsidP="009274ED">
            <w:pPr>
              <w:spacing w:beforeLines="60" w:before="144"/>
              <w:jc w:val="both"/>
              <w:rPr>
                <w:rFonts w:cs="Tahoma"/>
                <w:szCs w:val="21"/>
                <w:lang w:val="fr-FR" w:eastAsia="fr-FR"/>
              </w:rPr>
            </w:pPr>
            <w:r w:rsidRPr="009274ED">
              <w:rPr>
                <w:rFonts w:cs="Tahoma"/>
                <w:szCs w:val="21"/>
                <w:lang w:val="fr-FR" w:eastAsia="fr-FR"/>
              </w:rPr>
              <w:t>En T2S, les critères suivants sont obligatoires pour le matching :</w:t>
            </w:r>
          </w:p>
          <w:p w:rsidR="009274ED" w:rsidRDefault="009274ED" w:rsidP="009274ED">
            <w:pPr>
              <w:pStyle w:val="ListParagraph"/>
              <w:numPr>
                <w:ilvl w:val="0"/>
                <w:numId w:val="12"/>
              </w:numPr>
              <w:jc w:val="both"/>
              <w:rPr>
                <w:rFonts w:eastAsia="MS Mincho" w:cs="Times New Roman"/>
                <w:noProof/>
                <w:szCs w:val="32"/>
                <w:lang w:val="fr-FR"/>
              </w:rPr>
            </w:pPr>
            <w:r>
              <w:rPr>
                <w:rFonts w:eastAsia="MS Mincho" w:cs="Times New Roman"/>
                <w:noProof/>
                <w:szCs w:val="32"/>
                <w:lang w:val="fr-FR"/>
              </w:rPr>
              <w:t>Instruction type code</w:t>
            </w:r>
          </w:p>
          <w:p w:rsidR="009274ED" w:rsidRPr="003154A2" w:rsidRDefault="009274ED" w:rsidP="009274ED">
            <w:pPr>
              <w:pStyle w:val="ListParagraph"/>
              <w:numPr>
                <w:ilvl w:val="0"/>
                <w:numId w:val="12"/>
              </w:numPr>
              <w:jc w:val="both"/>
              <w:rPr>
                <w:rFonts w:eastAsia="MS Mincho" w:cs="Times New Roman"/>
                <w:noProof/>
                <w:szCs w:val="32"/>
                <w:lang w:val="fr-FR"/>
              </w:rPr>
            </w:pPr>
            <w:r>
              <w:rPr>
                <w:rFonts w:eastAsia="MS Mincho" w:cs="Times New Roman"/>
                <w:noProof/>
                <w:szCs w:val="32"/>
              </w:rPr>
              <w:t>Date de dénouement théorique</w:t>
            </w:r>
          </w:p>
          <w:p w:rsidR="009274ED" w:rsidRPr="003154A2" w:rsidRDefault="009274ED" w:rsidP="009274ED">
            <w:pPr>
              <w:pStyle w:val="ListParagraph"/>
              <w:numPr>
                <w:ilvl w:val="0"/>
                <w:numId w:val="12"/>
              </w:numPr>
              <w:jc w:val="both"/>
              <w:rPr>
                <w:rFonts w:eastAsia="MS Mincho" w:cs="Times New Roman"/>
                <w:noProof/>
                <w:szCs w:val="32"/>
                <w:lang w:val="fr-FR"/>
              </w:rPr>
            </w:pPr>
            <w:r w:rsidRPr="003154A2">
              <w:rPr>
                <w:rFonts w:eastAsia="MS Mincho" w:cs="Times New Roman"/>
                <w:noProof/>
                <w:szCs w:val="32"/>
              </w:rPr>
              <w:t>Trade date</w:t>
            </w:r>
          </w:p>
          <w:p w:rsidR="009274ED" w:rsidRPr="003154A2" w:rsidRDefault="009274ED" w:rsidP="009274ED">
            <w:pPr>
              <w:pStyle w:val="ListParagraph"/>
              <w:numPr>
                <w:ilvl w:val="0"/>
                <w:numId w:val="12"/>
              </w:numPr>
              <w:jc w:val="both"/>
              <w:rPr>
                <w:rFonts w:eastAsia="MS Mincho" w:cs="Times New Roman"/>
                <w:noProof/>
                <w:szCs w:val="32"/>
                <w:lang w:val="fr-FR"/>
              </w:rPr>
            </w:pPr>
            <w:r>
              <w:rPr>
                <w:rFonts w:eastAsia="MS Mincho" w:cs="Times New Roman"/>
                <w:noProof/>
                <w:szCs w:val="32"/>
              </w:rPr>
              <w:t>Devise</w:t>
            </w:r>
          </w:p>
          <w:p w:rsidR="009274ED" w:rsidRPr="003154A2" w:rsidRDefault="009274ED" w:rsidP="009274ED">
            <w:pPr>
              <w:pStyle w:val="ListParagraph"/>
              <w:numPr>
                <w:ilvl w:val="0"/>
                <w:numId w:val="12"/>
              </w:numPr>
              <w:jc w:val="both"/>
              <w:rPr>
                <w:rFonts w:eastAsia="MS Mincho" w:cs="Times New Roman"/>
                <w:noProof/>
                <w:szCs w:val="32"/>
                <w:lang w:val="fr-FR"/>
              </w:rPr>
            </w:pPr>
            <w:r>
              <w:rPr>
                <w:rFonts w:eastAsia="MS Mincho" w:cs="Times New Roman"/>
                <w:noProof/>
                <w:szCs w:val="32"/>
              </w:rPr>
              <w:t>Montant</w:t>
            </w:r>
          </w:p>
          <w:p w:rsidR="009274ED" w:rsidRPr="003154A2" w:rsidRDefault="009274ED" w:rsidP="009274ED">
            <w:pPr>
              <w:pStyle w:val="ListParagraph"/>
              <w:numPr>
                <w:ilvl w:val="0"/>
                <w:numId w:val="12"/>
              </w:numPr>
              <w:jc w:val="both"/>
              <w:rPr>
                <w:rFonts w:eastAsia="MS Mincho" w:cs="Times New Roman"/>
                <w:noProof/>
                <w:szCs w:val="32"/>
                <w:lang w:val="fr-FR"/>
              </w:rPr>
            </w:pPr>
            <w:r w:rsidRPr="003154A2">
              <w:rPr>
                <w:rFonts w:eastAsia="MS Mincho" w:cs="Times New Roman"/>
                <w:noProof/>
                <w:szCs w:val="32"/>
                <w:lang w:val="fr-FR"/>
              </w:rPr>
              <w:t xml:space="preserve">Quantité ou </w:t>
            </w:r>
            <w:r>
              <w:rPr>
                <w:rFonts w:eastAsia="MS Mincho" w:cs="Times New Roman"/>
                <w:noProof/>
                <w:szCs w:val="32"/>
                <w:lang w:val="fr-FR"/>
              </w:rPr>
              <w:t>nominal</w:t>
            </w:r>
          </w:p>
          <w:p w:rsidR="009274ED" w:rsidRPr="001D5595" w:rsidRDefault="009274ED" w:rsidP="009274ED">
            <w:pPr>
              <w:pStyle w:val="ListParagraph"/>
              <w:numPr>
                <w:ilvl w:val="0"/>
                <w:numId w:val="12"/>
              </w:numPr>
              <w:jc w:val="both"/>
              <w:rPr>
                <w:rFonts w:eastAsia="MS Mincho" w:cs="Times New Roman"/>
                <w:noProof/>
                <w:szCs w:val="32"/>
                <w:lang w:val="fr-FR"/>
              </w:rPr>
            </w:pPr>
            <w:r>
              <w:rPr>
                <w:rFonts w:eastAsia="MS Mincho" w:cs="Times New Roman"/>
                <w:noProof/>
                <w:szCs w:val="32"/>
              </w:rPr>
              <w:t>Crédit/Débit titres</w:t>
            </w:r>
          </w:p>
          <w:p w:rsidR="009274ED" w:rsidRPr="003154A2" w:rsidRDefault="009274ED" w:rsidP="009274ED">
            <w:pPr>
              <w:pStyle w:val="ListParagraph"/>
              <w:numPr>
                <w:ilvl w:val="0"/>
                <w:numId w:val="12"/>
              </w:numPr>
              <w:jc w:val="both"/>
              <w:rPr>
                <w:rFonts w:eastAsia="MS Mincho" w:cs="Times New Roman"/>
                <w:noProof/>
                <w:szCs w:val="32"/>
                <w:lang w:val="fr-FR"/>
              </w:rPr>
            </w:pPr>
            <w:r>
              <w:rPr>
                <w:rFonts w:eastAsia="MS Mincho" w:cs="Times New Roman"/>
                <w:noProof/>
                <w:szCs w:val="32"/>
              </w:rPr>
              <w:t>Crédit/Débit cash</w:t>
            </w:r>
          </w:p>
          <w:p w:rsidR="009274ED" w:rsidRPr="003154A2" w:rsidRDefault="009274ED" w:rsidP="009274ED">
            <w:pPr>
              <w:pStyle w:val="ListParagraph"/>
              <w:numPr>
                <w:ilvl w:val="0"/>
                <w:numId w:val="12"/>
              </w:numPr>
              <w:jc w:val="both"/>
              <w:rPr>
                <w:rFonts w:eastAsia="MS Mincho" w:cs="Times New Roman"/>
                <w:noProof/>
                <w:szCs w:val="32"/>
                <w:lang w:val="fr-FR"/>
              </w:rPr>
            </w:pPr>
            <w:r>
              <w:rPr>
                <w:rFonts w:eastAsia="MS Mincho" w:cs="Times New Roman"/>
                <w:noProof/>
                <w:szCs w:val="32"/>
              </w:rPr>
              <w:t xml:space="preserve">Code ISIN </w:t>
            </w:r>
          </w:p>
          <w:p w:rsidR="009274ED" w:rsidRPr="003154A2" w:rsidRDefault="009274ED" w:rsidP="009274ED">
            <w:pPr>
              <w:pStyle w:val="ListParagraph"/>
              <w:numPr>
                <w:ilvl w:val="0"/>
                <w:numId w:val="12"/>
              </w:numPr>
              <w:jc w:val="both"/>
              <w:rPr>
                <w:rFonts w:eastAsia="MS Mincho" w:cs="Times New Roman"/>
                <w:noProof/>
                <w:szCs w:val="32"/>
                <w:lang w:val="fr-FR"/>
              </w:rPr>
            </w:pPr>
            <w:r w:rsidRPr="003154A2">
              <w:rPr>
                <w:rFonts w:eastAsia="MS Mincho" w:cs="Times New Roman"/>
                <w:noProof/>
                <w:szCs w:val="32"/>
                <w:lang w:val="fr-FR"/>
              </w:rPr>
              <w:t>BIC de la contrepartie livrant les titres</w:t>
            </w:r>
          </w:p>
          <w:p w:rsidR="009274ED" w:rsidRPr="003154A2" w:rsidRDefault="009274ED" w:rsidP="009274ED">
            <w:pPr>
              <w:pStyle w:val="ListParagraph"/>
              <w:numPr>
                <w:ilvl w:val="0"/>
                <w:numId w:val="12"/>
              </w:numPr>
              <w:jc w:val="both"/>
              <w:rPr>
                <w:rFonts w:eastAsia="MS Mincho" w:cs="Times New Roman"/>
                <w:noProof/>
                <w:szCs w:val="32"/>
                <w:lang w:val="fr-FR"/>
              </w:rPr>
            </w:pPr>
            <w:r w:rsidRPr="003154A2">
              <w:rPr>
                <w:rFonts w:eastAsia="MS Mincho" w:cs="Times New Roman"/>
                <w:noProof/>
                <w:szCs w:val="32"/>
                <w:lang w:val="fr-FR"/>
              </w:rPr>
              <w:t xml:space="preserve">BIC de la contrepartie recevant </w:t>
            </w:r>
            <w:r>
              <w:rPr>
                <w:rFonts w:eastAsia="MS Mincho" w:cs="Times New Roman"/>
                <w:noProof/>
                <w:szCs w:val="32"/>
                <w:lang w:val="fr-FR"/>
              </w:rPr>
              <w:t>les titres</w:t>
            </w:r>
          </w:p>
          <w:p w:rsidR="009274ED" w:rsidRPr="003154A2" w:rsidRDefault="009274ED" w:rsidP="009274ED">
            <w:pPr>
              <w:pStyle w:val="ListParagraph"/>
              <w:numPr>
                <w:ilvl w:val="0"/>
                <w:numId w:val="12"/>
              </w:numPr>
              <w:jc w:val="both"/>
              <w:rPr>
                <w:rFonts w:eastAsia="MS Mincho" w:cs="Times New Roman"/>
                <w:noProof/>
                <w:szCs w:val="32"/>
              </w:rPr>
            </w:pPr>
            <w:r w:rsidRPr="003154A2">
              <w:rPr>
                <w:rFonts w:eastAsia="MS Mincho" w:cs="Times New Roman"/>
                <w:noProof/>
                <w:szCs w:val="32"/>
              </w:rPr>
              <w:t xml:space="preserve">CSD </w:t>
            </w:r>
            <w:r>
              <w:rPr>
                <w:rFonts w:eastAsia="MS Mincho" w:cs="Times New Roman"/>
                <w:noProof/>
                <w:szCs w:val="32"/>
              </w:rPr>
              <w:t>de la contrepartie</w:t>
            </w:r>
          </w:p>
          <w:p w:rsidR="009274ED" w:rsidRPr="009274ED" w:rsidRDefault="009274ED" w:rsidP="009274ED">
            <w:pPr>
              <w:spacing w:beforeLines="60" w:before="144"/>
              <w:jc w:val="both"/>
              <w:rPr>
                <w:rFonts w:cs="Tahoma"/>
                <w:szCs w:val="21"/>
                <w:lang w:val="fr-FR" w:eastAsia="fr-FR"/>
              </w:rPr>
            </w:pPr>
            <w:r w:rsidRPr="009274ED">
              <w:rPr>
                <w:rFonts w:cs="Tahoma"/>
                <w:szCs w:val="21"/>
                <w:lang w:val="fr-FR" w:eastAsia="fr-FR"/>
              </w:rPr>
              <w:t>2 critères additionnels sont prévus :</w:t>
            </w:r>
          </w:p>
          <w:p w:rsidR="009274ED" w:rsidRDefault="009274ED" w:rsidP="009274ED">
            <w:pPr>
              <w:pStyle w:val="ListParagraph"/>
              <w:numPr>
                <w:ilvl w:val="0"/>
                <w:numId w:val="11"/>
              </w:numPr>
              <w:jc w:val="both"/>
              <w:rPr>
                <w:rFonts w:eastAsia="MS Mincho" w:cs="Times New Roman"/>
                <w:noProof/>
                <w:szCs w:val="32"/>
                <w:lang w:val="fr-FR"/>
              </w:rPr>
            </w:pPr>
            <w:r w:rsidRPr="00F21707">
              <w:rPr>
                <w:rFonts w:eastAsia="MS Mincho" w:cs="Times New Roman"/>
                <w:noProof/>
                <w:szCs w:val="32"/>
                <w:lang w:val="fr-FR"/>
              </w:rPr>
              <w:t>Indicateur CUM/EX qui s’applique sur des opérations sujettes à OST sur flux et permet de spécifier si la transaction doit appli</w:t>
            </w:r>
            <w:r>
              <w:rPr>
                <w:rFonts w:eastAsia="MS Mincho" w:cs="Times New Roman"/>
                <w:noProof/>
                <w:szCs w:val="32"/>
                <w:lang w:val="fr-FR"/>
              </w:rPr>
              <w:t>q</w:t>
            </w:r>
            <w:r w:rsidRPr="00F21707">
              <w:rPr>
                <w:rFonts w:eastAsia="MS Mincho" w:cs="Times New Roman"/>
                <w:noProof/>
                <w:szCs w:val="32"/>
                <w:lang w:val="fr-FR"/>
              </w:rPr>
              <w:t xml:space="preserve">uer le dividende </w:t>
            </w:r>
            <w:r>
              <w:rPr>
                <w:rFonts w:eastAsia="MS Mincho" w:cs="Times New Roman"/>
                <w:noProof/>
                <w:szCs w:val="32"/>
                <w:lang w:val="fr-FR"/>
              </w:rPr>
              <w:t xml:space="preserve">ou versement d’intérêt </w:t>
            </w:r>
            <w:r w:rsidRPr="00F21707">
              <w:rPr>
                <w:rFonts w:eastAsia="MS Mincho" w:cs="Times New Roman"/>
                <w:noProof/>
                <w:szCs w:val="32"/>
                <w:lang w:val="fr-FR"/>
              </w:rPr>
              <w:t>ou non</w:t>
            </w:r>
            <w:r>
              <w:rPr>
                <w:rFonts w:eastAsia="MS Mincho" w:cs="Times New Roman"/>
                <w:noProof/>
                <w:szCs w:val="32"/>
                <w:lang w:val="fr-FR"/>
              </w:rPr>
              <w:t xml:space="preserve"> (OST de distribution).</w:t>
            </w:r>
          </w:p>
          <w:p w:rsidR="009274ED" w:rsidRPr="00F21707" w:rsidRDefault="009274ED" w:rsidP="009274ED">
            <w:pPr>
              <w:pStyle w:val="ListParagraph"/>
              <w:numPr>
                <w:ilvl w:val="0"/>
                <w:numId w:val="11"/>
              </w:numPr>
              <w:jc w:val="both"/>
              <w:rPr>
                <w:rFonts w:eastAsia="MS Mincho" w:cs="Times New Roman"/>
                <w:noProof/>
                <w:szCs w:val="32"/>
                <w:lang w:val="fr-FR"/>
              </w:rPr>
            </w:pPr>
            <w:r w:rsidRPr="00F21707">
              <w:rPr>
                <w:rFonts w:eastAsia="MS Mincho" w:cs="Times New Roman"/>
                <w:noProof/>
                <w:szCs w:val="32"/>
                <w:lang w:val="fr-FR"/>
              </w:rPr>
              <w:t xml:space="preserve">Indicateur OPT-OUT, </w:t>
            </w:r>
            <w:r>
              <w:rPr>
                <w:rFonts w:eastAsia="MS Mincho" w:cs="Times New Roman"/>
                <w:noProof/>
                <w:szCs w:val="32"/>
                <w:lang w:val="fr-FR"/>
              </w:rPr>
              <w:t>qui permet de spécifier si la transaction doit ou non faire l’objet de l’OST sur flux dans le cas d’une market claim ou d’une transformation (OST de distribution et de réorganisation).</w:t>
            </w:r>
          </w:p>
          <w:p w:rsidR="00140482" w:rsidRPr="00113071" w:rsidRDefault="009274ED" w:rsidP="009274ED">
            <w:pPr>
              <w:spacing w:beforeLines="60" w:before="144"/>
              <w:jc w:val="both"/>
              <w:rPr>
                <w:rFonts w:eastAsia="MS Mincho" w:cs="Times New Roman"/>
                <w:noProof/>
                <w:szCs w:val="32"/>
                <w:lang w:val="fr-FR"/>
              </w:rPr>
            </w:pPr>
            <w:r w:rsidRPr="009274ED">
              <w:rPr>
                <w:rFonts w:cs="Tahoma"/>
                <w:szCs w:val="21"/>
                <w:lang w:val="fr-FR" w:eastAsia="fr-FR"/>
              </w:rPr>
              <w:t xml:space="preserve">Mode de fonctionnement : les champs </w:t>
            </w:r>
            <w:proofErr w:type="gramStart"/>
            <w:r w:rsidRPr="009274ED">
              <w:rPr>
                <w:rFonts w:cs="Tahoma"/>
                <w:szCs w:val="21"/>
                <w:lang w:val="fr-FR" w:eastAsia="fr-FR"/>
              </w:rPr>
              <w:t>additionnel</w:t>
            </w:r>
            <w:proofErr w:type="gramEnd"/>
            <w:r w:rsidRPr="009274ED">
              <w:rPr>
                <w:rFonts w:cs="Tahoma"/>
                <w:szCs w:val="21"/>
                <w:lang w:val="fr-FR" w:eastAsia="fr-FR"/>
              </w:rPr>
              <w:t xml:space="preserve"> s’apparient si, et seulement si, les deux champs sont remplis de façon strictement identiques ou laissés vides (à blanc) par les deux parties.</w:t>
            </w:r>
          </w:p>
        </w:tc>
      </w:tr>
      <w:tr w:rsidR="0081511D" w:rsidRPr="00C90EAB" w:rsidTr="0081511D">
        <w:tc>
          <w:tcPr>
            <w:tcW w:w="2093"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C90EAB" w:rsidTr="0081511D">
        <w:tc>
          <w:tcPr>
            <w:tcW w:w="2093"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lastRenderedPageBreak/>
              <w:t>Description de la problématique majeure</w:t>
            </w:r>
          </w:p>
        </w:tc>
        <w:tc>
          <w:tcPr>
            <w:tcW w:w="7513" w:type="dxa"/>
          </w:tcPr>
          <w:p w:rsidR="009274ED" w:rsidRPr="009274ED" w:rsidRDefault="009274ED" w:rsidP="009274ED">
            <w:pPr>
              <w:spacing w:beforeLines="60" w:before="144"/>
              <w:jc w:val="both"/>
              <w:rPr>
                <w:rFonts w:cs="Tahoma"/>
                <w:szCs w:val="21"/>
                <w:lang w:val="fr-FR" w:eastAsia="fr-FR"/>
              </w:rPr>
            </w:pPr>
            <w:r w:rsidRPr="009274ED">
              <w:rPr>
                <w:rFonts w:cs="Tahoma"/>
                <w:szCs w:val="21"/>
                <w:lang w:val="fr-FR" w:eastAsia="fr-FR"/>
              </w:rPr>
              <w:t>Le teneur de compte se basera sur les instructions transmises par ses clients pour instruire en conséquence le système de règlement/livraison.</w:t>
            </w:r>
          </w:p>
          <w:p w:rsidR="009274ED" w:rsidRPr="009274ED" w:rsidRDefault="009274ED" w:rsidP="009274ED">
            <w:pPr>
              <w:spacing w:beforeLines="60" w:before="144"/>
              <w:jc w:val="both"/>
              <w:rPr>
                <w:rFonts w:cs="Tahoma"/>
                <w:szCs w:val="21"/>
                <w:lang w:val="fr-FR" w:eastAsia="fr-FR"/>
              </w:rPr>
            </w:pPr>
            <w:r w:rsidRPr="009274ED">
              <w:rPr>
                <w:rFonts w:cs="Tahoma"/>
                <w:szCs w:val="21"/>
                <w:lang w:val="fr-FR" w:eastAsia="fr-FR"/>
              </w:rPr>
              <w:t>Ces indicateurs ont un impact direct sur les règles de détection des OST sur flux et cette détection est limitée dans le temps dans les systèmes (20 jours).</w:t>
            </w:r>
          </w:p>
          <w:p w:rsidR="009274ED" w:rsidRPr="009274ED" w:rsidRDefault="009274ED" w:rsidP="009274ED">
            <w:pPr>
              <w:spacing w:beforeLines="60" w:before="144"/>
              <w:jc w:val="both"/>
              <w:rPr>
                <w:rFonts w:cs="Tahoma"/>
                <w:szCs w:val="21"/>
                <w:lang w:val="fr-FR" w:eastAsia="fr-FR"/>
              </w:rPr>
            </w:pPr>
            <w:r w:rsidRPr="009274ED">
              <w:rPr>
                <w:rFonts w:cs="Tahoma"/>
                <w:szCs w:val="21"/>
                <w:lang w:val="fr-FR" w:eastAsia="fr-FR"/>
              </w:rPr>
              <w:t>Il convient de clarifier le périmètre d’utilisation de l’indicateur  « OPT-OUT » (NOMC dans T2S) et « CUM  ou  EX » (respectivement CCPN et XCPN dans T2S).</w:t>
            </w:r>
          </w:p>
          <w:p w:rsidR="009274ED" w:rsidRPr="009274ED" w:rsidRDefault="009274ED" w:rsidP="009274ED">
            <w:pPr>
              <w:spacing w:beforeLines="60" w:before="144"/>
              <w:jc w:val="both"/>
              <w:rPr>
                <w:rFonts w:cs="Tahoma"/>
                <w:szCs w:val="21"/>
                <w:lang w:val="fr-FR" w:eastAsia="fr-FR"/>
              </w:rPr>
            </w:pPr>
            <w:r w:rsidRPr="009274ED">
              <w:rPr>
                <w:rFonts w:cs="Tahoma"/>
                <w:szCs w:val="21"/>
                <w:lang w:val="fr-FR" w:eastAsia="fr-FR"/>
              </w:rPr>
              <w:t>L’indicateur « OPT-OUT » exclut l’instruction du champ d’application des OST sur  flux, et ce indépendamment des indicateurs CUM ou EX qui pourraient être positionnés sur la même instruction T2S (cas d’une OST de Distribution).</w:t>
            </w:r>
          </w:p>
          <w:p w:rsidR="009274ED" w:rsidRPr="009274ED" w:rsidRDefault="009274ED" w:rsidP="009274ED">
            <w:pPr>
              <w:spacing w:beforeLines="60" w:before="144"/>
              <w:jc w:val="both"/>
              <w:rPr>
                <w:rFonts w:cs="Tahoma"/>
                <w:szCs w:val="21"/>
                <w:lang w:val="fr-FR" w:eastAsia="fr-FR"/>
              </w:rPr>
            </w:pPr>
            <w:r w:rsidRPr="009274ED">
              <w:rPr>
                <w:rFonts w:cs="Tahoma"/>
                <w:szCs w:val="21"/>
                <w:lang w:val="fr-FR" w:eastAsia="fr-FR"/>
              </w:rPr>
              <w:t>Lorsque l’indicateur « OPT-OUT » est à Blanc, l’indicateur  « CUM ou  EX » permet de mentionner le sens d’attribution de l’OST sur Flux dans les opérations de distribution sur des valeurs exclusivement comptabilisées en UNT.</w:t>
            </w:r>
          </w:p>
          <w:p w:rsidR="009274ED" w:rsidRPr="009274ED" w:rsidRDefault="009274ED" w:rsidP="009274ED">
            <w:pPr>
              <w:spacing w:beforeLines="60" w:before="144"/>
              <w:jc w:val="both"/>
              <w:rPr>
                <w:rFonts w:cs="Tahoma"/>
                <w:szCs w:val="21"/>
                <w:lang w:val="fr-FR" w:eastAsia="fr-FR"/>
              </w:rPr>
            </w:pPr>
            <w:r w:rsidRPr="009274ED">
              <w:rPr>
                <w:rFonts w:cs="Tahoma"/>
                <w:szCs w:val="21"/>
                <w:lang w:val="fr-FR" w:eastAsia="fr-FR"/>
              </w:rPr>
              <w:t xml:space="preserve">En revanche, les OST de Réorganisation ne supportent que l’indicateur « OPT-OUT », qui engendrera l’annulation de l’instruction d’origine sans transformation de celle-ci. </w:t>
            </w:r>
          </w:p>
          <w:p w:rsidR="009274ED" w:rsidRPr="009274ED" w:rsidRDefault="009274ED" w:rsidP="009274ED">
            <w:pPr>
              <w:spacing w:beforeLines="60" w:before="144"/>
              <w:jc w:val="both"/>
              <w:rPr>
                <w:rFonts w:cs="Tahoma"/>
                <w:szCs w:val="21"/>
                <w:lang w:val="fr-FR" w:eastAsia="fr-FR"/>
              </w:rPr>
            </w:pPr>
            <w:r w:rsidRPr="009274ED">
              <w:rPr>
                <w:rFonts w:cs="Tahoma"/>
                <w:szCs w:val="21"/>
                <w:lang w:val="fr-FR" w:eastAsia="fr-FR"/>
              </w:rPr>
              <w:t>L’indicateur OPT OUT nécessitera donc une gestion de l’OST sur flux en bilatéral.</w:t>
            </w:r>
          </w:p>
          <w:p w:rsidR="009274ED" w:rsidRPr="009274ED" w:rsidRDefault="009274ED" w:rsidP="009274ED">
            <w:pPr>
              <w:spacing w:beforeLines="60" w:before="144"/>
              <w:jc w:val="both"/>
              <w:rPr>
                <w:rFonts w:cs="Tahoma"/>
                <w:szCs w:val="21"/>
                <w:lang w:val="fr-FR" w:eastAsia="fr-FR"/>
              </w:rPr>
            </w:pPr>
            <w:r w:rsidRPr="009274ED">
              <w:rPr>
                <w:rFonts w:cs="Tahoma"/>
                <w:szCs w:val="21"/>
                <w:lang w:val="fr-FR" w:eastAsia="fr-FR"/>
              </w:rPr>
              <w:t xml:space="preserve">(Cf. doc </w:t>
            </w:r>
            <w:proofErr w:type="spellStart"/>
            <w:r w:rsidRPr="009274ED">
              <w:rPr>
                <w:rFonts w:cs="Tahoma"/>
                <w:szCs w:val="21"/>
                <w:lang w:val="fr-FR" w:eastAsia="fr-FR"/>
              </w:rPr>
              <w:t>Régles</w:t>
            </w:r>
            <w:proofErr w:type="spellEnd"/>
            <w:r w:rsidRPr="009274ED">
              <w:rPr>
                <w:rFonts w:cs="Tahoma"/>
                <w:szCs w:val="21"/>
                <w:lang w:val="fr-FR" w:eastAsia="fr-FR"/>
              </w:rPr>
              <w:t xml:space="preserve"> de Gestion T2S Indicateurs OST Flux cf. DSD Euroclear </w:t>
            </w:r>
            <w:proofErr w:type="spellStart"/>
            <w:r w:rsidRPr="009274ED">
              <w:rPr>
                <w:rFonts w:cs="Tahoma"/>
                <w:szCs w:val="21"/>
                <w:lang w:val="fr-FR" w:eastAsia="fr-FR"/>
              </w:rPr>
              <w:t>Market</w:t>
            </w:r>
            <w:proofErr w:type="spellEnd"/>
            <w:r w:rsidRPr="009274ED">
              <w:rPr>
                <w:rFonts w:cs="Tahoma"/>
                <w:szCs w:val="21"/>
                <w:lang w:val="fr-FR" w:eastAsia="fr-FR"/>
              </w:rPr>
              <w:t xml:space="preserve"> Claim et Transformations).</w:t>
            </w:r>
          </w:p>
          <w:p w:rsidR="0081511D" w:rsidRDefault="009274ED" w:rsidP="009274ED">
            <w:pPr>
              <w:spacing w:before="120"/>
              <w:jc w:val="both"/>
              <w:rPr>
                <w:rFonts w:cs="Tahoma"/>
                <w:szCs w:val="21"/>
                <w:lang w:val="fr-FR" w:eastAsia="fr-FR"/>
              </w:rPr>
            </w:pPr>
            <w:r w:rsidRPr="009274ED">
              <w:rPr>
                <w:rFonts w:cs="Tahoma"/>
                <w:szCs w:val="21"/>
                <w:lang w:val="fr-FR" w:eastAsia="fr-FR"/>
              </w:rPr>
              <w:t xml:space="preserve">A titre d’information complémentaire, le tableau des combinaisons possibles des critères additionnels de </w:t>
            </w:r>
            <w:proofErr w:type="spellStart"/>
            <w:r w:rsidRPr="009274ED">
              <w:rPr>
                <w:rFonts w:cs="Tahoma"/>
                <w:szCs w:val="21"/>
                <w:lang w:val="fr-FR" w:eastAsia="fr-FR"/>
              </w:rPr>
              <w:t>matching</w:t>
            </w:r>
            <w:proofErr w:type="spellEnd"/>
            <w:r w:rsidRPr="009274ED">
              <w:rPr>
                <w:rFonts w:cs="Tahoma"/>
                <w:szCs w:val="21"/>
                <w:lang w:val="fr-FR" w:eastAsia="fr-FR"/>
              </w:rPr>
              <w:t xml:space="preserve"> est rappelé dans l’annexe 1 page 43 du document ci-dessous :</w:t>
            </w:r>
          </w:p>
          <w:p w:rsidR="009274ED" w:rsidRPr="00113071" w:rsidRDefault="009274ED" w:rsidP="009274ED">
            <w:pPr>
              <w:spacing w:before="120"/>
              <w:jc w:val="both"/>
              <w:rPr>
                <w:rFonts w:eastAsia="MS Mincho" w:cs="Times New Roman"/>
                <w:noProof/>
                <w:szCs w:val="32"/>
                <w:lang w:val="fr-FR"/>
              </w:rPr>
            </w:pPr>
            <w:r>
              <w:rPr>
                <w:rFonts w:eastAsia="MS Mincho" w:cs="Times New Roman"/>
                <w:noProof/>
                <w:szCs w:val="32"/>
                <w:lang w:val="fr-FR"/>
              </w:rPr>
              <w:object w:dxaOrig="206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35pt;height:68pt" o:ole="">
                  <v:imagedata r:id="rId8" o:title=""/>
                </v:shape>
                <o:OLEObject Type="Embed" ProgID="AcroExch.Document.11" ShapeID="_x0000_i1025" DrawAspect="Icon" ObjectID="_1534220677" r:id="rId9"/>
              </w:object>
            </w:r>
          </w:p>
        </w:tc>
      </w:tr>
      <w:tr w:rsidR="0081511D" w:rsidRPr="00C90EAB"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Pr="00FD2FD6" w:rsidRDefault="0081511D" w:rsidP="0081511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113071" w:rsidTr="0091257E">
        <w:tc>
          <w:tcPr>
            <w:tcW w:w="2093"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Liens avec d’autres pratiques</w:t>
            </w:r>
          </w:p>
        </w:tc>
        <w:tc>
          <w:tcPr>
            <w:tcW w:w="7513" w:type="dxa"/>
            <w:tcBorders>
              <w:bottom w:val="single" w:sz="4" w:space="0" w:color="auto"/>
            </w:tcBorders>
          </w:tcPr>
          <w:p w:rsidR="009274ED" w:rsidRDefault="009274ED" w:rsidP="009274ED">
            <w:pPr>
              <w:pStyle w:val="ListParagraph"/>
              <w:numPr>
                <w:ilvl w:val="0"/>
                <w:numId w:val="3"/>
              </w:numPr>
              <w:spacing w:before="120"/>
              <w:ind w:left="318" w:hanging="284"/>
              <w:contextualSpacing w:val="0"/>
              <w:jc w:val="both"/>
              <w:rPr>
                <w:rFonts w:eastAsia="MS Mincho" w:cs="Times New Roman"/>
                <w:noProof/>
                <w:szCs w:val="32"/>
                <w:lang w:val="fr-FR"/>
              </w:rPr>
            </w:pPr>
            <w:r>
              <w:rPr>
                <w:rFonts w:eastAsia="MS Mincho" w:cs="Times New Roman"/>
                <w:noProof/>
                <w:szCs w:val="32"/>
                <w:lang w:val="fr-FR"/>
              </w:rPr>
              <w:t>MS-MATCH-CRITE-01</w:t>
            </w:r>
          </w:p>
          <w:p w:rsidR="009274ED" w:rsidRDefault="009274ED" w:rsidP="009274ED">
            <w:pPr>
              <w:pStyle w:val="ListParagraph"/>
              <w:numPr>
                <w:ilvl w:val="0"/>
                <w:numId w:val="3"/>
              </w:numPr>
              <w:spacing w:before="120"/>
              <w:ind w:left="318" w:hanging="284"/>
              <w:contextualSpacing w:val="0"/>
              <w:jc w:val="both"/>
              <w:rPr>
                <w:rFonts w:eastAsia="MS Mincho" w:cs="Times New Roman"/>
                <w:noProof/>
                <w:szCs w:val="32"/>
                <w:lang w:val="fr-FR"/>
              </w:rPr>
            </w:pPr>
            <w:r>
              <w:rPr>
                <w:rFonts w:eastAsia="MS Mincho" w:cs="Times New Roman"/>
                <w:noProof/>
                <w:szCs w:val="32"/>
                <w:lang w:val="fr-FR"/>
              </w:rPr>
              <w:t>MS-MATCH-CRITE-02</w:t>
            </w:r>
            <w:r w:rsidRPr="009274ED">
              <w:rPr>
                <w:rFonts w:eastAsia="MS Mincho" w:cs="Times New Roman"/>
                <w:noProof/>
                <w:szCs w:val="32"/>
                <w:lang w:val="fr-FR"/>
              </w:rPr>
              <w:t xml:space="preserve"> </w:t>
            </w:r>
          </w:p>
          <w:p w:rsidR="009274ED" w:rsidRPr="009274ED" w:rsidRDefault="009274ED" w:rsidP="009274ED">
            <w:pPr>
              <w:pStyle w:val="ListParagraph"/>
              <w:numPr>
                <w:ilvl w:val="0"/>
                <w:numId w:val="3"/>
              </w:numPr>
              <w:spacing w:before="120"/>
              <w:ind w:left="318" w:hanging="284"/>
              <w:contextualSpacing w:val="0"/>
              <w:jc w:val="both"/>
              <w:rPr>
                <w:rFonts w:eastAsia="MS Mincho" w:cs="Times New Roman"/>
                <w:noProof/>
                <w:szCs w:val="32"/>
                <w:lang w:val="fr-FR"/>
              </w:rPr>
            </w:pPr>
            <w:r w:rsidRPr="009274ED">
              <w:rPr>
                <w:rFonts w:eastAsia="MS Mincho" w:cs="Times New Roman"/>
                <w:noProof/>
                <w:szCs w:val="32"/>
              </w:rPr>
              <w:t>MS-SETTL-CESSIONSTEMP-01</w:t>
            </w:r>
          </w:p>
          <w:p w:rsidR="0081511D" w:rsidRPr="009274ED" w:rsidRDefault="009274ED" w:rsidP="009274ED">
            <w:pPr>
              <w:pStyle w:val="ListParagraph"/>
              <w:numPr>
                <w:ilvl w:val="0"/>
                <w:numId w:val="3"/>
              </w:numPr>
              <w:spacing w:before="120"/>
              <w:ind w:left="318" w:hanging="284"/>
              <w:contextualSpacing w:val="0"/>
              <w:jc w:val="both"/>
              <w:rPr>
                <w:rFonts w:eastAsia="MS Mincho" w:cs="Times New Roman"/>
                <w:noProof/>
                <w:szCs w:val="32"/>
                <w:lang w:val="fr-FR"/>
              </w:rPr>
            </w:pPr>
            <w:r w:rsidRPr="009274ED">
              <w:rPr>
                <w:rFonts w:eastAsia="MS Mincho" w:cs="Times New Roman"/>
                <w:noProof/>
                <w:szCs w:val="32"/>
              </w:rPr>
              <w:lastRenderedPageBreak/>
              <w:t>MS-SETTL-CESSIONSTEMP-02</w:t>
            </w:r>
          </w:p>
        </w:tc>
      </w:tr>
    </w:tbl>
    <w:p w:rsidR="001E0D83" w:rsidRPr="009274ED" w:rsidRDefault="001E0D83" w:rsidP="00D103DA">
      <w:pPr>
        <w:spacing w:after="0" w:line="240" w:lineRule="auto"/>
        <w:rPr>
          <w:rFonts w:eastAsia="MS Mincho" w:cs="Times New Roman"/>
          <w:noProof/>
          <w:szCs w:val="32"/>
        </w:rPr>
      </w:pPr>
    </w:p>
    <w:p w:rsidR="0081511D" w:rsidRPr="009274ED" w:rsidRDefault="0081511D" w:rsidP="00D103DA">
      <w:pPr>
        <w:spacing w:after="0" w:line="240" w:lineRule="auto"/>
        <w:rPr>
          <w:rFonts w:eastAsia="MS Mincho" w:cs="Times New Roman"/>
          <w:noProof/>
          <w:szCs w:val="32"/>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1E0D83" w:rsidRPr="00C90EAB" w:rsidTr="0081511D">
        <w:trPr>
          <w:gridAfter w:val="1"/>
          <w:wAfter w:w="30" w:type="dxa"/>
        </w:trPr>
        <w:tc>
          <w:tcPr>
            <w:tcW w:w="2093"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483" w:type="dxa"/>
          </w:tcPr>
          <w:p w:rsidR="009274ED" w:rsidRPr="009274ED" w:rsidRDefault="009274ED" w:rsidP="009274ED">
            <w:pPr>
              <w:spacing w:before="120"/>
              <w:jc w:val="both"/>
              <w:rPr>
                <w:rFonts w:cs="Tahoma"/>
                <w:szCs w:val="21"/>
                <w:lang w:val="fr-FR" w:eastAsia="fr-FR"/>
              </w:rPr>
            </w:pPr>
            <w:r w:rsidRPr="009274ED">
              <w:rPr>
                <w:rFonts w:cs="Tahoma"/>
                <w:szCs w:val="21"/>
                <w:lang w:val="fr-FR" w:eastAsia="fr-FR"/>
              </w:rPr>
              <w:t>Ces critères additionnels de matching sont disponibles dans T2S sur toutes les instructions de règlement/livraison avec matching, soit toutes à l’exclusion des instructions FOP already matched.</w:t>
            </w:r>
          </w:p>
          <w:p w:rsidR="009274ED" w:rsidRPr="009274ED" w:rsidRDefault="009274ED" w:rsidP="009274ED">
            <w:pPr>
              <w:spacing w:before="120"/>
              <w:jc w:val="both"/>
              <w:rPr>
                <w:rFonts w:cs="Tahoma"/>
                <w:szCs w:val="21"/>
                <w:lang w:val="fr-FR" w:eastAsia="fr-FR"/>
              </w:rPr>
            </w:pPr>
            <w:r w:rsidRPr="009274ED">
              <w:rPr>
                <w:rFonts w:cs="Tahoma"/>
                <w:szCs w:val="21"/>
                <w:lang w:val="fr-FR" w:eastAsia="fr-FR"/>
              </w:rPr>
              <w:t>L’utilisation du service FOP Already Matched ne générera aucune OST sur flux, à l’identique du positionnement d’un indicateur « OPT-OUT » sur une instruction classique. Ce service sera notamment utilisé pour les transferts de portefeuille (PTF) et les Dépôts d’OST.</w:t>
            </w:r>
          </w:p>
          <w:p w:rsidR="009274ED" w:rsidRPr="009274ED" w:rsidRDefault="009274ED" w:rsidP="009274ED">
            <w:pPr>
              <w:spacing w:before="120"/>
              <w:jc w:val="both"/>
              <w:rPr>
                <w:rFonts w:cs="Tahoma"/>
                <w:szCs w:val="21"/>
                <w:lang w:val="fr-FR" w:eastAsia="fr-FR"/>
              </w:rPr>
            </w:pPr>
            <w:r w:rsidRPr="009274ED">
              <w:rPr>
                <w:rFonts w:cs="Tahoma"/>
                <w:szCs w:val="21"/>
                <w:lang w:val="fr-FR" w:eastAsia="fr-FR"/>
              </w:rPr>
              <w:t>Après analyse, il apparait que deux points s’opposent ou peuvent s’opposer à l’utilisation de ces critères additionnels de matching :</w:t>
            </w:r>
          </w:p>
          <w:p w:rsidR="009274ED" w:rsidRPr="009274ED" w:rsidRDefault="009274ED" w:rsidP="009274ED">
            <w:pPr>
              <w:spacing w:before="120"/>
              <w:jc w:val="both"/>
              <w:rPr>
                <w:rFonts w:cs="Tahoma"/>
                <w:szCs w:val="21"/>
                <w:lang w:val="fr-FR" w:eastAsia="fr-FR"/>
              </w:rPr>
            </w:pPr>
          </w:p>
          <w:p w:rsidR="009274ED" w:rsidRDefault="009274ED" w:rsidP="009274ED">
            <w:pPr>
              <w:pStyle w:val="ListParagraph"/>
              <w:numPr>
                <w:ilvl w:val="0"/>
                <w:numId w:val="13"/>
              </w:numPr>
              <w:jc w:val="both"/>
              <w:rPr>
                <w:rFonts w:eastAsia="MS Mincho" w:cs="Times New Roman"/>
                <w:noProof/>
                <w:szCs w:val="32"/>
                <w:lang w:val="fr-FR"/>
              </w:rPr>
            </w:pPr>
            <w:r>
              <w:rPr>
                <w:rFonts w:eastAsia="MS Mincho" w:cs="Times New Roman"/>
                <w:noProof/>
                <w:szCs w:val="32"/>
                <w:lang w:val="fr-FR"/>
              </w:rPr>
              <w:t>Le risque d’augmentation du mismatching</w:t>
            </w:r>
          </w:p>
          <w:p w:rsidR="009274ED" w:rsidRPr="009274ED" w:rsidRDefault="009274ED" w:rsidP="009274ED">
            <w:pPr>
              <w:spacing w:before="120"/>
              <w:jc w:val="both"/>
              <w:rPr>
                <w:rFonts w:cs="Tahoma"/>
                <w:szCs w:val="21"/>
                <w:lang w:val="fr-FR" w:eastAsia="fr-FR"/>
              </w:rPr>
            </w:pPr>
            <w:r w:rsidRPr="009274ED">
              <w:rPr>
                <w:rFonts w:cs="Tahoma"/>
                <w:szCs w:val="21"/>
                <w:lang w:val="fr-FR" w:eastAsia="fr-FR"/>
              </w:rPr>
              <w:t>Les opérateurs du marché des cessions temporaires notamment sont réticents à l’utilisation de ces critères additionnels de matching qui pourraient potentiellement augmenter le taux de non appariement.</w:t>
            </w:r>
          </w:p>
          <w:p w:rsidR="009274ED" w:rsidRPr="009274ED" w:rsidRDefault="009274ED" w:rsidP="009274ED">
            <w:pPr>
              <w:spacing w:before="120"/>
              <w:jc w:val="both"/>
              <w:rPr>
                <w:rFonts w:cs="Tahoma"/>
                <w:szCs w:val="21"/>
                <w:lang w:val="fr-FR" w:eastAsia="fr-FR"/>
              </w:rPr>
            </w:pPr>
          </w:p>
          <w:p w:rsidR="009274ED" w:rsidRDefault="009274ED" w:rsidP="009274ED">
            <w:pPr>
              <w:pStyle w:val="ListParagraph"/>
              <w:numPr>
                <w:ilvl w:val="0"/>
                <w:numId w:val="13"/>
              </w:numPr>
              <w:jc w:val="both"/>
              <w:rPr>
                <w:rFonts w:eastAsia="MS Mincho" w:cs="Times New Roman"/>
                <w:noProof/>
                <w:szCs w:val="32"/>
                <w:lang w:val="fr-FR"/>
              </w:rPr>
            </w:pPr>
            <w:r w:rsidRPr="00F35262">
              <w:rPr>
                <w:rFonts w:eastAsia="MS Mincho" w:cs="Times New Roman"/>
                <w:noProof/>
                <w:szCs w:val="32"/>
                <w:lang w:val="fr-FR"/>
              </w:rPr>
              <w:t>Impact fiscal</w:t>
            </w:r>
          </w:p>
          <w:p w:rsidR="009274ED" w:rsidRPr="009274ED" w:rsidRDefault="009274ED" w:rsidP="009274ED">
            <w:pPr>
              <w:spacing w:before="120"/>
              <w:jc w:val="both"/>
              <w:rPr>
                <w:rFonts w:cs="Tahoma"/>
                <w:szCs w:val="21"/>
                <w:lang w:val="fr-FR" w:eastAsia="fr-FR"/>
              </w:rPr>
            </w:pPr>
            <w:r w:rsidRPr="009274ED">
              <w:rPr>
                <w:rFonts w:cs="Tahoma"/>
                <w:szCs w:val="21"/>
                <w:lang w:val="fr-FR" w:eastAsia="fr-FR"/>
              </w:rPr>
              <w:t>L’utilisation des critères additionnels de matching CUM/EX, ou OPT OUT/OPT IN, et en particulier les indicateurs EX et OPT OUT, entraîne une opacité sur les OST sur flux qui ne sont plus détectables automatiquement par les systèmes d’information des TCC. La responsabilité de ces derniers pourrait ainsi être engagée car ils sont responsables vis-à-vis de l’Administration Fiscale de la collecte des informations fiscales ainsi que des montants collectés.</w:t>
            </w:r>
          </w:p>
          <w:p w:rsidR="009274ED" w:rsidRPr="009274ED" w:rsidRDefault="009274ED" w:rsidP="009274ED">
            <w:pPr>
              <w:spacing w:before="120"/>
              <w:jc w:val="both"/>
              <w:rPr>
                <w:rFonts w:cs="Tahoma"/>
                <w:szCs w:val="21"/>
                <w:lang w:val="fr-FR" w:eastAsia="fr-FR"/>
              </w:rPr>
            </w:pPr>
            <w:r w:rsidRPr="009274ED">
              <w:rPr>
                <w:rFonts w:cs="Tahoma"/>
                <w:szCs w:val="21"/>
                <w:lang w:val="fr-FR" w:eastAsia="fr-FR"/>
              </w:rPr>
              <w:t>En effet, ils pourraient notamment être tenus responsables, de façon directe ou indirecte, d’opérations d’arbitrage fiscal.</w:t>
            </w:r>
          </w:p>
          <w:p w:rsidR="009274ED" w:rsidRPr="009274ED" w:rsidRDefault="009274ED" w:rsidP="009274ED">
            <w:pPr>
              <w:spacing w:before="120"/>
              <w:jc w:val="both"/>
              <w:rPr>
                <w:rFonts w:cs="Tahoma"/>
                <w:szCs w:val="21"/>
                <w:lang w:val="fr-FR" w:eastAsia="fr-FR"/>
              </w:rPr>
            </w:pPr>
          </w:p>
          <w:p w:rsidR="009274ED" w:rsidRDefault="009274ED" w:rsidP="009274ED">
            <w:pPr>
              <w:pStyle w:val="ListParagraph"/>
              <w:numPr>
                <w:ilvl w:val="0"/>
                <w:numId w:val="13"/>
              </w:numPr>
              <w:jc w:val="both"/>
              <w:rPr>
                <w:rFonts w:eastAsia="MS Mincho" w:cs="Times New Roman"/>
                <w:noProof/>
                <w:szCs w:val="32"/>
                <w:lang w:val="fr-FR"/>
              </w:rPr>
            </w:pPr>
            <w:r>
              <w:rPr>
                <w:rFonts w:eastAsia="MS Mincho" w:cs="Times New Roman"/>
                <w:noProof/>
                <w:szCs w:val="32"/>
                <w:lang w:val="fr-FR"/>
              </w:rPr>
              <w:t>Conclusion</w:t>
            </w:r>
          </w:p>
          <w:p w:rsidR="009274ED" w:rsidRPr="009274ED" w:rsidRDefault="009274ED" w:rsidP="009274ED">
            <w:pPr>
              <w:spacing w:before="120"/>
              <w:jc w:val="both"/>
              <w:rPr>
                <w:rFonts w:cs="Tahoma"/>
                <w:szCs w:val="21"/>
                <w:lang w:val="fr-FR" w:eastAsia="fr-FR"/>
              </w:rPr>
            </w:pPr>
            <w:r w:rsidRPr="009274ED">
              <w:rPr>
                <w:rFonts w:cs="Tahoma"/>
                <w:szCs w:val="21"/>
                <w:lang w:val="fr-FR" w:eastAsia="fr-FR"/>
              </w:rPr>
              <w:t xml:space="preserve">Il importe donc d’être très </w:t>
            </w:r>
            <w:proofErr w:type="gramStart"/>
            <w:r w:rsidRPr="009274ED">
              <w:rPr>
                <w:rFonts w:cs="Tahoma"/>
                <w:szCs w:val="21"/>
                <w:lang w:val="fr-FR" w:eastAsia="fr-FR"/>
              </w:rPr>
              <w:t>prudents</w:t>
            </w:r>
            <w:proofErr w:type="gramEnd"/>
            <w:r w:rsidRPr="009274ED">
              <w:rPr>
                <w:rFonts w:cs="Tahoma"/>
                <w:szCs w:val="21"/>
                <w:lang w:val="fr-FR" w:eastAsia="fr-FR"/>
              </w:rPr>
              <w:t xml:space="preserve"> dans l’utilisation de ces indicateurs.</w:t>
            </w:r>
          </w:p>
          <w:p w:rsidR="009274ED" w:rsidRPr="009274ED" w:rsidRDefault="009274ED" w:rsidP="009274ED">
            <w:pPr>
              <w:spacing w:before="120"/>
              <w:jc w:val="both"/>
              <w:rPr>
                <w:rFonts w:cs="Tahoma"/>
                <w:szCs w:val="21"/>
                <w:lang w:val="fr-FR" w:eastAsia="fr-FR"/>
              </w:rPr>
            </w:pPr>
          </w:p>
          <w:p w:rsidR="009274ED" w:rsidRPr="009274ED" w:rsidRDefault="009274ED" w:rsidP="009274ED">
            <w:pPr>
              <w:spacing w:before="120"/>
              <w:jc w:val="both"/>
              <w:rPr>
                <w:rFonts w:cs="Tahoma"/>
                <w:szCs w:val="21"/>
                <w:lang w:val="fr-FR" w:eastAsia="fr-FR"/>
              </w:rPr>
            </w:pPr>
            <w:r w:rsidRPr="009274ED">
              <w:rPr>
                <w:rFonts w:cs="Tahoma"/>
                <w:szCs w:val="21"/>
                <w:lang w:val="fr-FR" w:eastAsia="fr-FR"/>
              </w:rPr>
              <w:t>A ce stade, et sans préjuger de la suite donnée à cette question d’impact fiscal, aucune pratique générale n’est définie dans la mesure où les Teneurs de Comptes Conservateur appliqueront les instructions de leurs clients. Il importe que ces derniers soient avertis de l’éventuel impact fiscal de l’utilisation de ces indicateurs et de la prudence nécessaire dans leur utilisation.</w:t>
            </w:r>
          </w:p>
          <w:p w:rsidR="009274ED" w:rsidRPr="009274ED" w:rsidRDefault="009274ED" w:rsidP="009274ED">
            <w:pPr>
              <w:spacing w:before="120"/>
              <w:jc w:val="both"/>
              <w:rPr>
                <w:rFonts w:cs="Tahoma"/>
                <w:szCs w:val="21"/>
                <w:lang w:val="fr-FR" w:eastAsia="fr-FR"/>
              </w:rPr>
            </w:pPr>
            <w:r w:rsidRPr="009274ED">
              <w:rPr>
                <w:rFonts w:cs="Tahoma"/>
                <w:szCs w:val="21"/>
                <w:lang w:val="fr-FR" w:eastAsia="fr-FR"/>
              </w:rPr>
              <w:t xml:space="preserve">La recommandation dans le cadre des cessions temporaires est de renseigner à </w:t>
            </w:r>
            <w:r w:rsidRPr="009274ED">
              <w:rPr>
                <w:rFonts w:cs="Tahoma"/>
                <w:szCs w:val="21"/>
                <w:lang w:val="fr-FR" w:eastAsia="fr-FR"/>
              </w:rPr>
              <w:lastRenderedPageBreak/>
              <w:t>blanc ces indicateurs.</w:t>
            </w:r>
          </w:p>
          <w:p w:rsidR="009274ED" w:rsidRPr="009274ED" w:rsidRDefault="009274ED" w:rsidP="009274ED">
            <w:pPr>
              <w:spacing w:before="120"/>
              <w:jc w:val="both"/>
              <w:rPr>
                <w:rFonts w:cs="Tahoma"/>
                <w:szCs w:val="21"/>
                <w:lang w:val="fr-FR" w:eastAsia="fr-FR"/>
              </w:rPr>
            </w:pPr>
            <w:r w:rsidRPr="009274ED">
              <w:rPr>
                <w:rFonts w:cs="Tahoma"/>
                <w:szCs w:val="21"/>
                <w:lang w:val="fr-FR" w:eastAsia="fr-FR"/>
              </w:rPr>
              <w:t>A priori, il semblerait utile d’appliquer cette recommandation à toutes les activités sous réserve de l’instruction client.</w:t>
            </w:r>
            <w:bookmarkStart w:id="0" w:name="_GoBack"/>
            <w:bookmarkEnd w:id="0"/>
          </w:p>
          <w:p w:rsidR="009274ED" w:rsidRPr="009274ED" w:rsidRDefault="009274ED" w:rsidP="009274ED">
            <w:pPr>
              <w:spacing w:before="120"/>
              <w:jc w:val="both"/>
              <w:rPr>
                <w:rFonts w:cs="Tahoma"/>
                <w:szCs w:val="21"/>
                <w:lang w:val="fr-FR" w:eastAsia="fr-FR"/>
              </w:rPr>
            </w:pPr>
          </w:p>
          <w:p w:rsidR="009274ED" w:rsidRPr="00F35262" w:rsidRDefault="009274ED" w:rsidP="009274ED">
            <w:pPr>
              <w:pStyle w:val="ListParagraph"/>
              <w:numPr>
                <w:ilvl w:val="0"/>
                <w:numId w:val="13"/>
              </w:numPr>
              <w:jc w:val="both"/>
              <w:rPr>
                <w:rFonts w:eastAsia="MS Mincho" w:cs="Times New Roman"/>
                <w:noProof/>
                <w:szCs w:val="32"/>
                <w:lang w:val="fr-FR"/>
              </w:rPr>
            </w:pPr>
            <w:r w:rsidRPr="00F35262">
              <w:rPr>
                <w:rFonts w:eastAsia="MS Mincho" w:cs="Times New Roman"/>
                <w:noProof/>
                <w:szCs w:val="32"/>
                <w:lang w:val="fr-FR"/>
              </w:rPr>
              <w:t xml:space="preserve">Règles spécifiques à appliquer à la période de bascule à T2S : </w:t>
            </w:r>
          </w:p>
          <w:p w:rsidR="009274ED" w:rsidRPr="009274ED" w:rsidRDefault="009274ED" w:rsidP="009274ED">
            <w:pPr>
              <w:spacing w:before="120"/>
              <w:jc w:val="both"/>
              <w:rPr>
                <w:rFonts w:cs="Tahoma"/>
                <w:szCs w:val="21"/>
                <w:lang w:val="fr-FR" w:eastAsia="fr-FR"/>
              </w:rPr>
            </w:pPr>
            <w:r w:rsidRPr="009274ED">
              <w:rPr>
                <w:rFonts w:cs="Tahoma"/>
                <w:szCs w:val="21"/>
                <w:lang w:val="fr-FR" w:eastAsia="fr-FR"/>
              </w:rPr>
              <w:t>Les opérations migrées ne peuvent à priori comporter ces indicateurs qui n’existent pas dans les outils actuels. Les seules opérations qui devraient être concernées dans le cadre de la migration seraient celles qui seraient resaisies suite à rejet après le point de non retour. A priori, elles ne devraient pas comporter ces critères additionnels, l’instruction resaisie devant être identique à l’instruction d’origine.</w:t>
            </w:r>
          </w:p>
          <w:p w:rsidR="009274ED" w:rsidRPr="009274ED" w:rsidRDefault="009274ED" w:rsidP="009274ED">
            <w:pPr>
              <w:spacing w:before="120"/>
              <w:jc w:val="both"/>
              <w:rPr>
                <w:rFonts w:cs="Tahoma"/>
                <w:szCs w:val="21"/>
                <w:lang w:val="fr-FR" w:eastAsia="fr-FR"/>
              </w:rPr>
            </w:pPr>
          </w:p>
          <w:p w:rsidR="00AA1FDB" w:rsidRPr="009274ED" w:rsidRDefault="009274ED" w:rsidP="009274ED">
            <w:pPr>
              <w:spacing w:before="120"/>
              <w:jc w:val="both"/>
              <w:rPr>
                <w:rFonts w:cs="Tahoma"/>
                <w:szCs w:val="21"/>
                <w:lang w:val="fr-FR" w:eastAsia="fr-FR"/>
              </w:rPr>
            </w:pPr>
            <w:r w:rsidRPr="009274ED">
              <w:rPr>
                <w:rFonts w:cs="Tahoma"/>
                <w:szCs w:val="21"/>
                <w:lang w:val="fr-FR" w:eastAsia="fr-FR"/>
              </w:rPr>
              <w:t>Néanmoins, comme ils seront disponibles dans le système, la recommandation est de ne pas les utiliser considérant également les impacts fiscaux évoqués plus haut.</w:t>
            </w:r>
          </w:p>
        </w:tc>
      </w:tr>
      <w:tr w:rsidR="0081511D" w:rsidRPr="00C90EAB" w:rsidTr="0081511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gridSpan w:val="2"/>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Tr="0081511D">
        <w:trPr>
          <w:gridAfter w:val="1"/>
          <w:wAfter w:w="30" w:type="dxa"/>
        </w:trPr>
        <w:tc>
          <w:tcPr>
            <w:tcW w:w="2093" w:type="dxa"/>
            <w:tcBorders>
              <w:bottom w:val="single" w:sz="4" w:space="0" w:color="auto"/>
            </w:tcBorders>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85743B" w:rsidRDefault="0085743B">
      <w:pPr>
        <w:rPr>
          <w:rFonts w:eastAsia="MS Mincho" w:cs="Times New Roman"/>
          <w:b/>
          <w:caps/>
          <w:noProof/>
          <w:sz w:val="32"/>
          <w:szCs w:val="32"/>
          <w:lang w:val="fr-FR"/>
        </w:rPr>
      </w:pPr>
    </w:p>
    <w:p w:rsidR="00140482" w:rsidRPr="004F6025" w:rsidRDefault="00140482"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140482" w:rsidRPr="00C90EAB" w:rsidTr="000E651B">
        <w:trPr>
          <w:trHeight w:val="338"/>
        </w:trPr>
        <w:tc>
          <w:tcPr>
            <w:tcW w:w="2302" w:type="dxa"/>
            <w:vMerge w:val="restart"/>
            <w:shd w:val="clear" w:color="auto" w:fill="BFBFBF" w:themeFill="background1" w:themeFillShade="BF"/>
          </w:tcPr>
          <w:p w:rsidR="00140482" w:rsidRPr="00D103DA" w:rsidRDefault="00140482"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gridSpan w:val="2"/>
          </w:tcPr>
          <w:p w:rsidR="00140482" w:rsidRPr="00785264" w:rsidRDefault="00140482"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gridSpan w:val="3"/>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p>
        </w:tc>
        <w:tc>
          <w:tcPr>
            <w:tcW w:w="2438" w:type="dxa"/>
            <w:gridSpan w:val="2"/>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gridSpan w:val="2"/>
            <w:tcBorders>
              <w:bottom w:val="single" w:sz="4" w:space="0" w:color="auto"/>
            </w:tcBorders>
          </w:tcPr>
          <w:p w:rsidR="00140482" w:rsidRDefault="009274ED"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rsidTr="000E651B">
        <w:trPr>
          <w:gridAfter w:val="1"/>
          <w:wAfter w:w="40" w:type="dxa"/>
          <w:trHeight w:val="337"/>
        </w:trPr>
        <w:tc>
          <w:tcPr>
            <w:tcW w:w="2302" w:type="dxa"/>
            <w:tcBorders>
              <w:left w:val="nil"/>
              <w:right w:val="nil"/>
            </w:tcBorders>
            <w:shd w:val="clear" w:color="auto" w:fill="FFFFFF" w:themeFill="background1"/>
          </w:tcPr>
          <w:p w:rsidR="00140482" w:rsidRDefault="00140482"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r>
      <w:tr w:rsidR="00140482" w:rsidTr="000E651B">
        <w:trPr>
          <w:gridAfter w:val="1"/>
          <w:wAfter w:w="40" w:type="dxa"/>
        </w:trPr>
        <w:tc>
          <w:tcPr>
            <w:tcW w:w="2302" w:type="dxa"/>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rsidR="00140482" w:rsidRPr="00922B9C" w:rsidRDefault="00140482" w:rsidP="00922B9C">
            <w:pPr>
              <w:autoSpaceDE w:val="0"/>
              <w:autoSpaceDN w:val="0"/>
              <w:adjustRightInd w:val="0"/>
              <w:jc w:val="center"/>
              <w:rPr>
                <w:rFonts w:ascii="MS Shell Dlg 2" w:hAnsi="MS Shell Dlg 2" w:cs="MS Shell Dlg 2"/>
                <w:sz w:val="16"/>
                <w:szCs w:val="16"/>
                <w:lang w:val="fr-FR"/>
              </w:rPr>
            </w:pPr>
            <w:r>
              <w:rPr>
                <w:lang w:val="fr-FR"/>
              </w:rPr>
              <w:t xml:space="preserve">Oui  </w:t>
            </w:r>
            <w:r w:rsidR="0085743B">
              <w:rPr>
                <w:rFonts w:ascii="Wingdings" w:hAnsi="Wingdings" w:cs="Wingdings"/>
                <w:sz w:val="26"/>
                <w:szCs w:val="26"/>
              </w:rPr>
              <w:t></w:t>
            </w:r>
          </w:p>
          <w:p w:rsidR="00140482" w:rsidRPr="00E35B86" w:rsidRDefault="00140482" w:rsidP="000E651B">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rsidR="00140482" w:rsidRDefault="00140482" w:rsidP="0085743B">
            <w:pPr>
              <w:tabs>
                <w:tab w:val="left" w:pos="9356"/>
              </w:tabs>
              <w:ind w:right="-279"/>
              <w:jc w:val="center"/>
              <w:rPr>
                <w:lang w:val="fr-FR"/>
              </w:rPr>
            </w:pPr>
            <w:r>
              <w:rPr>
                <w:lang w:val="fr-FR"/>
              </w:rPr>
              <w:t xml:space="preserve">Non  </w:t>
            </w:r>
            <w:r w:rsidR="008B1A1E">
              <w:rPr>
                <w:rFonts w:ascii="Wingdings" w:hAnsi="Wingdings" w:cs="Wingdings"/>
                <w:sz w:val="26"/>
                <w:szCs w:val="26"/>
              </w:rPr>
              <w:t></w:t>
            </w:r>
          </w:p>
        </w:tc>
      </w:tr>
    </w:tbl>
    <w:p w:rsidR="00BA6B0A" w:rsidRDefault="00BA6B0A" w:rsidP="001E0D83">
      <w:pPr>
        <w:spacing w:after="0" w:line="240" w:lineRule="auto"/>
        <w:rPr>
          <w:rFonts w:eastAsia="MS Mincho" w:cs="Times New Roman"/>
          <w:noProof/>
          <w:szCs w:val="32"/>
          <w:lang w:val="fr-FR"/>
        </w:rPr>
      </w:pPr>
    </w:p>
    <w:sectPr w:rsidR="00BA6B0A" w:rsidSect="006D6846">
      <w:headerReference w:type="default" r:id="rId10"/>
      <w:footerReference w:type="default" r:id="rId11"/>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33A" w:rsidRDefault="00BA433A" w:rsidP="006D6846">
      <w:pPr>
        <w:spacing w:after="0" w:line="240" w:lineRule="auto"/>
      </w:pPr>
      <w:r>
        <w:separator/>
      </w:r>
    </w:p>
  </w:endnote>
  <w:endnote w:type="continuationSeparator" w:id="0">
    <w:p w:rsidR="00BA433A" w:rsidRDefault="00BA433A"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EC776F" w:rsidRDefault="00EC776F">
        <w:pPr>
          <w:pStyle w:val="Footer"/>
          <w:jc w:val="right"/>
        </w:pPr>
        <w:r>
          <w:fldChar w:fldCharType="begin"/>
        </w:r>
        <w:r>
          <w:instrText xml:space="preserve"> PAGE   \* MERGEFORMAT </w:instrText>
        </w:r>
        <w:r>
          <w:fldChar w:fldCharType="separate"/>
        </w:r>
        <w:r w:rsidR="009274ED">
          <w:rPr>
            <w:noProof/>
          </w:rPr>
          <w:t>3</w:t>
        </w:r>
        <w:r>
          <w:rPr>
            <w:noProof/>
          </w:rPr>
          <w:fldChar w:fldCharType="end"/>
        </w:r>
      </w:p>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33A" w:rsidRDefault="00BA433A" w:rsidP="006D6846">
      <w:pPr>
        <w:spacing w:after="0" w:line="240" w:lineRule="auto"/>
      </w:pPr>
      <w:r>
        <w:separator/>
      </w:r>
    </w:p>
  </w:footnote>
  <w:footnote w:type="continuationSeparator" w:id="0">
    <w:p w:rsidR="00BA433A" w:rsidRDefault="00BA433A"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EC776F" w:rsidTr="00EC776F">
      <w:tc>
        <w:tcPr>
          <w:tcW w:w="5778" w:type="dxa"/>
          <w:vAlign w:val="center"/>
        </w:tcPr>
        <w:p w:rsidR="00EC776F" w:rsidRDefault="00EC776F" w:rsidP="00EC776F">
          <w:pPr>
            <w:pStyle w:val="Header"/>
            <w:jc w:val="center"/>
            <w:rPr>
              <w:b/>
              <w:lang w:val="fr-FR"/>
            </w:rPr>
          </w:pPr>
          <w:r w:rsidRPr="007F6CFC">
            <w:rPr>
              <w:b/>
              <w:lang w:val="fr-FR"/>
            </w:rPr>
            <w:t>Groupe d’Adaptation des Pratiques de Marché T2S</w:t>
          </w:r>
        </w:p>
        <w:p w:rsidR="00EC776F" w:rsidRDefault="00EC776F" w:rsidP="00EC776F">
          <w:pPr>
            <w:pStyle w:val="Header"/>
            <w:jc w:val="center"/>
            <w:rPr>
              <w:b/>
              <w:lang w:val="fr-FR"/>
            </w:rPr>
          </w:pPr>
          <w:r>
            <w:rPr>
              <w:b/>
              <w:lang w:val="fr-FR"/>
            </w:rPr>
            <w:t>Fiche Pratique de marché</w:t>
          </w:r>
        </w:p>
      </w:tc>
      <w:tc>
        <w:tcPr>
          <w:tcW w:w="3798" w:type="dxa"/>
          <w:vAlign w:val="center"/>
        </w:tcPr>
        <w:p w:rsidR="00EC776F" w:rsidRDefault="00EC776F" w:rsidP="00EC776F">
          <w:pPr>
            <w:pStyle w:val="Header"/>
            <w:jc w:val="center"/>
            <w:rPr>
              <w:b/>
              <w:lang w:val="fr-FR"/>
            </w:rPr>
          </w:pPr>
          <w:r>
            <w:rPr>
              <w:noProof/>
            </w:rPr>
            <w:drawing>
              <wp:inline distT="0" distB="0" distL="0" distR="0" wp14:anchorId="1386AE14" wp14:editId="30D0F57B">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p>
      </w:tc>
    </w:tr>
    <w:tr w:rsidR="00EC776F" w:rsidRPr="00C90EAB" w:rsidTr="00EC776F">
      <w:tc>
        <w:tcPr>
          <w:tcW w:w="5778" w:type="dxa"/>
          <w:vAlign w:val="center"/>
        </w:tcPr>
        <w:p w:rsidR="00EC776F" w:rsidRPr="00EC776F" w:rsidRDefault="00EC776F" w:rsidP="00113071">
          <w:pPr>
            <w:pStyle w:val="Header"/>
            <w:rPr>
              <w:i/>
              <w:lang w:val="fr-FR"/>
            </w:rPr>
          </w:pPr>
          <w:r>
            <w:rPr>
              <w:i/>
              <w:lang w:val="fr-FR"/>
            </w:rPr>
            <w:t xml:space="preserve">Référence de la pratique : </w:t>
          </w:r>
          <w:r w:rsidR="009274ED" w:rsidRPr="009274ED">
            <w:rPr>
              <w:i/>
              <w:lang w:val="fr-FR"/>
            </w:rPr>
            <w:t>MS-MATCH-CRITE-03</w:t>
          </w:r>
        </w:p>
      </w:tc>
      <w:tc>
        <w:tcPr>
          <w:tcW w:w="3798" w:type="dxa"/>
          <w:vAlign w:val="center"/>
        </w:tcPr>
        <w:p w:rsidR="00EC776F" w:rsidRPr="00EC776F" w:rsidRDefault="00EC776F" w:rsidP="00EC776F">
          <w:pPr>
            <w:pStyle w:val="Header"/>
            <w:jc w:val="center"/>
            <w:rPr>
              <w:noProof/>
              <w:lang w:val="fr-FR"/>
            </w:rPr>
          </w:pPr>
        </w:p>
      </w:tc>
    </w:tr>
  </w:tbl>
  <w:p w:rsidR="00EC776F" w:rsidRPr="00C221EA" w:rsidRDefault="00EC776F">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BC7E57"/>
    <w:multiLevelType w:val="hybridMultilevel"/>
    <w:tmpl w:val="39D02832"/>
    <w:lvl w:ilvl="0" w:tplc="3D066DD0">
      <w:start w:val="1"/>
      <w:numFmt w:val="bullet"/>
      <w:lvlText w:val="-"/>
      <w:lvlJc w:val="left"/>
      <w:pPr>
        <w:ind w:left="720" w:hanging="360"/>
      </w:pPr>
      <w:rPr>
        <w:rFonts w:ascii="Calibri" w:eastAsia="MS Mincho"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D435F83"/>
    <w:multiLevelType w:val="hybridMultilevel"/>
    <w:tmpl w:val="10748E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CF65D9"/>
    <w:multiLevelType w:val="hybridMultilevel"/>
    <w:tmpl w:val="78FE2AA6"/>
    <w:lvl w:ilvl="0" w:tplc="1A465042">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11"/>
  </w:num>
  <w:num w:numId="4">
    <w:abstractNumId w:val="9"/>
  </w:num>
  <w:num w:numId="5">
    <w:abstractNumId w:val="1"/>
  </w:num>
  <w:num w:numId="6">
    <w:abstractNumId w:val="0"/>
  </w:num>
  <w:num w:numId="7">
    <w:abstractNumId w:val="3"/>
  </w:num>
  <w:num w:numId="8">
    <w:abstractNumId w:val="2"/>
  </w:num>
  <w:num w:numId="9">
    <w:abstractNumId w:val="4"/>
  </w:num>
  <w:num w:numId="10">
    <w:abstractNumId w:val="7"/>
  </w:num>
  <w:num w:numId="11">
    <w:abstractNumId w:val="5"/>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706A3"/>
    <w:rsid w:val="00075355"/>
    <w:rsid w:val="000A6C94"/>
    <w:rsid w:val="000C1C9B"/>
    <w:rsid w:val="000D11D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83DDE"/>
    <w:rsid w:val="0028538B"/>
    <w:rsid w:val="00291B60"/>
    <w:rsid w:val="00343829"/>
    <w:rsid w:val="00343B9E"/>
    <w:rsid w:val="003631EA"/>
    <w:rsid w:val="00363E89"/>
    <w:rsid w:val="003929BA"/>
    <w:rsid w:val="003A4E76"/>
    <w:rsid w:val="003B3DA4"/>
    <w:rsid w:val="003D5E9F"/>
    <w:rsid w:val="003D7060"/>
    <w:rsid w:val="00464015"/>
    <w:rsid w:val="004818D8"/>
    <w:rsid w:val="00482296"/>
    <w:rsid w:val="004F6025"/>
    <w:rsid w:val="005061BA"/>
    <w:rsid w:val="0051485E"/>
    <w:rsid w:val="00567B1D"/>
    <w:rsid w:val="00575F36"/>
    <w:rsid w:val="005C2ACA"/>
    <w:rsid w:val="00602096"/>
    <w:rsid w:val="00622E8A"/>
    <w:rsid w:val="00625541"/>
    <w:rsid w:val="00652C13"/>
    <w:rsid w:val="00674204"/>
    <w:rsid w:val="00694503"/>
    <w:rsid w:val="0069580E"/>
    <w:rsid w:val="006D6846"/>
    <w:rsid w:val="00701AE2"/>
    <w:rsid w:val="00714CE6"/>
    <w:rsid w:val="00727BF7"/>
    <w:rsid w:val="0074709E"/>
    <w:rsid w:val="00765664"/>
    <w:rsid w:val="00776CD9"/>
    <w:rsid w:val="007B7B10"/>
    <w:rsid w:val="007C7303"/>
    <w:rsid w:val="007F6CFC"/>
    <w:rsid w:val="0080446B"/>
    <w:rsid w:val="0081511D"/>
    <w:rsid w:val="00830B7B"/>
    <w:rsid w:val="00837334"/>
    <w:rsid w:val="00841E84"/>
    <w:rsid w:val="0085743B"/>
    <w:rsid w:val="008800A4"/>
    <w:rsid w:val="00893912"/>
    <w:rsid w:val="008A30A6"/>
    <w:rsid w:val="008B1A1E"/>
    <w:rsid w:val="008C734C"/>
    <w:rsid w:val="008E4A8A"/>
    <w:rsid w:val="0091257E"/>
    <w:rsid w:val="0092276F"/>
    <w:rsid w:val="00922A8E"/>
    <w:rsid w:val="00922B9C"/>
    <w:rsid w:val="009274ED"/>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134F"/>
    <w:rsid w:val="00B26098"/>
    <w:rsid w:val="00B31057"/>
    <w:rsid w:val="00B44E11"/>
    <w:rsid w:val="00B540C8"/>
    <w:rsid w:val="00B62B1E"/>
    <w:rsid w:val="00B727D8"/>
    <w:rsid w:val="00B9491F"/>
    <w:rsid w:val="00BA433A"/>
    <w:rsid w:val="00BA66D3"/>
    <w:rsid w:val="00BA6B0A"/>
    <w:rsid w:val="00BC7577"/>
    <w:rsid w:val="00BE4C60"/>
    <w:rsid w:val="00C070B0"/>
    <w:rsid w:val="00C1000A"/>
    <w:rsid w:val="00C221EA"/>
    <w:rsid w:val="00C33595"/>
    <w:rsid w:val="00C3423B"/>
    <w:rsid w:val="00C43D15"/>
    <w:rsid w:val="00C57689"/>
    <w:rsid w:val="00C60EC8"/>
    <w:rsid w:val="00C65EB2"/>
    <w:rsid w:val="00C77C0A"/>
    <w:rsid w:val="00C90EAB"/>
    <w:rsid w:val="00CB0F41"/>
    <w:rsid w:val="00CC7462"/>
    <w:rsid w:val="00CE6DA3"/>
    <w:rsid w:val="00CF605A"/>
    <w:rsid w:val="00D103DA"/>
    <w:rsid w:val="00D12DE8"/>
    <w:rsid w:val="00D252A7"/>
    <w:rsid w:val="00D50DB6"/>
    <w:rsid w:val="00D529B3"/>
    <w:rsid w:val="00D53037"/>
    <w:rsid w:val="00D5515F"/>
    <w:rsid w:val="00DB106F"/>
    <w:rsid w:val="00DD071C"/>
    <w:rsid w:val="00E351C1"/>
    <w:rsid w:val="00E35B86"/>
    <w:rsid w:val="00E438E3"/>
    <w:rsid w:val="00E52109"/>
    <w:rsid w:val="00E62EAE"/>
    <w:rsid w:val="00EA5560"/>
    <w:rsid w:val="00EB44AB"/>
    <w:rsid w:val="00EC776F"/>
    <w:rsid w:val="00EF2D14"/>
    <w:rsid w:val="00F00BF4"/>
    <w:rsid w:val="00F358FF"/>
    <w:rsid w:val="00F35CCA"/>
    <w:rsid w:val="00F84B2D"/>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styleId="CommentText">
    <w:name w:val="annotation text"/>
    <w:basedOn w:val="Normal"/>
    <w:link w:val="CommentTextChar"/>
    <w:uiPriority w:val="99"/>
    <w:unhideWhenUsed/>
    <w:rsid w:val="009274ED"/>
    <w:pPr>
      <w:spacing w:line="240" w:lineRule="auto"/>
    </w:pPr>
    <w:rPr>
      <w:sz w:val="20"/>
      <w:szCs w:val="20"/>
    </w:rPr>
  </w:style>
  <w:style w:type="character" w:customStyle="1" w:styleId="CommentTextChar">
    <w:name w:val="Comment Text Char"/>
    <w:basedOn w:val="DefaultParagraphFont"/>
    <w:link w:val="CommentText"/>
    <w:uiPriority w:val="99"/>
    <w:rsid w:val="009274ED"/>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paragraph" w:styleId="CommentText">
    <w:name w:val="annotation text"/>
    <w:basedOn w:val="Normal"/>
    <w:link w:val="CommentTextChar"/>
    <w:uiPriority w:val="99"/>
    <w:unhideWhenUsed/>
    <w:rsid w:val="009274ED"/>
    <w:pPr>
      <w:spacing w:line="240" w:lineRule="auto"/>
    </w:pPr>
    <w:rPr>
      <w:sz w:val="20"/>
      <w:szCs w:val="20"/>
    </w:rPr>
  </w:style>
  <w:style w:type="character" w:customStyle="1" w:styleId="CommentTextChar">
    <w:name w:val="Comment Text Char"/>
    <w:basedOn w:val="DefaultParagraphFont"/>
    <w:link w:val="CommentText"/>
    <w:uiPriority w:val="99"/>
    <w:rsid w:val="009274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940</Words>
  <Characters>5358</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3</cp:revision>
  <cp:lastPrinted>2015-10-09T10:36:00Z</cp:lastPrinted>
  <dcterms:created xsi:type="dcterms:W3CDTF">2016-09-01T05:31:00Z</dcterms:created>
  <dcterms:modified xsi:type="dcterms:W3CDTF">2016-09-01T05:38:00Z</dcterms:modified>
</cp:coreProperties>
</file>