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826" w:rsidRDefault="006D6846" w:rsidP="00FB4C3B">
      <w:pPr>
        <w:tabs>
          <w:tab w:val="left" w:pos="9356"/>
        </w:tabs>
        <w:ind w:right="-279"/>
        <w:rPr>
          <w:sz w:val="36"/>
          <w:lang w:val="fr-FR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8240" behindDoc="0" locked="0" layoutInCell="1" allowOverlap="1" wp14:anchorId="2F2E2E68" wp14:editId="19B70AE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763520" cy="1381760"/>
            <wp:effectExtent l="0" t="0" r="0" b="8890"/>
            <wp:wrapSquare wrapText="bothSides"/>
            <wp:docPr id="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5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3520" cy="1381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7"/>
        <w:gridCol w:w="2948"/>
        <w:gridCol w:w="1984"/>
      </w:tblGrid>
      <w:tr w:rsidR="00EF6826" w:rsidTr="00F311D4">
        <w:tc>
          <w:tcPr>
            <w:tcW w:w="1417" w:type="dxa"/>
            <w:vMerge w:val="restart"/>
            <w:shd w:val="clear" w:color="auto" w:fill="BFBFBF" w:themeFill="background1" w:themeFillShade="BF"/>
          </w:tcPr>
          <w:p w:rsidR="00EF6826" w:rsidRPr="004F6025" w:rsidRDefault="00EF6826" w:rsidP="000D6CF7">
            <w:pPr>
              <w:tabs>
                <w:tab w:val="left" w:pos="9356"/>
              </w:tabs>
              <w:ind w:right="227"/>
              <w:rPr>
                <w:b/>
                <w:lang w:val="fr-FR"/>
              </w:rPr>
            </w:pPr>
            <w:proofErr w:type="spellStart"/>
            <w:r w:rsidRPr="004F6025">
              <w:rPr>
                <w:b/>
                <w:lang w:val="fr-FR"/>
              </w:rPr>
              <w:t>Versioning</w:t>
            </w:r>
            <w:proofErr w:type="spellEnd"/>
          </w:p>
        </w:tc>
        <w:tc>
          <w:tcPr>
            <w:tcW w:w="2948" w:type="dxa"/>
            <w:shd w:val="clear" w:color="auto" w:fill="F2F2F2" w:themeFill="background1" w:themeFillShade="F2"/>
          </w:tcPr>
          <w:p w:rsidR="00EF6826" w:rsidRDefault="00EF6826" w:rsidP="004F6340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Version</w:t>
            </w:r>
          </w:p>
        </w:tc>
        <w:tc>
          <w:tcPr>
            <w:tcW w:w="1984" w:type="dxa"/>
          </w:tcPr>
          <w:p w:rsidR="00EF6826" w:rsidRDefault="00EF6826" w:rsidP="006262A0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1.</w:t>
            </w:r>
            <w:r w:rsidR="006262A0">
              <w:rPr>
                <w:lang w:val="fr-FR"/>
              </w:rPr>
              <w:t>6</w:t>
            </w:r>
          </w:p>
        </w:tc>
      </w:tr>
      <w:tr w:rsidR="00EF6826" w:rsidRPr="00FB4C3B" w:rsidTr="00F311D4">
        <w:tc>
          <w:tcPr>
            <w:tcW w:w="1417" w:type="dxa"/>
            <w:vMerge/>
            <w:shd w:val="clear" w:color="auto" w:fill="BFBFBF" w:themeFill="background1" w:themeFillShade="BF"/>
          </w:tcPr>
          <w:p w:rsidR="00EF6826" w:rsidRPr="004F6025" w:rsidRDefault="00EF6826" w:rsidP="004F6340">
            <w:pPr>
              <w:tabs>
                <w:tab w:val="left" w:pos="9356"/>
              </w:tabs>
              <w:ind w:right="-279"/>
              <w:rPr>
                <w:b/>
                <w:lang w:val="fr-FR"/>
              </w:rPr>
            </w:pPr>
          </w:p>
        </w:tc>
        <w:tc>
          <w:tcPr>
            <w:tcW w:w="2948" w:type="dxa"/>
            <w:shd w:val="clear" w:color="auto" w:fill="F2F2F2" w:themeFill="background1" w:themeFillShade="F2"/>
          </w:tcPr>
          <w:p w:rsidR="00EF6826" w:rsidRDefault="00EF6826" w:rsidP="000D6CF7">
            <w:pPr>
              <w:tabs>
                <w:tab w:val="left" w:pos="9356"/>
              </w:tabs>
              <w:ind w:right="57"/>
              <w:rPr>
                <w:lang w:val="fr-FR"/>
              </w:rPr>
            </w:pPr>
            <w:r>
              <w:rPr>
                <w:lang w:val="fr-FR"/>
              </w:rPr>
              <w:t>Date d’émission de la version</w:t>
            </w:r>
          </w:p>
        </w:tc>
        <w:tc>
          <w:tcPr>
            <w:tcW w:w="1984" w:type="dxa"/>
          </w:tcPr>
          <w:p w:rsidR="00EF6826" w:rsidRDefault="00F311D4" w:rsidP="00D21D26">
            <w:pPr>
              <w:tabs>
                <w:tab w:val="left" w:pos="9356"/>
              </w:tabs>
              <w:ind w:right="-279"/>
              <w:rPr>
                <w:lang w:val="fr-FR"/>
              </w:rPr>
            </w:pPr>
            <w:r>
              <w:rPr>
                <w:lang w:val="fr-FR"/>
              </w:rPr>
              <w:t>14 Novemb</w:t>
            </w:r>
            <w:r w:rsidR="006262A0">
              <w:rPr>
                <w:lang w:val="fr-FR"/>
              </w:rPr>
              <w:t>r</w:t>
            </w:r>
            <w:r>
              <w:rPr>
                <w:lang w:val="fr-FR"/>
              </w:rPr>
              <w:t>e</w:t>
            </w:r>
            <w:r w:rsidR="006262A0">
              <w:rPr>
                <w:lang w:val="fr-FR"/>
              </w:rPr>
              <w:t xml:space="preserve"> </w:t>
            </w:r>
            <w:r w:rsidR="00EF6826">
              <w:rPr>
                <w:lang w:val="fr-FR"/>
              </w:rPr>
              <w:t>2016</w:t>
            </w:r>
          </w:p>
        </w:tc>
      </w:tr>
    </w:tbl>
    <w:p w:rsidR="00765664" w:rsidRPr="00EF6826" w:rsidRDefault="00EF6826" w:rsidP="00EF6826">
      <w:pPr>
        <w:tabs>
          <w:tab w:val="left" w:pos="9356"/>
        </w:tabs>
        <w:ind w:right="-279"/>
        <w:rPr>
          <w:b/>
          <w:noProof/>
          <w:sz w:val="52"/>
          <w:lang w:val="fr-FR"/>
        </w:rPr>
      </w:pPr>
      <w:r>
        <w:rPr>
          <w:sz w:val="36"/>
          <w:lang w:val="fr-FR"/>
        </w:rPr>
        <w:br w:type="textWrapping" w:clear="all"/>
      </w:r>
      <w:r w:rsidR="00FB4C3B" w:rsidRPr="00EF6826">
        <w:rPr>
          <w:b/>
          <w:noProof/>
          <w:sz w:val="52"/>
          <w:lang w:val="fr-FR"/>
        </w:rPr>
        <w:t>Liste des p</w:t>
      </w:r>
      <w:r w:rsidR="00765664" w:rsidRPr="00EF6826">
        <w:rPr>
          <w:b/>
          <w:noProof/>
          <w:sz w:val="52"/>
          <w:lang w:val="fr-FR"/>
        </w:rPr>
        <w:t>ratique</w:t>
      </w:r>
      <w:r w:rsidR="00FB4C3B" w:rsidRPr="00EF6826">
        <w:rPr>
          <w:b/>
          <w:noProof/>
          <w:sz w:val="52"/>
          <w:lang w:val="fr-FR"/>
        </w:rPr>
        <w:t>s</w:t>
      </w:r>
      <w:r w:rsidR="00765664" w:rsidRPr="00EF6826">
        <w:rPr>
          <w:b/>
          <w:noProof/>
          <w:sz w:val="52"/>
          <w:lang w:val="fr-FR"/>
        </w:rPr>
        <w:t xml:space="preserve"> de </w:t>
      </w:r>
      <w:r w:rsidR="00FB4C3B" w:rsidRPr="00EF6826">
        <w:rPr>
          <w:b/>
          <w:noProof/>
          <w:sz w:val="52"/>
          <w:lang w:val="fr-FR"/>
        </w:rPr>
        <w:t>m</w:t>
      </w:r>
      <w:r w:rsidR="00765664" w:rsidRPr="00EF6826">
        <w:rPr>
          <w:b/>
          <w:noProof/>
          <w:sz w:val="52"/>
          <w:lang w:val="fr-FR"/>
        </w:rPr>
        <w:t>arché</w:t>
      </w:r>
      <w:r w:rsidR="00FB4C3B" w:rsidRPr="00EF6826">
        <w:rPr>
          <w:b/>
          <w:noProof/>
          <w:sz w:val="52"/>
          <w:lang w:val="fr-FR"/>
        </w:rPr>
        <w:t xml:space="preserve"> instruites</w:t>
      </w:r>
    </w:p>
    <w:p w:rsidR="00B26098" w:rsidRPr="004F6025" w:rsidRDefault="00B26098" w:rsidP="00B26098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tbl>
      <w:tblPr>
        <w:tblStyle w:val="Grilledutableau"/>
        <w:tblW w:w="14658" w:type="dxa"/>
        <w:tblLook w:val="04A0" w:firstRow="1" w:lastRow="0" w:firstColumn="1" w:lastColumn="0" w:noHBand="0" w:noVBand="1"/>
      </w:tblPr>
      <w:tblGrid>
        <w:gridCol w:w="2608"/>
        <w:gridCol w:w="4623"/>
        <w:gridCol w:w="1928"/>
        <w:gridCol w:w="5499"/>
      </w:tblGrid>
      <w:tr w:rsidR="000D6CF7" w:rsidRPr="00F311D4" w:rsidTr="008A06B9">
        <w:trPr>
          <w:tblHeader/>
        </w:trPr>
        <w:tc>
          <w:tcPr>
            <w:tcW w:w="260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F6826" w:rsidRPr="00D103DA" w:rsidRDefault="00EF6826" w:rsidP="00FB4C3B">
            <w:pPr>
              <w:jc w:val="center"/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Référence de la pratique</w:t>
            </w:r>
          </w:p>
        </w:tc>
        <w:tc>
          <w:tcPr>
            <w:tcW w:w="462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F6826" w:rsidRPr="00FB4C3B" w:rsidRDefault="00EF6826" w:rsidP="00FB4C3B">
            <w:pPr>
              <w:jc w:val="center"/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 w:rsidRPr="00FB4C3B">
              <w:rPr>
                <w:rFonts w:eastAsia="MS Mincho" w:cs="Times New Roman"/>
                <w:b/>
                <w:noProof/>
                <w:szCs w:val="32"/>
                <w:lang w:val="fr-FR"/>
              </w:rPr>
              <w:t>Nom de la pratique</w:t>
            </w:r>
          </w:p>
        </w:tc>
        <w:tc>
          <w:tcPr>
            <w:tcW w:w="192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F6826" w:rsidRPr="00FB4C3B" w:rsidRDefault="00EF6826" w:rsidP="000D6CF7">
            <w:pPr>
              <w:jc w:val="center"/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 w:rsidRPr="00FB4C3B">
              <w:rPr>
                <w:rFonts w:eastAsia="MS Mincho" w:cs="Times New Roman"/>
                <w:b/>
                <w:noProof/>
                <w:szCs w:val="32"/>
                <w:lang w:val="fr-FR"/>
              </w:rPr>
              <w:t>Statut de la pratique</w:t>
            </w:r>
          </w:p>
        </w:tc>
        <w:tc>
          <w:tcPr>
            <w:tcW w:w="549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F6826" w:rsidRDefault="008A06B9" w:rsidP="000D6CF7">
            <w:pPr>
              <w:jc w:val="center"/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r>
              <w:rPr>
                <w:rFonts w:eastAsia="MS Mincho" w:cs="Times New Roman"/>
                <w:b/>
                <w:noProof/>
                <w:szCs w:val="32"/>
                <w:lang w:val="fr-FR"/>
              </w:rPr>
              <w:t>Lien vers la pratique de marché</w:t>
            </w:r>
          </w:p>
          <w:p w:rsidR="00BE59BB" w:rsidRDefault="00BE59BB" w:rsidP="00BE59BB">
            <w:pPr>
              <w:jc w:val="center"/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hyperlink r:id="rId9" w:history="1">
              <w:r>
                <w:rPr>
                  <w:rStyle w:val="Lienhypertexte"/>
                  <w:rFonts w:eastAsia="MS Mincho" w:cs="Times New Roman"/>
                  <w:b/>
                  <w:noProof/>
                  <w:szCs w:val="32"/>
                  <w:lang w:val="fr-FR"/>
                </w:rPr>
                <w:t>http://www.afti.asso.fr/normespreconisations-professionnelles/chartes-guides--conventions-de-bonnes-pratiques/adaptation-des-pratiques-de-marches-de-la-place-francaise-a-t2s</w:t>
              </w:r>
            </w:hyperlink>
          </w:p>
          <w:p w:rsidR="00BE59BB" w:rsidRPr="00FB4C3B" w:rsidRDefault="00BE59BB" w:rsidP="000D6CF7">
            <w:pPr>
              <w:jc w:val="center"/>
              <w:rPr>
                <w:rFonts w:eastAsia="MS Mincho" w:cs="Times New Roman"/>
                <w:b/>
                <w:noProof/>
                <w:szCs w:val="32"/>
                <w:lang w:val="fr-FR"/>
              </w:rPr>
            </w:pPr>
            <w:bookmarkStart w:id="0" w:name="_GoBack"/>
            <w:bookmarkEnd w:id="0"/>
          </w:p>
        </w:tc>
      </w:tr>
      <w:tr w:rsidR="000D6CF7" w:rsidRPr="00DC6F13" w:rsidTr="008A06B9">
        <w:tc>
          <w:tcPr>
            <w:tcW w:w="2608" w:type="dxa"/>
            <w:shd w:val="clear" w:color="auto" w:fill="auto"/>
          </w:tcPr>
          <w:p w:rsidR="00EF6826" w:rsidRPr="00EF6826" w:rsidRDefault="00EF6826" w:rsidP="00893912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EF6826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MS-MATCH-CRITE-01</w:t>
            </w:r>
          </w:p>
        </w:tc>
        <w:tc>
          <w:tcPr>
            <w:tcW w:w="4623" w:type="dxa"/>
            <w:shd w:val="clear" w:color="auto" w:fill="auto"/>
          </w:tcPr>
          <w:p w:rsidR="00EF6826" w:rsidRPr="00EF6826" w:rsidRDefault="00EF6826" w:rsidP="00B26098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EF6826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Coordonnées d’Instruction de Règlement-Livrai</w:t>
            </w:r>
            <w:r w:rsidR="007E2E81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s</w:t>
            </w:r>
            <w:r w:rsidRPr="00EF6826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on (IRL) – Critères de matching obligatoires</w:t>
            </w:r>
          </w:p>
        </w:tc>
        <w:tc>
          <w:tcPr>
            <w:tcW w:w="1928" w:type="dxa"/>
            <w:shd w:val="clear" w:color="auto" w:fill="auto"/>
          </w:tcPr>
          <w:p w:rsidR="00EF6826" w:rsidRPr="00EF6826" w:rsidRDefault="00A01FA2" w:rsidP="00EF6826">
            <w:pPr>
              <w:jc w:val="center"/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6B7FBA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Publiée</w:t>
            </w:r>
          </w:p>
        </w:tc>
        <w:tc>
          <w:tcPr>
            <w:tcW w:w="5499" w:type="dxa"/>
          </w:tcPr>
          <w:p w:rsidR="00EF6826" w:rsidRPr="00EF6826" w:rsidRDefault="00EF6826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0D6CF7" w:rsidRPr="00EF6826" w:rsidTr="008A06B9">
        <w:tc>
          <w:tcPr>
            <w:tcW w:w="2608" w:type="dxa"/>
            <w:shd w:val="clear" w:color="auto" w:fill="auto"/>
          </w:tcPr>
          <w:p w:rsidR="00EF6826" w:rsidRPr="00EF6826" w:rsidRDefault="00EF6826" w:rsidP="00893912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EF6826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MS-MATCH-CRITE-02</w:t>
            </w:r>
          </w:p>
        </w:tc>
        <w:tc>
          <w:tcPr>
            <w:tcW w:w="4623" w:type="dxa"/>
            <w:shd w:val="clear" w:color="auto" w:fill="auto"/>
          </w:tcPr>
          <w:p w:rsidR="00EF6826" w:rsidRPr="00EF6826" w:rsidRDefault="00EF6826" w:rsidP="00B26098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EF6826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Usage du champs optionnel : client du participant du CSD</w:t>
            </w:r>
          </w:p>
        </w:tc>
        <w:tc>
          <w:tcPr>
            <w:tcW w:w="1928" w:type="dxa"/>
            <w:shd w:val="clear" w:color="auto" w:fill="auto"/>
          </w:tcPr>
          <w:p w:rsidR="00EF6826" w:rsidRPr="00EF6826" w:rsidRDefault="00250B13" w:rsidP="00FB4C3B">
            <w:pPr>
              <w:jc w:val="center"/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Publiée</w:t>
            </w:r>
          </w:p>
        </w:tc>
        <w:tc>
          <w:tcPr>
            <w:tcW w:w="5499" w:type="dxa"/>
          </w:tcPr>
          <w:p w:rsidR="00EF6826" w:rsidRPr="00EF6826" w:rsidRDefault="00EF6826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0D6CF7" w:rsidRPr="00250B13" w:rsidTr="008A06B9">
        <w:tc>
          <w:tcPr>
            <w:tcW w:w="2608" w:type="dxa"/>
            <w:shd w:val="clear" w:color="auto" w:fill="auto"/>
          </w:tcPr>
          <w:p w:rsidR="00EF6826" w:rsidRPr="00EF6826" w:rsidRDefault="00EF6826" w:rsidP="00893912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EF6826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MS-MATCH-CRITE-03</w:t>
            </w:r>
          </w:p>
        </w:tc>
        <w:tc>
          <w:tcPr>
            <w:tcW w:w="4623" w:type="dxa"/>
            <w:shd w:val="clear" w:color="auto" w:fill="auto"/>
          </w:tcPr>
          <w:p w:rsidR="00EF6826" w:rsidRPr="00EF6826" w:rsidRDefault="00EF6826" w:rsidP="00B26098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EF6826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Utilisation des critères additionnels de matching</w:t>
            </w:r>
          </w:p>
        </w:tc>
        <w:tc>
          <w:tcPr>
            <w:tcW w:w="1928" w:type="dxa"/>
            <w:shd w:val="clear" w:color="auto" w:fill="auto"/>
          </w:tcPr>
          <w:p w:rsidR="00EF6826" w:rsidRPr="00EF6826" w:rsidRDefault="00F164F9" w:rsidP="00FB4C3B">
            <w:pPr>
              <w:jc w:val="center"/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Publiée</w:t>
            </w:r>
          </w:p>
        </w:tc>
        <w:tc>
          <w:tcPr>
            <w:tcW w:w="5499" w:type="dxa"/>
          </w:tcPr>
          <w:p w:rsidR="00EF6826" w:rsidRPr="00EF6826" w:rsidRDefault="00EF6826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0D6CF7" w:rsidRPr="00EF6826" w:rsidTr="008A06B9">
        <w:tc>
          <w:tcPr>
            <w:tcW w:w="2608" w:type="dxa"/>
            <w:shd w:val="clear" w:color="auto" w:fill="auto"/>
          </w:tcPr>
          <w:p w:rsidR="00EF6826" w:rsidRPr="00EF6826" w:rsidRDefault="00EF6826" w:rsidP="00893912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EF6826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MS-SETTL-FRANCO-01</w:t>
            </w:r>
          </w:p>
        </w:tc>
        <w:tc>
          <w:tcPr>
            <w:tcW w:w="4623" w:type="dxa"/>
            <w:shd w:val="clear" w:color="auto" w:fill="auto"/>
          </w:tcPr>
          <w:p w:rsidR="00EF6826" w:rsidRPr="00EF6826" w:rsidRDefault="00EF6826" w:rsidP="00B26098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EF6826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Traitement des OST avec utilisation des Free Of Payment Without Matching</w:t>
            </w:r>
          </w:p>
        </w:tc>
        <w:tc>
          <w:tcPr>
            <w:tcW w:w="1928" w:type="dxa"/>
            <w:shd w:val="clear" w:color="auto" w:fill="auto"/>
          </w:tcPr>
          <w:p w:rsidR="00EF6826" w:rsidRPr="00EF6826" w:rsidRDefault="00CD7FAB" w:rsidP="00FB4C3B">
            <w:pPr>
              <w:jc w:val="center"/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Publiée</w:t>
            </w:r>
          </w:p>
        </w:tc>
        <w:tc>
          <w:tcPr>
            <w:tcW w:w="5499" w:type="dxa"/>
          </w:tcPr>
          <w:p w:rsidR="00EF6826" w:rsidRPr="00EF6826" w:rsidRDefault="00EF6826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0D6CF7" w:rsidRPr="00EF6826" w:rsidTr="008A06B9">
        <w:tc>
          <w:tcPr>
            <w:tcW w:w="2608" w:type="dxa"/>
            <w:shd w:val="clear" w:color="auto" w:fill="auto"/>
          </w:tcPr>
          <w:p w:rsidR="00EF6826" w:rsidRPr="00EF6826" w:rsidRDefault="00EF6826" w:rsidP="00FB4C3B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EF6826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MS-SETTL-FRANCO-02</w:t>
            </w:r>
          </w:p>
        </w:tc>
        <w:tc>
          <w:tcPr>
            <w:tcW w:w="4623" w:type="dxa"/>
            <w:shd w:val="clear" w:color="auto" w:fill="auto"/>
          </w:tcPr>
          <w:p w:rsidR="00EF6826" w:rsidRPr="00EF6826" w:rsidRDefault="00EF6826" w:rsidP="00B26098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EF6826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Transfert de portefeuille</w:t>
            </w:r>
          </w:p>
        </w:tc>
        <w:tc>
          <w:tcPr>
            <w:tcW w:w="1928" w:type="dxa"/>
            <w:shd w:val="clear" w:color="auto" w:fill="auto"/>
          </w:tcPr>
          <w:p w:rsidR="00EF6826" w:rsidRPr="00EF6826" w:rsidRDefault="00250B13" w:rsidP="00FB4C3B">
            <w:pPr>
              <w:jc w:val="center"/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Publiée</w:t>
            </w:r>
          </w:p>
        </w:tc>
        <w:tc>
          <w:tcPr>
            <w:tcW w:w="5499" w:type="dxa"/>
          </w:tcPr>
          <w:p w:rsidR="00EF6826" w:rsidRPr="00EF6826" w:rsidRDefault="00EF6826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0D6CF7" w:rsidRPr="00EF6826" w:rsidTr="008A06B9">
        <w:tc>
          <w:tcPr>
            <w:tcW w:w="2608" w:type="dxa"/>
            <w:shd w:val="clear" w:color="auto" w:fill="auto"/>
          </w:tcPr>
          <w:p w:rsidR="00EF6826" w:rsidRPr="00EF6826" w:rsidRDefault="00EF6826" w:rsidP="00FB4C3B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EF6826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MS-SETTL-FRANCO-03</w:t>
            </w:r>
          </w:p>
        </w:tc>
        <w:tc>
          <w:tcPr>
            <w:tcW w:w="4623" w:type="dxa"/>
            <w:shd w:val="clear" w:color="auto" w:fill="auto"/>
          </w:tcPr>
          <w:p w:rsidR="00EF6826" w:rsidRPr="00EF6826" w:rsidRDefault="00EF6826" w:rsidP="00B26098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EF6826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Conversions</w:t>
            </w:r>
          </w:p>
        </w:tc>
        <w:tc>
          <w:tcPr>
            <w:tcW w:w="1928" w:type="dxa"/>
            <w:shd w:val="clear" w:color="auto" w:fill="auto"/>
          </w:tcPr>
          <w:p w:rsidR="00EF6826" w:rsidRPr="00EF6826" w:rsidRDefault="00BE39D2" w:rsidP="00FB4C3B">
            <w:pPr>
              <w:jc w:val="center"/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Publiée</w:t>
            </w:r>
          </w:p>
        </w:tc>
        <w:tc>
          <w:tcPr>
            <w:tcW w:w="5499" w:type="dxa"/>
          </w:tcPr>
          <w:p w:rsidR="00EF6826" w:rsidRPr="00EF6826" w:rsidRDefault="00EF6826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0D6CF7" w:rsidRPr="00250B13" w:rsidTr="008A06B9">
        <w:tc>
          <w:tcPr>
            <w:tcW w:w="2608" w:type="dxa"/>
            <w:shd w:val="clear" w:color="auto" w:fill="auto"/>
          </w:tcPr>
          <w:p w:rsidR="00EF6826" w:rsidRPr="00EF6826" w:rsidRDefault="00EF6826" w:rsidP="00EF6826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EF6826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MS-SETTL-FRANCO-04</w:t>
            </w:r>
          </w:p>
        </w:tc>
        <w:tc>
          <w:tcPr>
            <w:tcW w:w="4623" w:type="dxa"/>
            <w:shd w:val="clear" w:color="auto" w:fill="auto"/>
          </w:tcPr>
          <w:p w:rsidR="00EF6826" w:rsidRPr="00EF6826" w:rsidRDefault="00EF6826" w:rsidP="00B26098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EF6826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Modalités d’instruction des instructions francos sans paiement</w:t>
            </w:r>
          </w:p>
        </w:tc>
        <w:tc>
          <w:tcPr>
            <w:tcW w:w="1928" w:type="dxa"/>
            <w:shd w:val="clear" w:color="auto" w:fill="auto"/>
          </w:tcPr>
          <w:p w:rsidR="00EF6826" w:rsidRPr="00EF6826" w:rsidRDefault="006262A0" w:rsidP="00FB4C3B">
            <w:pPr>
              <w:jc w:val="center"/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Publiée</w:t>
            </w:r>
          </w:p>
        </w:tc>
        <w:tc>
          <w:tcPr>
            <w:tcW w:w="5499" w:type="dxa"/>
          </w:tcPr>
          <w:p w:rsidR="00EF6826" w:rsidRPr="00EF6826" w:rsidRDefault="00EF6826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0D6CF7" w:rsidRPr="00EF6826" w:rsidTr="008A06B9">
        <w:tc>
          <w:tcPr>
            <w:tcW w:w="2608" w:type="dxa"/>
            <w:shd w:val="clear" w:color="auto" w:fill="auto"/>
          </w:tcPr>
          <w:p w:rsidR="00EF6826" w:rsidRPr="00EF6826" w:rsidRDefault="00EF6826" w:rsidP="00EF6826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EF6826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MS-SETTL-ICPG-01</w:t>
            </w:r>
          </w:p>
        </w:tc>
        <w:tc>
          <w:tcPr>
            <w:tcW w:w="4623" w:type="dxa"/>
            <w:shd w:val="clear" w:color="auto" w:fill="auto"/>
          </w:tcPr>
          <w:p w:rsidR="00EF6826" w:rsidRPr="00EF6826" w:rsidRDefault="00EF6826" w:rsidP="00B26098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EF6826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Migration des instructions positionnées en ICPG3 par les deux contreparties</w:t>
            </w:r>
          </w:p>
        </w:tc>
        <w:tc>
          <w:tcPr>
            <w:tcW w:w="1928" w:type="dxa"/>
            <w:shd w:val="clear" w:color="auto" w:fill="auto"/>
          </w:tcPr>
          <w:p w:rsidR="00EF6826" w:rsidRPr="00EF6826" w:rsidRDefault="00CD7FAB" w:rsidP="00FB4C3B">
            <w:pPr>
              <w:jc w:val="center"/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Publiée</w:t>
            </w:r>
          </w:p>
        </w:tc>
        <w:tc>
          <w:tcPr>
            <w:tcW w:w="5499" w:type="dxa"/>
          </w:tcPr>
          <w:p w:rsidR="00EF6826" w:rsidRPr="00EF6826" w:rsidRDefault="00EF6826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0D6CF7" w:rsidRPr="00250B13" w:rsidTr="008A06B9">
        <w:tc>
          <w:tcPr>
            <w:tcW w:w="2608" w:type="dxa"/>
            <w:shd w:val="clear" w:color="auto" w:fill="auto"/>
          </w:tcPr>
          <w:p w:rsidR="007E135C" w:rsidRPr="00EF6826" w:rsidRDefault="007E135C" w:rsidP="0069029F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MS-SETTL-</w:t>
            </w:r>
            <w:r w:rsidR="0069029F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CESSIONSTEMP</w:t>
            </w: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-01</w:t>
            </w:r>
          </w:p>
        </w:tc>
        <w:tc>
          <w:tcPr>
            <w:tcW w:w="4623" w:type="dxa"/>
            <w:shd w:val="clear" w:color="auto" w:fill="auto"/>
          </w:tcPr>
          <w:p w:rsidR="007E135C" w:rsidRPr="00EF6826" w:rsidRDefault="0069029F" w:rsidP="00E84990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69029F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Bascule du mode d’instruction des cessions temporaires en mode Achat / Vente et traitement en période transitoire</w:t>
            </w:r>
          </w:p>
        </w:tc>
        <w:tc>
          <w:tcPr>
            <w:tcW w:w="1928" w:type="dxa"/>
            <w:shd w:val="clear" w:color="auto" w:fill="auto"/>
          </w:tcPr>
          <w:p w:rsidR="007E135C" w:rsidRPr="00EF6826" w:rsidRDefault="00A01FA2" w:rsidP="00FB4C3B">
            <w:pPr>
              <w:jc w:val="center"/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6B7FBA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Publiée</w:t>
            </w:r>
          </w:p>
        </w:tc>
        <w:tc>
          <w:tcPr>
            <w:tcW w:w="5499" w:type="dxa"/>
          </w:tcPr>
          <w:p w:rsidR="007E135C" w:rsidRPr="00EF6826" w:rsidRDefault="007E135C" w:rsidP="00DC6F13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0D6CF7" w:rsidRPr="00250B13" w:rsidTr="008A06B9">
        <w:tc>
          <w:tcPr>
            <w:tcW w:w="2608" w:type="dxa"/>
            <w:shd w:val="clear" w:color="auto" w:fill="auto"/>
          </w:tcPr>
          <w:p w:rsidR="007E135C" w:rsidRDefault="007E135C" w:rsidP="0069029F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MS-SETTL-</w:t>
            </w:r>
            <w:r w:rsidR="0069029F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CESSIONSTEMP</w:t>
            </w: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-02</w:t>
            </w:r>
          </w:p>
        </w:tc>
        <w:tc>
          <w:tcPr>
            <w:tcW w:w="4623" w:type="dxa"/>
            <w:shd w:val="clear" w:color="auto" w:fill="auto"/>
          </w:tcPr>
          <w:p w:rsidR="007E135C" w:rsidRPr="007E135C" w:rsidRDefault="0069029F" w:rsidP="007E135C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69029F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Traitement post-T2S des cessions temporaires</w:t>
            </w:r>
          </w:p>
        </w:tc>
        <w:tc>
          <w:tcPr>
            <w:tcW w:w="1928" w:type="dxa"/>
            <w:shd w:val="clear" w:color="auto" w:fill="auto"/>
          </w:tcPr>
          <w:p w:rsidR="007E135C" w:rsidRDefault="00A01FA2" w:rsidP="00FB4C3B">
            <w:pPr>
              <w:jc w:val="center"/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6B7FBA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Publiée</w:t>
            </w:r>
          </w:p>
        </w:tc>
        <w:tc>
          <w:tcPr>
            <w:tcW w:w="5499" w:type="dxa"/>
          </w:tcPr>
          <w:p w:rsidR="007E135C" w:rsidRDefault="007E135C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0D6CF7" w:rsidRPr="00EF6826" w:rsidTr="008A06B9">
        <w:tc>
          <w:tcPr>
            <w:tcW w:w="2608" w:type="dxa"/>
            <w:shd w:val="clear" w:color="auto" w:fill="auto"/>
          </w:tcPr>
          <w:p w:rsidR="007E135C" w:rsidRDefault="007E135C" w:rsidP="007E135C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MS-SETTL-PREMAHR-01</w:t>
            </w:r>
          </w:p>
        </w:tc>
        <w:tc>
          <w:tcPr>
            <w:tcW w:w="4623" w:type="dxa"/>
            <w:shd w:val="clear" w:color="auto" w:fill="auto"/>
          </w:tcPr>
          <w:p w:rsidR="007E135C" w:rsidRPr="007E135C" w:rsidRDefault="007E135C" w:rsidP="007E135C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7E135C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Utilisation de la fonctionnalité de Hold &amp; Release</w:t>
            </w:r>
          </w:p>
        </w:tc>
        <w:tc>
          <w:tcPr>
            <w:tcW w:w="1928" w:type="dxa"/>
            <w:shd w:val="clear" w:color="auto" w:fill="auto"/>
          </w:tcPr>
          <w:p w:rsidR="007E135C" w:rsidRDefault="00CD7FAB" w:rsidP="00FB4C3B">
            <w:pPr>
              <w:jc w:val="center"/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Publiée</w:t>
            </w:r>
          </w:p>
        </w:tc>
        <w:tc>
          <w:tcPr>
            <w:tcW w:w="5499" w:type="dxa"/>
          </w:tcPr>
          <w:p w:rsidR="007E135C" w:rsidRDefault="007E135C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DC6F13" w:rsidRPr="00EF6826" w:rsidTr="008A06B9">
        <w:tc>
          <w:tcPr>
            <w:tcW w:w="2608" w:type="dxa"/>
            <w:shd w:val="clear" w:color="auto" w:fill="auto"/>
          </w:tcPr>
          <w:p w:rsidR="00DC6F13" w:rsidRDefault="00DC6F13" w:rsidP="007E135C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MS-SETTL-PRIMAIRE-01</w:t>
            </w:r>
          </w:p>
        </w:tc>
        <w:tc>
          <w:tcPr>
            <w:tcW w:w="4623" w:type="dxa"/>
            <w:shd w:val="clear" w:color="auto" w:fill="auto"/>
          </w:tcPr>
          <w:p w:rsidR="00DC6F13" w:rsidRPr="007E135C" w:rsidRDefault="00C966D2" w:rsidP="00250B13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C966D2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Traitement des instructions sur le marché primaire</w:t>
            </w:r>
          </w:p>
        </w:tc>
        <w:tc>
          <w:tcPr>
            <w:tcW w:w="1928" w:type="dxa"/>
            <w:shd w:val="clear" w:color="auto" w:fill="auto"/>
          </w:tcPr>
          <w:p w:rsidR="00DC6F13" w:rsidRDefault="00C966D2" w:rsidP="00952656">
            <w:pPr>
              <w:jc w:val="center"/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Publiée</w:t>
            </w:r>
          </w:p>
        </w:tc>
        <w:tc>
          <w:tcPr>
            <w:tcW w:w="5499" w:type="dxa"/>
          </w:tcPr>
          <w:p w:rsidR="00DC6F13" w:rsidRDefault="00DC6F13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DC6F13" w:rsidRPr="00EF6826" w:rsidTr="008A06B9">
        <w:tc>
          <w:tcPr>
            <w:tcW w:w="2608" w:type="dxa"/>
            <w:shd w:val="clear" w:color="auto" w:fill="auto"/>
          </w:tcPr>
          <w:p w:rsidR="00DC6F13" w:rsidRPr="00EF6826" w:rsidRDefault="00DC6F13" w:rsidP="00EF6826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EF6826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NE-NOMIN-SETTL-01</w:t>
            </w:r>
          </w:p>
        </w:tc>
        <w:tc>
          <w:tcPr>
            <w:tcW w:w="4623" w:type="dxa"/>
            <w:shd w:val="clear" w:color="auto" w:fill="auto"/>
          </w:tcPr>
          <w:p w:rsidR="00DC6F13" w:rsidRPr="00EF6826" w:rsidRDefault="00DC6F13" w:rsidP="00B26098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EF6826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Impact de T2S sur le nominatif</w:t>
            </w:r>
          </w:p>
        </w:tc>
        <w:tc>
          <w:tcPr>
            <w:tcW w:w="1928" w:type="dxa"/>
            <w:shd w:val="clear" w:color="auto" w:fill="auto"/>
          </w:tcPr>
          <w:p w:rsidR="00DC6F13" w:rsidRDefault="00250B13" w:rsidP="00CD7FAB">
            <w:pPr>
              <w:jc w:val="center"/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Publiée</w:t>
            </w:r>
          </w:p>
        </w:tc>
        <w:tc>
          <w:tcPr>
            <w:tcW w:w="5499" w:type="dxa"/>
          </w:tcPr>
          <w:p w:rsidR="00DC6F13" w:rsidRPr="00EF6826" w:rsidRDefault="00DC6F13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DC6F13" w:rsidRPr="00EF6826" w:rsidTr="008A06B9">
        <w:tc>
          <w:tcPr>
            <w:tcW w:w="2608" w:type="dxa"/>
            <w:shd w:val="clear" w:color="auto" w:fill="auto"/>
          </w:tcPr>
          <w:p w:rsidR="00DC6F13" w:rsidRPr="00EF6826" w:rsidRDefault="00DC6F13" w:rsidP="00EF6826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EF6826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OF-OST-RETRO-01</w:t>
            </w:r>
          </w:p>
        </w:tc>
        <w:tc>
          <w:tcPr>
            <w:tcW w:w="4623" w:type="dxa"/>
            <w:shd w:val="clear" w:color="auto" w:fill="auto"/>
          </w:tcPr>
          <w:p w:rsidR="00DC6F13" w:rsidRPr="00EF6826" w:rsidRDefault="00DC6F13" w:rsidP="00B26098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EF6826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Mode de paiement des flux cash OST hors ESES</w:t>
            </w:r>
          </w:p>
        </w:tc>
        <w:tc>
          <w:tcPr>
            <w:tcW w:w="1928" w:type="dxa"/>
            <w:shd w:val="clear" w:color="auto" w:fill="auto"/>
          </w:tcPr>
          <w:p w:rsidR="00DC6F13" w:rsidRDefault="00DC6F13" w:rsidP="00CD7FAB">
            <w:pPr>
              <w:jc w:val="center"/>
            </w:pPr>
            <w:r w:rsidRPr="00A814B5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Publiée</w:t>
            </w:r>
          </w:p>
        </w:tc>
        <w:tc>
          <w:tcPr>
            <w:tcW w:w="5499" w:type="dxa"/>
          </w:tcPr>
          <w:p w:rsidR="00DC6F13" w:rsidRPr="00EF6826" w:rsidRDefault="00DC6F13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8A06B9" w:rsidRPr="00EF6826" w:rsidTr="00337D8F">
        <w:tc>
          <w:tcPr>
            <w:tcW w:w="2608" w:type="dxa"/>
            <w:shd w:val="clear" w:color="auto" w:fill="auto"/>
          </w:tcPr>
          <w:p w:rsidR="008A06B9" w:rsidRPr="007E135C" w:rsidRDefault="008A06B9" w:rsidP="00337D8F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OF-OST-TRANSFO-01</w:t>
            </w:r>
          </w:p>
        </w:tc>
        <w:tc>
          <w:tcPr>
            <w:tcW w:w="4623" w:type="dxa"/>
            <w:shd w:val="clear" w:color="auto" w:fill="auto"/>
          </w:tcPr>
          <w:p w:rsidR="008A06B9" w:rsidRPr="007E135C" w:rsidRDefault="0052604A" w:rsidP="00337D8F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52604A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Transformations sur les OST de réorganisation obligatoire</w:t>
            </w:r>
          </w:p>
        </w:tc>
        <w:tc>
          <w:tcPr>
            <w:tcW w:w="1928" w:type="dxa"/>
            <w:shd w:val="clear" w:color="auto" w:fill="auto"/>
          </w:tcPr>
          <w:p w:rsidR="008A06B9" w:rsidRPr="00A814B5" w:rsidRDefault="00FB2D4E" w:rsidP="00337D8F">
            <w:pPr>
              <w:jc w:val="center"/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Publiée</w:t>
            </w:r>
          </w:p>
        </w:tc>
        <w:tc>
          <w:tcPr>
            <w:tcW w:w="5499" w:type="dxa"/>
          </w:tcPr>
          <w:p w:rsidR="008A06B9" w:rsidRPr="00EF6826" w:rsidRDefault="008A06B9" w:rsidP="00337D8F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DC6F13" w:rsidRPr="00250B13" w:rsidTr="008A06B9">
        <w:tc>
          <w:tcPr>
            <w:tcW w:w="2608" w:type="dxa"/>
            <w:shd w:val="clear" w:color="auto" w:fill="auto"/>
          </w:tcPr>
          <w:p w:rsidR="00DC6F13" w:rsidRPr="00EF6826" w:rsidRDefault="00DC6F13" w:rsidP="00EF6826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DC6F13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OF-FLUX-CESSIONSTEMPORAIRES-01</w:t>
            </w:r>
          </w:p>
        </w:tc>
        <w:tc>
          <w:tcPr>
            <w:tcW w:w="4623" w:type="dxa"/>
            <w:shd w:val="clear" w:color="auto" w:fill="auto"/>
          </w:tcPr>
          <w:p w:rsidR="00DC6F13" w:rsidRPr="00EF6826" w:rsidRDefault="00DC6F13" w:rsidP="00B26098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DC6F13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 xml:space="preserve">Traitement des OST sur flux dans le cadre de la bascule des cessions temporaires en mode Achat / </w:t>
            </w:r>
            <w:r w:rsidRPr="00DC6F13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lastRenderedPageBreak/>
              <w:t>Vente</w:t>
            </w:r>
          </w:p>
        </w:tc>
        <w:tc>
          <w:tcPr>
            <w:tcW w:w="1928" w:type="dxa"/>
            <w:shd w:val="clear" w:color="auto" w:fill="auto"/>
          </w:tcPr>
          <w:p w:rsidR="00DC6F13" w:rsidRPr="00A814B5" w:rsidRDefault="00F164F9" w:rsidP="00CD7FAB">
            <w:pPr>
              <w:jc w:val="center"/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lastRenderedPageBreak/>
              <w:t>Publiée</w:t>
            </w:r>
          </w:p>
        </w:tc>
        <w:tc>
          <w:tcPr>
            <w:tcW w:w="5499" w:type="dxa"/>
          </w:tcPr>
          <w:p w:rsidR="00DC6F13" w:rsidRPr="00EF6826" w:rsidRDefault="00DC6F13" w:rsidP="00061AF6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DC6F13" w:rsidRPr="00250B13" w:rsidTr="008A06B9">
        <w:tc>
          <w:tcPr>
            <w:tcW w:w="2608" w:type="dxa"/>
            <w:shd w:val="clear" w:color="auto" w:fill="auto"/>
          </w:tcPr>
          <w:p w:rsidR="00DC6F13" w:rsidRPr="00DC6F13" w:rsidRDefault="00DC6F13" w:rsidP="00EF6826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DC6F13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OF-FLUX-CESSIONSTEMPORAIRES-02</w:t>
            </w:r>
          </w:p>
        </w:tc>
        <w:tc>
          <w:tcPr>
            <w:tcW w:w="4623" w:type="dxa"/>
            <w:shd w:val="clear" w:color="auto" w:fill="auto"/>
          </w:tcPr>
          <w:p w:rsidR="00DC6F13" w:rsidRPr="00EF6826" w:rsidRDefault="00DC6F13" w:rsidP="00B26098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DC6F13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Traitement des OST sur flux sur les cessions temporaires en cible post-T2S</w:t>
            </w:r>
          </w:p>
        </w:tc>
        <w:tc>
          <w:tcPr>
            <w:tcW w:w="1928" w:type="dxa"/>
            <w:shd w:val="clear" w:color="auto" w:fill="auto"/>
          </w:tcPr>
          <w:p w:rsidR="00DC6F13" w:rsidRPr="00A814B5" w:rsidRDefault="00F164F9" w:rsidP="00CD7FAB">
            <w:pPr>
              <w:jc w:val="center"/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Publiée</w:t>
            </w:r>
          </w:p>
        </w:tc>
        <w:tc>
          <w:tcPr>
            <w:tcW w:w="5499" w:type="dxa"/>
          </w:tcPr>
          <w:p w:rsidR="00DC6F13" w:rsidRPr="00EF6826" w:rsidRDefault="00DC6F13" w:rsidP="00061AF6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DC6F13" w:rsidRPr="00EF6826" w:rsidTr="008A06B9">
        <w:tc>
          <w:tcPr>
            <w:tcW w:w="2608" w:type="dxa"/>
            <w:shd w:val="clear" w:color="auto" w:fill="auto"/>
          </w:tcPr>
          <w:p w:rsidR="00DC6F13" w:rsidRPr="00EF6826" w:rsidRDefault="00DC6F13" w:rsidP="00EF6826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OP-SETTL-MARQ-01</w:t>
            </w:r>
          </w:p>
        </w:tc>
        <w:tc>
          <w:tcPr>
            <w:tcW w:w="4623" w:type="dxa"/>
            <w:shd w:val="clear" w:color="auto" w:fill="auto"/>
          </w:tcPr>
          <w:p w:rsidR="00DC6F13" w:rsidRPr="00EF6826" w:rsidRDefault="00DC6F13" w:rsidP="00C85C85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Marquage optionnel avec un BIC11</w:t>
            </w:r>
            <w:r w:rsidRPr="00893CBF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 xml:space="preserve"> du reglement-livraison</w:t>
            </w: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 xml:space="preserve"> (Fonds)</w:t>
            </w:r>
          </w:p>
        </w:tc>
        <w:tc>
          <w:tcPr>
            <w:tcW w:w="1928" w:type="dxa"/>
            <w:shd w:val="clear" w:color="auto" w:fill="auto"/>
          </w:tcPr>
          <w:p w:rsidR="00DC6F13" w:rsidRDefault="00DC6F13" w:rsidP="00CD7FAB">
            <w:pPr>
              <w:jc w:val="center"/>
            </w:pPr>
            <w:r w:rsidRPr="00A814B5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Publiée</w:t>
            </w:r>
          </w:p>
        </w:tc>
        <w:tc>
          <w:tcPr>
            <w:tcW w:w="5499" w:type="dxa"/>
          </w:tcPr>
          <w:p w:rsidR="00DC6F13" w:rsidRPr="00EF6826" w:rsidRDefault="00DC6F13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DC6F13" w:rsidRPr="00EF6826" w:rsidTr="008A06B9">
        <w:tc>
          <w:tcPr>
            <w:tcW w:w="2608" w:type="dxa"/>
            <w:shd w:val="clear" w:color="auto" w:fill="auto"/>
          </w:tcPr>
          <w:p w:rsidR="00DC6F13" w:rsidRDefault="00DC6F13" w:rsidP="00EF6826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OP-SETTL-MONTANT-01</w:t>
            </w:r>
          </w:p>
        </w:tc>
        <w:tc>
          <w:tcPr>
            <w:tcW w:w="4623" w:type="dxa"/>
            <w:shd w:val="clear" w:color="auto" w:fill="auto"/>
          </w:tcPr>
          <w:p w:rsidR="00DC6F13" w:rsidRPr="00893CBF" w:rsidRDefault="00DC6F13" w:rsidP="00C85C85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893CBF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Optimisation du dénouement des ordres en montant</w:t>
            </w: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 xml:space="preserve"> (Fonds)</w:t>
            </w:r>
          </w:p>
        </w:tc>
        <w:tc>
          <w:tcPr>
            <w:tcW w:w="1928" w:type="dxa"/>
            <w:shd w:val="clear" w:color="auto" w:fill="auto"/>
          </w:tcPr>
          <w:p w:rsidR="00DC6F13" w:rsidRDefault="00DC6F13" w:rsidP="00CD7FAB">
            <w:pPr>
              <w:jc w:val="center"/>
            </w:pPr>
            <w:r w:rsidRPr="00A814B5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Publiée</w:t>
            </w:r>
          </w:p>
        </w:tc>
        <w:tc>
          <w:tcPr>
            <w:tcW w:w="5499" w:type="dxa"/>
          </w:tcPr>
          <w:p w:rsidR="00DC6F13" w:rsidRPr="00EF6826" w:rsidRDefault="00DC6F13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DC6F13" w:rsidRPr="00EF6826" w:rsidTr="008A06B9">
        <w:tc>
          <w:tcPr>
            <w:tcW w:w="2608" w:type="dxa"/>
            <w:shd w:val="clear" w:color="auto" w:fill="auto"/>
          </w:tcPr>
          <w:p w:rsidR="00DC6F13" w:rsidRDefault="00DC6F13" w:rsidP="00EF6826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OP-SETTL-RETARD-01</w:t>
            </w:r>
          </w:p>
        </w:tc>
        <w:tc>
          <w:tcPr>
            <w:tcW w:w="4623" w:type="dxa"/>
            <w:shd w:val="clear" w:color="auto" w:fill="auto"/>
          </w:tcPr>
          <w:p w:rsidR="00DC6F13" w:rsidRPr="00893CBF" w:rsidRDefault="00DC6F13" w:rsidP="004E2499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893CBF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 xml:space="preserve">Modalités de </w:t>
            </w: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 xml:space="preserve">règlement-livraison </w:t>
            </w:r>
            <w:r w:rsidRPr="00893CBF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en cas de retard</w:t>
            </w: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 xml:space="preserve"> (Fonds)</w:t>
            </w:r>
          </w:p>
        </w:tc>
        <w:tc>
          <w:tcPr>
            <w:tcW w:w="1928" w:type="dxa"/>
            <w:shd w:val="clear" w:color="auto" w:fill="auto"/>
          </w:tcPr>
          <w:p w:rsidR="00DC6F13" w:rsidRDefault="00DC6F13" w:rsidP="00CD7FAB">
            <w:pPr>
              <w:jc w:val="center"/>
            </w:pPr>
            <w:r w:rsidRPr="00A814B5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Publiée</w:t>
            </w:r>
          </w:p>
        </w:tc>
        <w:tc>
          <w:tcPr>
            <w:tcW w:w="5499" w:type="dxa"/>
          </w:tcPr>
          <w:p w:rsidR="00DC6F13" w:rsidRPr="00EF6826" w:rsidRDefault="00DC6F13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DC6F13" w:rsidRPr="00EF6826" w:rsidTr="008A06B9">
        <w:tc>
          <w:tcPr>
            <w:tcW w:w="2608" w:type="dxa"/>
            <w:shd w:val="clear" w:color="auto" w:fill="auto"/>
          </w:tcPr>
          <w:p w:rsidR="00DC6F13" w:rsidRDefault="00DC6F13" w:rsidP="00EF6826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OP-SETTL-TRADE-01</w:t>
            </w:r>
          </w:p>
        </w:tc>
        <w:tc>
          <w:tcPr>
            <w:tcW w:w="4623" w:type="dxa"/>
            <w:shd w:val="clear" w:color="auto" w:fill="auto"/>
          </w:tcPr>
          <w:p w:rsidR="00DC6F13" w:rsidRPr="00893CBF" w:rsidRDefault="00DC6F13" w:rsidP="00C85C85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893CBF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Définition de la trade Date</w:t>
            </w: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 xml:space="preserve"> (Fonds)</w:t>
            </w:r>
          </w:p>
        </w:tc>
        <w:tc>
          <w:tcPr>
            <w:tcW w:w="1928" w:type="dxa"/>
            <w:shd w:val="clear" w:color="auto" w:fill="auto"/>
          </w:tcPr>
          <w:p w:rsidR="00DC6F13" w:rsidRDefault="00DC6F13" w:rsidP="00CD7FAB">
            <w:pPr>
              <w:jc w:val="center"/>
            </w:pPr>
            <w:r w:rsidRPr="00A814B5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Publiée</w:t>
            </w:r>
          </w:p>
        </w:tc>
        <w:tc>
          <w:tcPr>
            <w:tcW w:w="5499" w:type="dxa"/>
          </w:tcPr>
          <w:p w:rsidR="00DC6F13" w:rsidRPr="00EF6826" w:rsidRDefault="00DC6F13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DC6F13" w:rsidRPr="00DC6F13" w:rsidTr="008A06B9">
        <w:tc>
          <w:tcPr>
            <w:tcW w:w="2608" w:type="dxa"/>
            <w:shd w:val="clear" w:color="auto" w:fill="auto"/>
          </w:tcPr>
          <w:p w:rsidR="00DC6F13" w:rsidRDefault="00DC6F13" w:rsidP="00EF6826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OP-SETTL-RLDISSOCIE-</w:t>
            </w:r>
            <w:r w:rsidRPr="00DC6F13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01</w:t>
            </w:r>
          </w:p>
        </w:tc>
        <w:tc>
          <w:tcPr>
            <w:tcW w:w="4623" w:type="dxa"/>
            <w:shd w:val="clear" w:color="auto" w:fill="auto"/>
          </w:tcPr>
          <w:p w:rsidR="00DC6F13" w:rsidRPr="00893CBF" w:rsidRDefault="00DC6F13" w:rsidP="00C85C85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Règl</w:t>
            </w:r>
            <w:r w:rsidR="008A06B9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em</w:t>
            </w: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ent-Livraison</w:t>
            </w:r>
            <w:r w:rsidRPr="00DC6F13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 xml:space="preserve"> des ordres en titres et cash dissociés</w:t>
            </w: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 xml:space="preserve"> (Fonds)</w:t>
            </w:r>
          </w:p>
        </w:tc>
        <w:tc>
          <w:tcPr>
            <w:tcW w:w="1928" w:type="dxa"/>
            <w:shd w:val="clear" w:color="auto" w:fill="auto"/>
          </w:tcPr>
          <w:p w:rsidR="00DC6F13" w:rsidRPr="00A814B5" w:rsidRDefault="00250B13" w:rsidP="00CD7FAB">
            <w:pPr>
              <w:jc w:val="center"/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Publiée</w:t>
            </w:r>
          </w:p>
        </w:tc>
        <w:tc>
          <w:tcPr>
            <w:tcW w:w="5499" w:type="dxa"/>
          </w:tcPr>
          <w:p w:rsidR="00DC6F13" w:rsidRPr="00EF6826" w:rsidRDefault="00DC6F13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  <w:tr w:rsidR="00DC6F13" w:rsidRPr="00EF6826" w:rsidTr="008A06B9">
        <w:tc>
          <w:tcPr>
            <w:tcW w:w="2608" w:type="dxa"/>
            <w:shd w:val="clear" w:color="auto" w:fill="auto"/>
          </w:tcPr>
          <w:p w:rsidR="00DC6F13" w:rsidRDefault="00DC6F13" w:rsidP="00EF6826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7E135C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RE-CPTY-AGENT-01</w:t>
            </w:r>
          </w:p>
        </w:tc>
        <w:tc>
          <w:tcPr>
            <w:tcW w:w="4623" w:type="dxa"/>
            <w:shd w:val="clear" w:color="auto" w:fill="auto"/>
          </w:tcPr>
          <w:p w:rsidR="00DC6F13" w:rsidRPr="00893CBF" w:rsidRDefault="00DC6F13" w:rsidP="00893CBF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  <w:r w:rsidRPr="007E135C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Identification de l'agent dans les confirmations</w:t>
            </w:r>
          </w:p>
        </w:tc>
        <w:tc>
          <w:tcPr>
            <w:tcW w:w="1928" w:type="dxa"/>
            <w:shd w:val="clear" w:color="auto" w:fill="auto"/>
          </w:tcPr>
          <w:p w:rsidR="00DC6F13" w:rsidRDefault="00DC6F13" w:rsidP="00CD7FAB">
            <w:pPr>
              <w:jc w:val="center"/>
            </w:pPr>
            <w:r w:rsidRPr="00A814B5">
              <w:rPr>
                <w:rFonts w:eastAsia="MS Mincho" w:cs="Times New Roman"/>
                <w:noProof/>
                <w:sz w:val="20"/>
                <w:szCs w:val="32"/>
                <w:lang w:val="fr-FR"/>
              </w:rPr>
              <w:t>Publiée</w:t>
            </w:r>
          </w:p>
        </w:tc>
        <w:tc>
          <w:tcPr>
            <w:tcW w:w="5499" w:type="dxa"/>
          </w:tcPr>
          <w:p w:rsidR="00DC6F13" w:rsidRPr="00EF6826" w:rsidRDefault="00DC6F13" w:rsidP="000D6CF7">
            <w:pPr>
              <w:rPr>
                <w:rFonts w:eastAsia="MS Mincho" w:cs="Times New Roman"/>
                <w:noProof/>
                <w:sz w:val="20"/>
                <w:szCs w:val="32"/>
                <w:lang w:val="fr-FR"/>
              </w:rPr>
            </w:pPr>
          </w:p>
        </w:tc>
      </w:tr>
    </w:tbl>
    <w:p w:rsidR="00363E89" w:rsidRDefault="00363E89" w:rsidP="001E0D83">
      <w:pPr>
        <w:spacing w:after="0" w:line="240" w:lineRule="auto"/>
        <w:rPr>
          <w:rFonts w:eastAsia="MS Mincho" w:cs="Times New Roman"/>
          <w:noProof/>
          <w:szCs w:val="32"/>
          <w:lang w:val="fr-FR"/>
        </w:rPr>
      </w:pPr>
    </w:p>
    <w:p w:rsidR="00682614" w:rsidRPr="00682614" w:rsidRDefault="00682614" w:rsidP="001E0D83">
      <w:pPr>
        <w:spacing w:after="0" w:line="240" w:lineRule="auto"/>
        <w:rPr>
          <w:rFonts w:eastAsia="MS Mincho" w:cs="Times New Roman"/>
          <w:i/>
          <w:noProof/>
          <w:sz w:val="20"/>
          <w:szCs w:val="32"/>
          <w:lang w:val="fr-FR"/>
        </w:rPr>
      </w:pPr>
      <w:r w:rsidRPr="00682614">
        <w:rPr>
          <w:rFonts w:eastAsia="MS Mincho" w:cs="Times New Roman"/>
          <w:i/>
          <w:noProof/>
          <w:sz w:val="20"/>
          <w:szCs w:val="32"/>
          <w:lang w:val="fr-FR"/>
        </w:rPr>
        <w:t>NB : les fiches diffusées sur les sites Internet des institutions</w:t>
      </w:r>
      <w:r>
        <w:rPr>
          <w:rFonts w:eastAsia="MS Mincho" w:cs="Times New Roman"/>
          <w:i/>
          <w:noProof/>
          <w:sz w:val="20"/>
          <w:szCs w:val="32"/>
          <w:lang w:val="fr-FR"/>
        </w:rPr>
        <w:t xml:space="preserve"> de place sont disponibles en français et en anglais.</w:t>
      </w:r>
    </w:p>
    <w:sectPr w:rsidR="00682614" w:rsidRPr="00682614" w:rsidSect="000D6CF7">
      <w:headerReference w:type="default" r:id="rId10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70C" w:rsidRDefault="001F770C" w:rsidP="006D6846">
      <w:pPr>
        <w:spacing w:after="0" w:line="240" w:lineRule="auto"/>
      </w:pPr>
      <w:r>
        <w:separator/>
      </w:r>
    </w:p>
  </w:endnote>
  <w:endnote w:type="continuationSeparator" w:id="0">
    <w:p w:rsidR="001F770C" w:rsidRDefault="001F770C" w:rsidP="006D6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70C" w:rsidRDefault="001F770C" w:rsidP="006D6846">
      <w:pPr>
        <w:spacing w:after="0" w:line="240" w:lineRule="auto"/>
      </w:pPr>
      <w:r>
        <w:separator/>
      </w:r>
    </w:p>
  </w:footnote>
  <w:footnote w:type="continuationSeparator" w:id="0">
    <w:p w:rsidR="001F770C" w:rsidRDefault="001F770C" w:rsidP="006D6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1BA" w:rsidRPr="007F6CFC" w:rsidRDefault="005061BA">
    <w:pPr>
      <w:pStyle w:val="En-tte"/>
      <w:rPr>
        <w:b/>
        <w:lang w:val="fr-FR"/>
      </w:rPr>
    </w:pPr>
    <w:r w:rsidRPr="007F6CFC">
      <w:rPr>
        <w:b/>
        <w:lang w:val="fr-FR"/>
      </w:rPr>
      <w:t>Groupe d’Adaptation des Pratiques de Marché T2S</w:t>
    </w:r>
  </w:p>
  <w:p w:rsidR="00C1000A" w:rsidRPr="006D6846" w:rsidRDefault="00C1000A">
    <w:pPr>
      <w:pStyle w:val="En-tte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7B0E1E"/>
    <w:multiLevelType w:val="hybridMultilevel"/>
    <w:tmpl w:val="43EAEF10"/>
    <w:lvl w:ilvl="0" w:tplc="934663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8479E7"/>
    <w:multiLevelType w:val="hybridMultilevel"/>
    <w:tmpl w:val="E1226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2F2BC6"/>
    <w:multiLevelType w:val="hybridMultilevel"/>
    <w:tmpl w:val="1C8C7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846"/>
    <w:rsid w:val="000B6AC3"/>
    <w:rsid w:val="000D6CF7"/>
    <w:rsid w:val="000F1DD0"/>
    <w:rsid w:val="001070F5"/>
    <w:rsid w:val="001747EA"/>
    <w:rsid w:val="001819CC"/>
    <w:rsid w:val="0018706B"/>
    <w:rsid w:val="001B1E38"/>
    <w:rsid w:val="001B385C"/>
    <w:rsid w:val="001D7830"/>
    <w:rsid w:val="001E0D83"/>
    <w:rsid w:val="001F770C"/>
    <w:rsid w:val="00250B13"/>
    <w:rsid w:val="003159D0"/>
    <w:rsid w:val="00363E89"/>
    <w:rsid w:val="00381232"/>
    <w:rsid w:val="003B3DA4"/>
    <w:rsid w:val="003C1C47"/>
    <w:rsid w:val="004E2499"/>
    <w:rsid w:val="004F6025"/>
    <w:rsid w:val="005061BA"/>
    <w:rsid w:val="005245F4"/>
    <w:rsid w:val="0052604A"/>
    <w:rsid w:val="005314D6"/>
    <w:rsid w:val="005D4FA5"/>
    <w:rsid w:val="006262A0"/>
    <w:rsid w:val="00630B9F"/>
    <w:rsid w:val="00662D2E"/>
    <w:rsid w:val="006818F8"/>
    <w:rsid w:val="00682614"/>
    <w:rsid w:val="0069029F"/>
    <w:rsid w:val="006B7FBA"/>
    <w:rsid w:val="006D6846"/>
    <w:rsid w:val="00727BF7"/>
    <w:rsid w:val="00765664"/>
    <w:rsid w:val="007679DC"/>
    <w:rsid w:val="007A2CE2"/>
    <w:rsid w:val="007E135C"/>
    <w:rsid w:val="007E2E81"/>
    <w:rsid w:val="007F6CFC"/>
    <w:rsid w:val="008767D6"/>
    <w:rsid w:val="008921D3"/>
    <w:rsid w:val="00893912"/>
    <w:rsid w:val="00893CBF"/>
    <w:rsid w:val="008A06B9"/>
    <w:rsid w:val="00926AD0"/>
    <w:rsid w:val="00933237"/>
    <w:rsid w:val="00952656"/>
    <w:rsid w:val="00982218"/>
    <w:rsid w:val="009934C5"/>
    <w:rsid w:val="009A4D1F"/>
    <w:rsid w:val="00A01FA2"/>
    <w:rsid w:val="00A16EDB"/>
    <w:rsid w:val="00A21489"/>
    <w:rsid w:val="00A61EC8"/>
    <w:rsid w:val="00A67F19"/>
    <w:rsid w:val="00A81FB3"/>
    <w:rsid w:val="00AB1FFF"/>
    <w:rsid w:val="00B26098"/>
    <w:rsid w:val="00B540C8"/>
    <w:rsid w:val="00B9634E"/>
    <w:rsid w:val="00BA66D3"/>
    <w:rsid w:val="00BE39D2"/>
    <w:rsid w:val="00BE4C60"/>
    <w:rsid w:val="00BE59BB"/>
    <w:rsid w:val="00BE7288"/>
    <w:rsid w:val="00C070B0"/>
    <w:rsid w:val="00C1000A"/>
    <w:rsid w:val="00C53B19"/>
    <w:rsid w:val="00C60EC8"/>
    <w:rsid w:val="00C77C0A"/>
    <w:rsid w:val="00C85C85"/>
    <w:rsid w:val="00C966D2"/>
    <w:rsid w:val="00CD7FAB"/>
    <w:rsid w:val="00D103DA"/>
    <w:rsid w:val="00D21D26"/>
    <w:rsid w:val="00D53037"/>
    <w:rsid w:val="00D77B86"/>
    <w:rsid w:val="00D81EB7"/>
    <w:rsid w:val="00DB106F"/>
    <w:rsid w:val="00DC6F13"/>
    <w:rsid w:val="00E045B9"/>
    <w:rsid w:val="00E84990"/>
    <w:rsid w:val="00EF6826"/>
    <w:rsid w:val="00F164F9"/>
    <w:rsid w:val="00F311D4"/>
    <w:rsid w:val="00F924BA"/>
    <w:rsid w:val="00FB2D4E"/>
    <w:rsid w:val="00FB4C3B"/>
    <w:rsid w:val="00FB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EFCBB1C-6205-44A0-B0A8-19B02D7E9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6846"/>
  </w:style>
  <w:style w:type="paragraph" w:styleId="Pieddepage">
    <w:name w:val="footer"/>
    <w:basedOn w:val="Normal"/>
    <w:link w:val="PieddepageCar"/>
    <w:uiPriority w:val="99"/>
    <w:unhideWhenUsed/>
    <w:rsid w:val="006D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6846"/>
  </w:style>
  <w:style w:type="paragraph" w:styleId="Textedebulles">
    <w:name w:val="Balloon Text"/>
    <w:basedOn w:val="Normal"/>
    <w:link w:val="TextedebullesCar"/>
    <w:uiPriority w:val="99"/>
    <w:semiHidden/>
    <w:unhideWhenUsed/>
    <w:rsid w:val="006D6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6846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99"/>
    <w:rsid w:val="00DB106F"/>
    <w:pPr>
      <w:tabs>
        <w:tab w:val="right" w:leader="dot" w:pos="9771"/>
      </w:tabs>
      <w:spacing w:before="120" w:after="120" w:line="240" w:lineRule="auto"/>
      <w:jc w:val="both"/>
    </w:pPr>
    <w:rPr>
      <w:rFonts w:ascii="Times New Roman" w:eastAsia="MS Mincho" w:hAnsi="Times New Roman" w:cs="Times New Roman"/>
      <w:b/>
      <w:caps/>
      <w:noProof/>
      <w:sz w:val="32"/>
      <w:szCs w:val="32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B26098"/>
    <w:pPr>
      <w:ind w:left="720"/>
      <w:contextualSpacing/>
    </w:pPr>
  </w:style>
  <w:style w:type="table" w:styleId="Grilledutableau">
    <w:name w:val="Table Grid"/>
    <w:basedOn w:val="TableauNormal"/>
    <w:uiPriority w:val="59"/>
    <w:rsid w:val="001B1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0D6C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5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fti.asso.fr/normespreconisations-professionnelles/chartes-guides--conventions-de-bonnes-pratiques/adaptation-des-pratiques-de-marches-de-la-place-francaise-a-t2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5F5C1-EA6B-430D-8938-B71850F58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Cognizant Technology Solutions</Company>
  <LinksUpToDate>false</LinksUpToDate>
  <CharactersWithSpaces>2745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Cognizant Technology Solutions</dc:creator>
  <cp:lastModifiedBy>Deciron, Isabelle</cp:lastModifiedBy>
  <cp:revision>6</cp:revision>
  <dcterms:created xsi:type="dcterms:W3CDTF">2016-10-10T11:04:00Z</dcterms:created>
  <dcterms:modified xsi:type="dcterms:W3CDTF">2016-11-16T08:36:00Z</dcterms:modified>
</cp:coreProperties>
</file>