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664" w:rsidRDefault="00765664" w:rsidP="006D6846">
      <w:pPr>
        <w:tabs>
          <w:tab w:val="left" w:pos="9356"/>
        </w:tabs>
        <w:ind w:right="-279"/>
        <w:jc w:val="center"/>
        <w:rPr>
          <w:sz w:val="36"/>
          <w:lang w:val="fr-FR"/>
        </w:rPr>
      </w:pPr>
      <w:bookmarkStart w:id="0" w:name="_GoBack"/>
      <w:bookmarkEnd w:id="0"/>
    </w:p>
    <w:p w:rsidR="00575F36" w:rsidRPr="00EC776F" w:rsidRDefault="00FA4417" w:rsidP="00AA1FDB">
      <w:pPr>
        <w:pBdr>
          <w:top w:val="single" w:sz="4" w:space="0" w:color="auto"/>
          <w:left w:val="single" w:sz="4" w:space="4" w:color="auto"/>
          <w:bottom w:val="single" w:sz="4" w:space="1" w:color="auto"/>
          <w:right w:val="single" w:sz="4" w:space="4" w:color="auto"/>
        </w:pBdr>
        <w:shd w:val="pct12" w:color="000000" w:fill="FFFFFF"/>
        <w:jc w:val="center"/>
        <w:rPr>
          <w:b/>
          <w:noProof/>
          <w:sz w:val="36"/>
          <w:lang w:val="fr-FR"/>
        </w:rPr>
      </w:pPr>
      <w:r w:rsidRPr="00FA4417">
        <w:rPr>
          <w:b/>
          <w:noProof/>
          <w:sz w:val="36"/>
          <w:lang w:val="fr-FR"/>
        </w:rPr>
        <w:t>Traitement des OST sur flux dans le cadre de la bascule des cessions temporaires en mode Achat / Vente</w:t>
      </w:r>
      <w:r>
        <w:rPr>
          <w:b/>
          <w:noProof/>
          <w:sz w:val="36"/>
          <w:lang w:val="fr-FR"/>
        </w:rPr>
        <w:t xml:space="preserve"> – Opérations non compensées par LCH SA</w:t>
      </w:r>
    </w:p>
    <w:p w:rsidR="001B1E38" w:rsidRDefault="001B1E38" w:rsidP="006D6846">
      <w:pPr>
        <w:tabs>
          <w:tab w:val="left" w:pos="9356"/>
        </w:tabs>
        <w:ind w:right="-279"/>
        <w:rPr>
          <w:lang w:val="fr-FR"/>
        </w:rPr>
      </w:pPr>
    </w:p>
    <w:tbl>
      <w:tblPr>
        <w:tblStyle w:val="TableGrid"/>
        <w:tblW w:w="0" w:type="auto"/>
        <w:tblLook w:val="04A0" w:firstRow="1" w:lastRow="0" w:firstColumn="1" w:lastColumn="0" w:noHBand="0" w:noVBand="1"/>
      </w:tblPr>
      <w:tblGrid>
        <w:gridCol w:w="2093"/>
        <w:gridCol w:w="2551"/>
        <w:gridCol w:w="4932"/>
      </w:tblGrid>
      <w:tr w:rsidR="004F6025" w:rsidTr="0091257E">
        <w:tc>
          <w:tcPr>
            <w:tcW w:w="2093" w:type="dxa"/>
            <w:vMerge w:val="restart"/>
            <w:shd w:val="clear" w:color="auto" w:fill="BFBFBF" w:themeFill="background1" w:themeFillShade="BF"/>
          </w:tcPr>
          <w:p w:rsidR="004F6025" w:rsidRPr="004F6025" w:rsidRDefault="004F6025" w:rsidP="006D6846">
            <w:pPr>
              <w:tabs>
                <w:tab w:val="left" w:pos="9356"/>
              </w:tabs>
              <w:ind w:right="-279"/>
              <w:rPr>
                <w:b/>
                <w:lang w:val="fr-FR"/>
              </w:rPr>
            </w:pPr>
            <w:proofErr w:type="spellStart"/>
            <w:r w:rsidRPr="004F6025">
              <w:rPr>
                <w:b/>
                <w:lang w:val="fr-FR"/>
              </w:rPr>
              <w:t>Versioning</w:t>
            </w:r>
            <w:proofErr w:type="spellEnd"/>
          </w:p>
        </w:tc>
        <w:tc>
          <w:tcPr>
            <w:tcW w:w="2551" w:type="dxa"/>
            <w:shd w:val="clear" w:color="auto" w:fill="F2F2F2" w:themeFill="background1" w:themeFillShade="F2"/>
          </w:tcPr>
          <w:p w:rsidR="004F6025" w:rsidRDefault="004F6025" w:rsidP="006D6846">
            <w:pPr>
              <w:tabs>
                <w:tab w:val="left" w:pos="9356"/>
              </w:tabs>
              <w:ind w:right="-279"/>
              <w:rPr>
                <w:lang w:val="fr-FR"/>
              </w:rPr>
            </w:pPr>
            <w:r>
              <w:rPr>
                <w:lang w:val="fr-FR"/>
              </w:rPr>
              <w:t>Version</w:t>
            </w:r>
          </w:p>
        </w:tc>
        <w:tc>
          <w:tcPr>
            <w:tcW w:w="4932" w:type="dxa"/>
          </w:tcPr>
          <w:p w:rsidR="004F6025" w:rsidRDefault="00FA4417" w:rsidP="00776CD9">
            <w:pPr>
              <w:tabs>
                <w:tab w:val="left" w:pos="9356"/>
              </w:tabs>
              <w:ind w:right="-279"/>
              <w:rPr>
                <w:lang w:val="fr-FR"/>
              </w:rPr>
            </w:pPr>
            <w:r>
              <w:rPr>
                <w:lang w:val="fr-FR"/>
              </w:rPr>
              <w:t>1</w:t>
            </w:r>
            <w:r w:rsidR="00140482">
              <w:rPr>
                <w:lang w:val="fr-FR"/>
              </w:rPr>
              <w:t>.</w:t>
            </w:r>
            <w:r w:rsidR="00776CD9">
              <w:rPr>
                <w:lang w:val="fr-FR"/>
              </w:rPr>
              <w:t>0</w:t>
            </w:r>
          </w:p>
        </w:tc>
      </w:tr>
      <w:tr w:rsidR="004F6025" w:rsidRPr="00AA1FDB" w:rsidTr="0091257E">
        <w:tc>
          <w:tcPr>
            <w:tcW w:w="2093" w:type="dxa"/>
            <w:vMerge/>
            <w:shd w:val="clear" w:color="auto" w:fill="BFBFBF" w:themeFill="background1" w:themeFillShade="BF"/>
          </w:tcPr>
          <w:p w:rsidR="004F6025" w:rsidRPr="004F6025" w:rsidRDefault="004F6025" w:rsidP="006D6846">
            <w:pPr>
              <w:tabs>
                <w:tab w:val="left" w:pos="9356"/>
              </w:tabs>
              <w:ind w:right="-279"/>
              <w:rPr>
                <w:b/>
                <w:lang w:val="fr-FR"/>
              </w:rPr>
            </w:pPr>
          </w:p>
        </w:tc>
        <w:tc>
          <w:tcPr>
            <w:tcW w:w="2551" w:type="dxa"/>
            <w:shd w:val="clear" w:color="auto" w:fill="F2F2F2" w:themeFill="background1" w:themeFillShade="F2"/>
          </w:tcPr>
          <w:p w:rsidR="004F6025" w:rsidRDefault="004F6025" w:rsidP="00EC776F">
            <w:pPr>
              <w:tabs>
                <w:tab w:val="left" w:pos="9356"/>
              </w:tabs>
              <w:ind w:right="-279"/>
              <w:rPr>
                <w:lang w:val="fr-FR"/>
              </w:rPr>
            </w:pPr>
            <w:r>
              <w:rPr>
                <w:lang w:val="fr-FR"/>
              </w:rPr>
              <w:t xml:space="preserve">Date </w:t>
            </w:r>
            <w:r w:rsidR="00EC776F">
              <w:rPr>
                <w:lang w:val="fr-FR"/>
              </w:rPr>
              <w:t>de publication</w:t>
            </w:r>
          </w:p>
        </w:tc>
        <w:tc>
          <w:tcPr>
            <w:tcW w:w="4932" w:type="dxa"/>
          </w:tcPr>
          <w:p w:rsidR="004F6025" w:rsidRDefault="00FA4417" w:rsidP="006D6846">
            <w:pPr>
              <w:tabs>
                <w:tab w:val="left" w:pos="9356"/>
              </w:tabs>
              <w:ind w:right="-279"/>
              <w:rPr>
                <w:lang w:val="fr-FR"/>
              </w:rPr>
            </w:pPr>
            <w:r>
              <w:rPr>
                <w:lang w:val="fr-FR"/>
              </w:rPr>
              <w:t>30 août</w:t>
            </w:r>
            <w:r w:rsidR="00140482">
              <w:rPr>
                <w:lang w:val="fr-FR"/>
              </w:rPr>
              <w:t xml:space="preserve"> 2016</w:t>
            </w:r>
          </w:p>
        </w:tc>
      </w:tr>
    </w:tbl>
    <w:p w:rsidR="00B26098" w:rsidRDefault="00B26098" w:rsidP="00B26098">
      <w:pPr>
        <w:spacing w:after="0" w:line="240" w:lineRule="auto"/>
        <w:rPr>
          <w:rFonts w:eastAsia="MS Mincho" w:cs="Times New Roman"/>
          <w:noProof/>
          <w:szCs w:val="32"/>
          <w:lang w:val="fr-FR"/>
        </w:rPr>
      </w:pPr>
    </w:p>
    <w:p w:rsidR="00EC776F" w:rsidRDefault="00EC776F" w:rsidP="00B26098">
      <w:pPr>
        <w:spacing w:after="0" w:line="240" w:lineRule="auto"/>
        <w:rPr>
          <w:rFonts w:eastAsia="MS Mincho" w:cs="Times New Roman"/>
          <w:noProof/>
          <w:szCs w:val="32"/>
          <w:lang w:val="fr-FR"/>
        </w:rPr>
      </w:pPr>
    </w:p>
    <w:p w:rsidR="0081511D" w:rsidRPr="004F6025" w:rsidRDefault="0081511D" w:rsidP="0081511D">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PRESENTATION DE LA PRATIQUE EXISTANTE &amp; description des Impacts</w:t>
      </w:r>
    </w:p>
    <w:p w:rsidR="0081511D" w:rsidRPr="004F6025" w:rsidRDefault="0081511D" w:rsidP="00B26098">
      <w:pPr>
        <w:spacing w:after="0" w:line="240" w:lineRule="auto"/>
        <w:rPr>
          <w:rFonts w:eastAsia="MS Mincho" w:cs="Times New Roman"/>
          <w:noProof/>
          <w:szCs w:val="32"/>
          <w:lang w:val="fr-FR"/>
        </w:rPr>
      </w:pPr>
    </w:p>
    <w:tbl>
      <w:tblPr>
        <w:tblStyle w:val="TableGrid"/>
        <w:tblW w:w="9606" w:type="dxa"/>
        <w:tblLayout w:type="fixed"/>
        <w:tblLook w:val="04A0" w:firstRow="1" w:lastRow="0" w:firstColumn="1" w:lastColumn="0" w:noHBand="0" w:noVBand="1"/>
      </w:tblPr>
      <w:tblGrid>
        <w:gridCol w:w="2093"/>
        <w:gridCol w:w="7513"/>
      </w:tblGrid>
      <w:tr w:rsidR="00D103DA" w:rsidRPr="00FA4417" w:rsidTr="0091257E">
        <w:tc>
          <w:tcPr>
            <w:tcW w:w="2093" w:type="dxa"/>
            <w:tcBorders>
              <w:bottom w:val="single" w:sz="4" w:space="0" w:color="auto"/>
            </w:tcBorders>
            <w:shd w:val="clear" w:color="auto" w:fill="BFBFBF" w:themeFill="background1" w:themeFillShade="BF"/>
          </w:tcPr>
          <w:p w:rsidR="00D103DA" w:rsidRPr="00D103DA" w:rsidRDefault="00D103DA" w:rsidP="00893912">
            <w:pPr>
              <w:rPr>
                <w:rFonts w:eastAsia="MS Mincho" w:cs="Times New Roman"/>
                <w:b/>
                <w:noProof/>
                <w:szCs w:val="32"/>
                <w:lang w:val="fr-FR"/>
              </w:rPr>
            </w:pPr>
            <w:r w:rsidRPr="00D103DA">
              <w:rPr>
                <w:rFonts w:eastAsia="MS Mincho" w:cs="Times New Roman"/>
                <w:b/>
                <w:noProof/>
                <w:szCs w:val="32"/>
                <w:lang w:val="fr-FR"/>
              </w:rPr>
              <w:t xml:space="preserve">Description </w:t>
            </w:r>
            <w:r w:rsidR="00893912">
              <w:rPr>
                <w:rFonts w:eastAsia="MS Mincho" w:cs="Times New Roman"/>
                <w:b/>
                <w:noProof/>
                <w:szCs w:val="32"/>
                <w:lang w:val="fr-FR"/>
              </w:rPr>
              <w:t>de la pratique existante</w:t>
            </w:r>
          </w:p>
        </w:tc>
        <w:tc>
          <w:tcPr>
            <w:tcW w:w="7513" w:type="dxa"/>
            <w:tcBorders>
              <w:bottom w:val="single" w:sz="4" w:space="0" w:color="auto"/>
            </w:tcBorders>
          </w:tcPr>
          <w:p w:rsidR="00FA4417" w:rsidRDefault="00FA4417" w:rsidP="00FA4417">
            <w:pPr>
              <w:spacing w:before="120"/>
              <w:jc w:val="both"/>
              <w:rPr>
                <w:rFonts w:eastAsia="MS Mincho" w:cs="Times New Roman"/>
                <w:noProof/>
                <w:szCs w:val="32"/>
                <w:lang w:val="fr-FR"/>
              </w:rPr>
            </w:pPr>
            <w:r>
              <w:rPr>
                <w:rFonts w:eastAsia="MS Mincho" w:cs="Times New Roman"/>
                <w:noProof/>
                <w:szCs w:val="32"/>
                <w:lang w:val="fr-FR"/>
              </w:rPr>
              <w:t xml:space="preserve">Cette fiche concerne uniquement les </w:t>
            </w:r>
            <w:r w:rsidRPr="009C263B">
              <w:rPr>
                <w:rFonts w:eastAsia="MS Mincho" w:cs="Times New Roman"/>
                <w:noProof/>
                <w:szCs w:val="32"/>
                <w:lang w:val="fr-FR"/>
              </w:rPr>
              <w:t xml:space="preserve">cessions temporaires </w:t>
            </w:r>
            <w:r>
              <w:rPr>
                <w:rFonts w:eastAsia="MS Mincho" w:cs="Times New Roman"/>
                <w:noProof/>
                <w:szCs w:val="32"/>
                <w:lang w:val="fr-FR"/>
              </w:rPr>
              <w:t xml:space="preserve">recouvrant les pensions livrées (REPO) et les prêts emprunts (P/E) </w:t>
            </w:r>
            <w:r w:rsidRPr="009C263B">
              <w:rPr>
                <w:rFonts w:eastAsia="MS Mincho" w:cs="Times New Roman"/>
                <w:noProof/>
                <w:szCs w:val="32"/>
                <w:lang w:val="fr-FR"/>
              </w:rPr>
              <w:t xml:space="preserve">de type OTC non compensées par LCH </w:t>
            </w:r>
            <w:r>
              <w:rPr>
                <w:rFonts w:eastAsia="MS Mincho" w:cs="Times New Roman"/>
                <w:noProof/>
                <w:szCs w:val="32"/>
                <w:lang w:val="fr-FR"/>
              </w:rPr>
              <w:t>SA et hors marché réglementé (ex : marché centralisé du prêt emprunt d’Euronext). .</w:t>
            </w:r>
          </w:p>
          <w:p w:rsidR="00FA4417" w:rsidRDefault="00FA4417" w:rsidP="00FA4417">
            <w:pPr>
              <w:spacing w:before="120"/>
              <w:jc w:val="both"/>
              <w:rPr>
                <w:rFonts w:eastAsia="MS Mincho" w:cs="Times New Roman"/>
                <w:noProof/>
                <w:szCs w:val="32"/>
                <w:lang w:val="fr-FR"/>
              </w:rPr>
            </w:pPr>
            <w:r>
              <w:rPr>
                <w:rFonts w:eastAsia="MS Mincho" w:cs="Times New Roman"/>
                <w:noProof/>
                <w:szCs w:val="32"/>
                <w:lang w:val="fr-FR"/>
              </w:rPr>
              <w:t xml:space="preserve">Euroclear propose aujourd’hui </w:t>
            </w:r>
            <w:r w:rsidRPr="004B3BDA">
              <w:rPr>
                <w:rFonts w:eastAsia="MS Mincho" w:cs="Times New Roman"/>
                <w:noProof/>
                <w:szCs w:val="32"/>
                <w:lang w:val="fr-FR"/>
              </w:rPr>
              <w:t xml:space="preserve">un </w:t>
            </w:r>
            <w:r>
              <w:rPr>
                <w:rFonts w:eastAsia="MS Mincho" w:cs="Times New Roman"/>
                <w:noProof/>
                <w:szCs w:val="32"/>
                <w:lang w:val="fr-FR"/>
              </w:rPr>
              <w:t>module qui gère les opérations de  « pensions livrées » et de « prêts emprunts ».</w:t>
            </w:r>
          </w:p>
          <w:p w:rsidR="00FA4417" w:rsidRDefault="00FA4417" w:rsidP="00FA4417">
            <w:pPr>
              <w:spacing w:before="120"/>
              <w:jc w:val="both"/>
              <w:rPr>
                <w:rFonts w:eastAsia="MS Mincho" w:cs="Times New Roman"/>
                <w:noProof/>
                <w:szCs w:val="32"/>
                <w:lang w:val="fr-FR"/>
              </w:rPr>
            </w:pPr>
            <w:r>
              <w:rPr>
                <w:rFonts w:eastAsia="MS Mincho" w:cs="Times New Roman"/>
                <w:noProof/>
                <w:szCs w:val="32"/>
                <w:lang w:val="fr-FR"/>
              </w:rPr>
              <w:t xml:space="preserve">En effet dés la mise en place de la cession temporaire, ce module génère automatiquement la restitution avec un taux fixe ou variable (EONIA) et une trade date égal au dénouement de la mise en place. </w:t>
            </w:r>
          </w:p>
          <w:p w:rsidR="00FA4417" w:rsidRDefault="00FA4417" w:rsidP="00FA4417">
            <w:pPr>
              <w:spacing w:before="120"/>
              <w:jc w:val="both"/>
              <w:rPr>
                <w:rFonts w:eastAsia="MS Mincho" w:cs="Times New Roman"/>
                <w:noProof/>
                <w:szCs w:val="32"/>
                <w:lang w:val="fr-FR"/>
              </w:rPr>
            </w:pPr>
            <w:r>
              <w:rPr>
                <w:rFonts w:eastAsia="MS Mincho" w:cs="Times New Roman"/>
                <w:noProof/>
                <w:szCs w:val="32"/>
                <w:lang w:val="fr-FR"/>
              </w:rPr>
              <w:t>Il assure la rétrocession des coupons au prêteur durant la vie du contrat et sans intervention des parties.</w:t>
            </w:r>
          </w:p>
          <w:p w:rsidR="00FA4417" w:rsidRDefault="00FA4417" w:rsidP="00FA4417">
            <w:pPr>
              <w:pStyle w:val="ListParagraph"/>
              <w:numPr>
                <w:ilvl w:val="0"/>
                <w:numId w:val="11"/>
              </w:numPr>
              <w:spacing w:before="120"/>
              <w:jc w:val="both"/>
              <w:rPr>
                <w:rFonts w:eastAsia="MS Mincho" w:cs="Times New Roman"/>
                <w:noProof/>
                <w:szCs w:val="32"/>
                <w:lang w:val="fr-FR"/>
              </w:rPr>
            </w:pPr>
            <w:r w:rsidRPr="00BB1428">
              <w:rPr>
                <w:rFonts w:eastAsia="MS Mincho" w:cs="Times New Roman"/>
                <w:noProof/>
                <w:szCs w:val="32"/>
                <w:lang w:val="fr-FR"/>
              </w:rPr>
              <w:t>Le module ne gère qu’une règle de détection</w:t>
            </w:r>
            <w:r>
              <w:rPr>
                <w:rFonts w:eastAsia="MS Mincho" w:cs="Times New Roman"/>
                <w:noProof/>
                <w:szCs w:val="32"/>
                <w:lang w:val="fr-FR"/>
              </w:rPr>
              <w:t xml:space="preserve"> d’Ost en espèces</w:t>
            </w:r>
            <w:r w:rsidRPr="00BB1428">
              <w:rPr>
                <w:rFonts w:eastAsia="MS Mincho" w:cs="Times New Roman"/>
                <w:noProof/>
                <w:szCs w:val="32"/>
                <w:lang w:val="fr-FR"/>
              </w:rPr>
              <w:t xml:space="preserve"> quels que soient les types de valeur.</w:t>
            </w:r>
          </w:p>
          <w:p w:rsidR="00FA4417" w:rsidRPr="00BB1428" w:rsidRDefault="00FA4417" w:rsidP="00FA4417">
            <w:pPr>
              <w:pStyle w:val="ListParagraph"/>
              <w:spacing w:before="120"/>
              <w:ind w:left="360"/>
              <w:jc w:val="both"/>
              <w:rPr>
                <w:rFonts w:eastAsia="MS Mincho" w:cs="Times New Roman"/>
                <w:noProof/>
                <w:szCs w:val="32"/>
                <w:lang w:val="fr-FR"/>
              </w:rPr>
            </w:pPr>
          </w:p>
          <w:p w:rsidR="00FA4417" w:rsidRDefault="00FA4417" w:rsidP="00FA4417">
            <w:pPr>
              <w:pStyle w:val="ListParagraph"/>
              <w:numPr>
                <w:ilvl w:val="0"/>
                <w:numId w:val="11"/>
              </w:numPr>
              <w:spacing w:before="120"/>
              <w:jc w:val="both"/>
              <w:rPr>
                <w:rFonts w:eastAsia="MS Mincho" w:cs="Times New Roman"/>
                <w:noProof/>
                <w:szCs w:val="32"/>
                <w:lang w:val="fr-FR"/>
              </w:rPr>
            </w:pPr>
            <w:r w:rsidRPr="00BB1428">
              <w:rPr>
                <w:rFonts w:eastAsia="MS Mincho" w:cs="Times New Roman"/>
                <w:noProof/>
                <w:szCs w:val="32"/>
                <w:lang w:val="fr-FR"/>
              </w:rPr>
              <w:t xml:space="preserve">En dehors du module Euroclear, les saisies sont réalisées </w:t>
            </w:r>
            <w:r>
              <w:rPr>
                <w:rFonts w:eastAsia="MS Mincho" w:cs="Times New Roman"/>
                <w:noProof/>
                <w:szCs w:val="32"/>
                <w:lang w:val="fr-FR"/>
              </w:rPr>
              <w:t>sous forme d’</w:t>
            </w:r>
            <w:r w:rsidRPr="00BB1428">
              <w:rPr>
                <w:rFonts w:eastAsia="MS Mincho" w:cs="Times New Roman"/>
                <w:noProof/>
                <w:szCs w:val="32"/>
                <w:lang w:val="fr-FR"/>
              </w:rPr>
              <w:t xml:space="preserve">« Achats / Ventes » et les règles de détection des OST sur flux de ces instructions de Types SLAB, répondent à des règles </w:t>
            </w:r>
            <w:r>
              <w:rPr>
                <w:rFonts w:eastAsia="MS Mincho" w:cs="Times New Roman"/>
                <w:noProof/>
                <w:szCs w:val="32"/>
                <w:lang w:val="fr-FR"/>
              </w:rPr>
              <w:t>qui varient</w:t>
            </w:r>
            <w:r w:rsidRPr="00BB1428">
              <w:rPr>
                <w:rFonts w:eastAsia="MS Mincho" w:cs="Times New Roman"/>
                <w:noProof/>
                <w:szCs w:val="32"/>
                <w:lang w:val="fr-FR"/>
              </w:rPr>
              <w:t xml:space="preserve"> selon la nature des titres négociés.</w:t>
            </w:r>
          </w:p>
          <w:p w:rsidR="00FA4417" w:rsidRDefault="00FA4417" w:rsidP="00FA4417">
            <w:pPr>
              <w:pStyle w:val="ListParagraph"/>
              <w:rPr>
                <w:rFonts w:eastAsia="MS Mincho" w:cs="Times New Roman"/>
                <w:noProof/>
                <w:szCs w:val="32"/>
                <w:lang w:val="fr-FR"/>
              </w:rPr>
            </w:pPr>
          </w:p>
          <w:p w:rsidR="00FA4417" w:rsidRPr="00D0479E" w:rsidRDefault="00FA4417" w:rsidP="00FA4417">
            <w:pPr>
              <w:pStyle w:val="ListParagraph"/>
              <w:rPr>
                <w:rFonts w:eastAsia="MS Mincho" w:cs="Times New Roman"/>
                <w:noProof/>
                <w:szCs w:val="32"/>
                <w:lang w:val="fr-FR"/>
              </w:rPr>
            </w:pPr>
          </w:p>
          <w:p w:rsidR="00FA4417" w:rsidRDefault="00FA4417" w:rsidP="00FA4417">
            <w:pPr>
              <w:spacing w:before="120"/>
              <w:jc w:val="both"/>
              <w:rPr>
                <w:rFonts w:eastAsia="MS Mincho" w:cs="Times New Roman"/>
                <w:noProof/>
                <w:szCs w:val="32"/>
                <w:lang w:val="fr-FR"/>
              </w:rPr>
            </w:pPr>
            <w:r>
              <w:rPr>
                <w:rFonts w:eastAsia="MS Mincho" w:cs="Times New Roman"/>
                <w:noProof/>
                <w:szCs w:val="32"/>
                <w:lang w:val="fr-FR"/>
              </w:rPr>
              <w:t>A noter que sur le segment du prêt emprunt, l’essentiel du volume traité par les marchés est déjà dans une cible Achat/Vente et se traite hors du module Euroclear.</w:t>
            </w:r>
          </w:p>
          <w:p w:rsidR="00140482" w:rsidRPr="00776CD9" w:rsidRDefault="00FA4417" w:rsidP="00922B9C">
            <w:pPr>
              <w:spacing w:before="120"/>
              <w:jc w:val="both"/>
              <w:rPr>
                <w:rFonts w:eastAsia="MS Mincho" w:cs="Times New Roman"/>
                <w:noProof/>
                <w:szCs w:val="32"/>
                <w:lang w:val="fr-FR"/>
              </w:rPr>
            </w:pPr>
            <w:r>
              <w:rPr>
                <w:rFonts w:eastAsia="MS Mincho" w:cs="Times New Roman"/>
                <w:noProof/>
                <w:szCs w:val="32"/>
                <w:lang w:val="fr-FR"/>
              </w:rPr>
              <w:lastRenderedPageBreak/>
              <w:t>Néanmoins se pose la question de la transition T2S pour les volumes résiduels qui y circulent.</w:t>
            </w:r>
          </w:p>
        </w:tc>
      </w:tr>
      <w:tr w:rsidR="00D103DA" w:rsidRPr="00FA4417" w:rsidTr="0091257E">
        <w:tc>
          <w:tcPr>
            <w:tcW w:w="2093" w:type="dxa"/>
            <w:tcBorders>
              <w:left w:val="nil"/>
              <w:right w:val="nil"/>
            </w:tcBorders>
          </w:tcPr>
          <w:p w:rsidR="00EC776F" w:rsidRPr="00D103DA" w:rsidRDefault="00EC776F" w:rsidP="00B26098">
            <w:pPr>
              <w:rPr>
                <w:rFonts w:eastAsia="MS Mincho" w:cs="Times New Roman"/>
                <w:b/>
                <w:noProof/>
                <w:szCs w:val="32"/>
                <w:lang w:val="fr-FR"/>
              </w:rPr>
            </w:pPr>
          </w:p>
        </w:tc>
        <w:tc>
          <w:tcPr>
            <w:tcW w:w="7513" w:type="dxa"/>
            <w:tcBorders>
              <w:left w:val="nil"/>
              <w:right w:val="nil"/>
            </w:tcBorders>
          </w:tcPr>
          <w:p w:rsidR="00D103DA" w:rsidRDefault="00D103DA" w:rsidP="00B26098">
            <w:pPr>
              <w:rPr>
                <w:rFonts w:eastAsia="MS Mincho" w:cs="Times New Roman"/>
                <w:noProof/>
                <w:szCs w:val="32"/>
                <w:lang w:val="fr-FR"/>
              </w:rPr>
            </w:pPr>
          </w:p>
        </w:tc>
      </w:tr>
      <w:tr w:rsidR="00893912" w:rsidRPr="00FA4417" w:rsidTr="0081511D">
        <w:tc>
          <w:tcPr>
            <w:tcW w:w="2093" w:type="dxa"/>
            <w:tcBorders>
              <w:bottom w:val="single" w:sz="4" w:space="0" w:color="auto"/>
            </w:tcBorders>
            <w:shd w:val="clear" w:color="auto" w:fill="BFBFBF" w:themeFill="background1" w:themeFillShade="BF"/>
          </w:tcPr>
          <w:p w:rsidR="00893912" w:rsidRPr="00D103DA" w:rsidRDefault="00893912" w:rsidP="00EC776F">
            <w:pPr>
              <w:rPr>
                <w:rFonts w:eastAsia="MS Mincho" w:cs="Times New Roman"/>
                <w:b/>
                <w:noProof/>
                <w:szCs w:val="32"/>
                <w:lang w:val="fr-FR"/>
              </w:rPr>
            </w:pPr>
            <w:r>
              <w:rPr>
                <w:rFonts w:eastAsia="MS Mincho" w:cs="Times New Roman"/>
                <w:b/>
                <w:noProof/>
                <w:szCs w:val="32"/>
                <w:lang w:val="fr-FR"/>
              </w:rPr>
              <w:t>Description de l’impact de T2S</w:t>
            </w:r>
          </w:p>
        </w:tc>
        <w:tc>
          <w:tcPr>
            <w:tcW w:w="7513" w:type="dxa"/>
            <w:tcBorders>
              <w:bottom w:val="single" w:sz="4" w:space="0" w:color="auto"/>
            </w:tcBorders>
          </w:tcPr>
          <w:p w:rsidR="00FA4417" w:rsidRPr="00D0479E" w:rsidRDefault="00FA4417" w:rsidP="00FA4417">
            <w:pPr>
              <w:spacing w:before="120"/>
              <w:jc w:val="both"/>
              <w:rPr>
                <w:rFonts w:eastAsia="MS Mincho" w:cs="Times New Roman"/>
                <w:noProof/>
                <w:szCs w:val="32"/>
                <w:lang w:val="fr-FR"/>
              </w:rPr>
            </w:pPr>
            <w:r w:rsidRPr="00D0479E">
              <w:rPr>
                <w:rFonts w:eastAsia="MS Mincho" w:cs="Times New Roman"/>
                <w:noProof/>
                <w:szCs w:val="32"/>
                <w:lang w:val="fr-FR"/>
              </w:rPr>
              <w:t>L’impact de T2S :</w:t>
            </w:r>
          </w:p>
          <w:p w:rsidR="00FA4417" w:rsidRDefault="00FA4417" w:rsidP="00FA4417">
            <w:pPr>
              <w:pStyle w:val="ListParagraph"/>
              <w:numPr>
                <w:ilvl w:val="0"/>
                <w:numId w:val="12"/>
              </w:numPr>
              <w:spacing w:before="120"/>
              <w:jc w:val="both"/>
              <w:rPr>
                <w:rFonts w:eastAsia="MS Mincho" w:cs="Times New Roman"/>
                <w:noProof/>
                <w:szCs w:val="32"/>
                <w:lang w:val="fr-FR"/>
              </w:rPr>
            </w:pPr>
            <w:r>
              <w:rPr>
                <w:rFonts w:eastAsia="MS Mincho" w:cs="Times New Roman"/>
                <w:noProof/>
                <w:szCs w:val="32"/>
                <w:lang w:val="fr-FR"/>
              </w:rPr>
              <w:t>Le module de cession temporaire Euroclear disparaît au profit d’un traitement en mode « achat/vente » ou « Cash Trade » (en anglais) qui se déroulera dans le nouvel environnement T2S.</w:t>
            </w:r>
          </w:p>
          <w:p w:rsidR="00FA4417" w:rsidRDefault="00FA4417" w:rsidP="00FA4417">
            <w:pPr>
              <w:pStyle w:val="ListParagraph"/>
              <w:numPr>
                <w:ilvl w:val="0"/>
                <w:numId w:val="12"/>
              </w:numPr>
              <w:spacing w:before="120"/>
              <w:jc w:val="both"/>
              <w:rPr>
                <w:rFonts w:eastAsia="MS Mincho" w:cs="Times New Roman"/>
                <w:noProof/>
                <w:szCs w:val="32"/>
                <w:lang w:val="fr-FR"/>
              </w:rPr>
            </w:pPr>
            <w:r w:rsidRPr="00BB1428">
              <w:rPr>
                <w:rFonts w:eastAsia="MS Mincho" w:cs="Times New Roman"/>
                <w:noProof/>
                <w:szCs w:val="32"/>
                <w:lang w:val="fr-FR"/>
              </w:rPr>
              <w:t xml:space="preserve">T2S ne </w:t>
            </w:r>
            <w:r>
              <w:rPr>
                <w:rFonts w:eastAsia="MS Mincho" w:cs="Times New Roman"/>
                <w:noProof/>
                <w:szCs w:val="32"/>
                <w:lang w:val="fr-FR"/>
              </w:rPr>
              <w:t>limite plus</w:t>
            </w:r>
            <w:r w:rsidRPr="00BB1428">
              <w:rPr>
                <w:rFonts w:eastAsia="MS Mincho" w:cs="Times New Roman"/>
                <w:noProof/>
                <w:szCs w:val="32"/>
                <w:lang w:val="fr-FR"/>
              </w:rPr>
              <w:t xml:space="preserve"> l’antério</w:t>
            </w:r>
            <w:r>
              <w:rPr>
                <w:rFonts w:eastAsia="MS Mincho" w:cs="Times New Roman"/>
                <w:noProof/>
                <w:szCs w:val="32"/>
                <w:lang w:val="fr-FR"/>
              </w:rPr>
              <w:t>r</w:t>
            </w:r>
            <w:r w:rsidRPr="00BB1428">
              <w:rPr>
                <w:rFonts w:eastAsia="MS Mincho" w:cs="Times New Roman"/>
                <w:noProof/>
                <w:szCs w:val="32"/>
                <w:lang w:val="fr-FR"/>
              </w:rPr>
              <w:t>i</w:t>
            </w:r>
            <w:r>
              <w:rPr>
                <w:rFonts w:eastAsia="MS Mincho" w:cs="Times New Roman"/>
                <w:noProof/>
                <w:szCs w:val="32"/>
                <w:lang w:val="fr-FR"/>
              </w:rPr>
              <w:t>t</w:t>
            </w:r>
            <w:r w:rsidRPr="00BB1428">
              <w:rPr>
                <w:rFonts w:eastAsia="MS Mincho" w:cs="Times New Roman"/>
                <w:noProof/>
                <w:szCs w:val="32"/>
                <w:lang w:val="fr-FR"/>
              </w:rPr>
              <w:t xml:space="preserve">é de la Trade-Date (TD) </w:t>
            </w:r>
            <w:r>
              <w:rPr>
                <w:rFonts w:eastAsia="MS Mincho" w:cs="Times New Roman"/>
                <w:noProof/>
                <w:szCs w:val="32"/>
                <w:lang w:val="fr-FR"/>
              </w:rPr>
              <w:t>à 35 jours comme actuellement</w:t>
            </w:r>
            <w:r w:rsidRPr="00BB1428">
              <w:rPr>
                <w:rFonts w:eastAsia="MS Mincho" w:cs="Times New Roman"/>
                <w:noProof/>
                <w:szCs w:val="32"/>
                <w:lang w:val="fr-FR"/>
              </w:rPr>
              <w:t xml:space="preserve"> en amont de la date de dénouement théorique</w:t>
            </w:r>
            <w:r>
              <w:rPr>
                <w:rFonts w:eastAsia="MS Mincho" w:cs="Times New Roman"/>
                <w:noProof/>
                <w:szCs w:val="32"/>
                <w:lang w:val="fr-FR"/>
              </w:rPr>
              <w:t>.</w:t>
            </w:r>
          </w:p>
          <w:p w:rsidR="00FA4417" w:rsidRPr="00BB1428" w:rsidRDefault="00FA4417" w:rsidP="00FA4417">
            <w:pPr>
              <w:pStyle w:val="ListParagraph"/>
              <w:numPr>
                <w:ilvl w:val="0"/>
                <w:numId w:val="12"/>
              </w:numPr>
              <w:spacing w:before="120"/>
              <w:jc w:val="both"/>
              <w:rPr>
                <w:rFonts w:eastAsia="MS Mincho" w:cs="Times New Roman"/>
                <w:noProof/>
                <w:szCs w:val="32"/>
                <w:lang w:val="fr-FR"/>
              </w:rPr>
            </w:pPr>
            <w:r>
              <w:rPr>
                <w:rFonts w:eastAsia="MS Mincho" w:cs="Times New Roman"/>
                <w:noProof/>
                <w:szCs w:val="32"/>
                <w:lang w:val="fr-FR"/>
              </w:rPr>
              <w:t>A</w:t>
            </w:r>
            <w:r w:rsidRPr="00BB1428">
              <w:rPr>
                <w:rFonts w:eastAsia="MS Mincho" w:cs="Times New Roman"/>
                <w:noProof/>
                <w:szCs w:val="32"/>
                <w:lang w:val="fr-FR"/>
              </w:rPr>
              <w:t>près la Record Date (RD)</w:t>
            </w:r>
            <w:r>
              <w:rPr>
                <w:rFonts w:eastAsia="MS Mincho" w:cs="Times New Roman"/>
                <w:noProof/>
                <w:szCs w:val="32"/>
                <w:lang w:val="fr-FR"/>
              </w:rPr>
              <w:t xml:space="preserve">, la </w:t>
            </w:r>
            <w:r w:rsidRPr="00BB1428">
              <w:rPr>
                <w:rFonts w:eastAsia="MS Mincho" w:cs="Times New Roman"/>
                <w:noProof/>
                <w:szCs w:val="32"/>
                <w:lang w:val="fr-FR"/>
              </w:rPr>
              <w:t xml:space="preserve">fenêtre de détection des OST sur flux </w:t>
            </w:r>
            <w:r>
              <w:rPr>
                <w:rFonts w:eastAsia="MS Mincho" w:cs="Times New Roman"/>
                <w:noProof/>
                <w:szCs w:val="32"/>
                <w:lang w:val="fr-FR"/>
              </w:rPr>
              <w:t>est</w:t>
            </w:r>
            <w:r w:rsidRPr="00BB1428">
              <w:rPr>
                <w:rFonts w:eastAsia="MS Mincho" w:cs="Times New Roman"/>
                <w:noProof/>
                <w:szCs w:val="32"/>
                <w:lang w:val="fr-FR"/>
              </w:rPr>
              <w:t xml:space="preserve"> réduite dans T2S à 20 jours </w:t>
            </w:r>
            <w:r>
              <w:rPr>
                <w:rFonts w:eastAsia="MS Mincho" w:cs="Times New Roman"/>
                <w:noProof/>
                <w:szCs w:val="32"/>
                <w:lang w:val="fr-FR"/>
              </w:rPr>
              <w:t>au lieu de 45 jours dans ESES</w:t>
            </w:r>
            <w:r w:rsidRPr="00BB1428">
              <w:rPr>
                <w:rFonts w:eastAsia="MS Mincho" w:cs="Times New Roman"/>
                <w:noProof/>
                <w:szCs w:val="32"/>
                <w:lang w:val="fr-FR"/>
              </w:rPr>
              <w:t xml:space="preserve">. </w:t>
            </w:r>
          </w:p>
          <w:p w:rsidR="00FA4417" w:rsidRDefault="00FA4417" w:rsidP="00FA4417">
            <w:pPr>
              <w:pStyle w:val="ListParagraph"/>
              <w:numPr>
                <w:ilvl w:val="0"/>
                <w:numId w:val="12"/>
              </w:numPr>
              <w:jc w:val="both"/>
              <w:rPr>
                <w:rFonts w:eastAsia="MS Mincho" w:cs="Times New Roman"/>
                <w:noProof/>
                <w:szCs w:val="32"/>
                <w:lang w:val="fr-FR"/>
              </w:rPr>
            </w:pPr>
            <w:r>
              <w:rPr>
                <w:rFonts w:eastAsia="MS Mincho" w:cs="Times New Roman"/>
                <w:noProof/>
                <w:szCs w:val="32"/>
                <w:lang w:val="fr-FR"/>
              </w:rPr>
              <w:t>Les règles de détection des OST sur flux sont différentes et doivent donc s’apprécier dans le cas des Opérations initiées avant le passage en T2S et se finalisant après.</w:t>
            </w:r>
          </w:p>
          <w:p w:rsidR="00140482" w:rsidRPr="00113071" w:rsidRDefault="00FA4417" w:rsidP="00776CD9">
            <w:pPr>
              <w:spacing w:before="120"/>
              <w:jc w:val="both"/>
              <w:rPr>
                <w:rFonts w:eastAsia="MS Mincho" w:cs="Times New Roman"/>
                <w:noProof/>
                <w:szCs w:val="32"/>
                <w:lang w:val="fr-FR"/>
              </w:rPr>
            </w:pPr>
            <w:r>
              <w:rPr>
                <w:rFonts w:eastAsia="MS Mincho" w:cs="Times New Roman"/>
                <w:noProof/>
                <w:szCs w:val="32"/>
                <w:lang w:val="fr-FR"/>
              </w:rPr>
              <w:t xml:space="preserve">Le traitement des opérations de cession temporaire  en  Euroclear France à cheval sur la migration est donc particulièrement sensible. </w:t>
            </w:r>
          </w:p>
        </w:tc>
      </w:tr>
      <w:tr w:rsidR="0081511D" w:rsidRPr="00FA4417" w:rsidTr="0081511D">
        <w:tc>
          <w:tcPr>
            <w:tcW w:w="2093" w:type="dxa"/>
            <w:tcBorders>
              <w:left w:val="nil"/>
              <w:right w:val="nil"/>
            </w:tcBorders>
            <w:shd w:val="clear" w:color="auto" w:fill="auto"/>
          </w:tcPr>
          <w:p w:rsidR="0081511D" w:rsidRDefault="0081511D" w:rsidP="00EC776F">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81511D">
            <w:pPr>
              <w:rPr>
                <w:rFonts w:eastAsia="MS Mincho" w:cs="Times New Roman"/>
                <w:b/>
                <w:noProof/>
                <w:szCs w:val="32"/>
                <w:lang w:val="fr-FR"/>
              </w:rPr>
            </w:pPr>
          </w:p>
        </w:tc>
      </w:tr>
      <w:tr w:rsidR="0081511D" w:rsidRPr="00FA4417" w:rsidTr="0081511D">
        <w:tc>
          <w:tcPr>
            <w:tcW w:w="2093" w:type="dxa"/>
            <w:shd w:val="clear" w:color="auto" w:fill="BFBFBF" w:themeFill="background1" w:themeFillShade="BF"/>
          </w:tcPr>
          <w:p w:rsidR="0081511D" w:rsidRDefault="0081511D" w:rsidP="00EC776F">
            <w:pPr>
              <w:rPr>
                <w:rFonts w:eastAsia="MS Mincho" w:cs="Times New Roman"/>
                <w:b/>
                <w:noProof/>
                <w:szCs w:val="32"/>
                <w:lang w:val="fr-FR"/>
              </w:rPr>
            </w:pPr>
            <w:r>
              <w:rPr>
                <w:rFonts w:eastAsia="MS Mincho" w:cs="Times New Roman"/>
                <w:b/>
                <w:noProof/>
                <w:szCs w:val="32"/>
                <w:lang w:val="fr-FR"/>
              </w:rPr>
              <w:t>Description de la problématique majeure</w:t>
            </w:r>
          </w:p>
        </w:tc>
        <w:tc>
          <w:tcPr>
            <w:tcW w:w="7513" w:type="dxa"/>
          </w:tcPr>
          <w:p w:rsidR="00FA4417" w:rsidRDefault="00FA4417" w:rsidP="00FA4417">
            <w:pPr>
              <w:spacing w:before="120"/>
              <w:jc w:val="both"/>
              <w:rPr>
                <w:rFonts w:eastAsia="MS Mincho" w:cs="Times New Roman"/>
                <w:noProof/>
                <w:szCs w:val="32"/>
                <w:lang w:val="fr-FR"/>
              </w:rPr>
            </w:pPr>
            <w:r w:rsidRPr="00E54F17">
              <w:rPr>
                <w:rFonts w:eastAsia="MS Mincho" w:cs="Times New Roman"/>
                <w:noProof/>
                <w:szCs w:val="32"/>
                <w:lang w:val="fr-FR"/>
              </w:rPr>
              <w:t xml:space="preserve">Les établissements de la place française ont recommandé que les contrats de </w:t>
            </w:r>
            <w:r>
              <w:rPr>
                <w:rFonts w:eastAsia="MS Mincho" w:cs="Times New Roman"/>
                <w:noProof/>
                <w:szCs w:val="32"/>
                <w:lang w:val="fr-FR"/>
              </w:rPr>
              <w:t>cessions temporaires</w:t>
            </w:r>
            <w:r w:rsidRPr="00E54F17">
              <w:rPr>
                <w:rFonts w:eastAsia="MS Mincho" w:cs="Times New Roman"/>
                <w:noProof/>
                <w:szCs w:val="32"/>
                <w:lang w:val="fr-FR"/>
              </w:rPr>
              <w:t xml:space="preserve"> soient instruits dès le 9 mai 2016, soit en amont de la migration vers T2S,</w:t>
            </w:r>
            <w:r>
              <w:rPr>
                <w:rFonts w:eastAsia="MS Mincho" w:cs="Times New Roman"/>
                <w:noProof/>
                <w:szCs w:val="32"/>
                <w:lang w:val="fr-FR"/>
              </w:rPr>
              <w:t xml:space="preserve"> </w:t>
            </w:r>
            <w:r w:rsidRPr="00E54F17">
              <w:rPr>
                <w:rFonts w:eastAsia="MS Mincho" w:cs="Times New Roman"/>
                <w:noProof/>
                <w:szCs w:val="32"/>
                <w:lang w:val="fr-FR"/>
              </w:rPr>
              <w:t>en mode « Achat / Vente » (</w:t>
            </w:r>
            <w:r>
              <w:rPr>
                <w:rFonts w:eastAsia="MS Mincho" w:cs="Times New Roman"/>
                <w:noProof/>
                <w:szCs w:val="32"/>
                <w:lang w:val="fr-FR"/>
              </w:rPr>
              <w:t>Cash Trade</w:t>
            </w:r>
            <w:r w:rsidRPr="00E54F17">
              <w:rPr>
                <w:rFonts w:eastAsia="MS Mincho" w:cs="Times New Roman"/>
                <w:noProof/>
                <w:szCs w:val="32"/>
                <w:lang w:val="fr-FR"/>
              </w:rPr>
              <w:t xml:space="preserve">) par le biais de 2 instructions, afin de réduire le stock de contrats lors de la migration vers T2S le 12 septembre 2016 </w:t>
            </w:r>
            <w:r w:rsidRPr="00E54F17">
              <w:rPr>
                <w:rFonts w:eastAsia="MS Mincho" w:cs="Times New Roman"/>
                <w:i/>
                <w:noProof/>
                <w:szCs w:val="32"/>
                <w:lang w:val="fr-FR"/>
              </w:rPr>
              <w:t>cf. « MS-SETTL-CESSIONTEMP-01</w:t>
            </w:r>
            <w:r w:rsidRPr="00D0479E">
              <w:rPr>
                <w:rFonts w:eastAsia="MS Mincho" w:cs="Times New Roman"/>
                <w:noProof/>
                <w:szCs w:val="32"/>
                <w:lang w:val="fr-FR"/>
              </w:rPr>
              <w:t>- Bascule du mode d’instruction des cessions temporaires en mode Achat / Vente et traitement en période transitoire</w:t>
            </w:r>
            <w:r w:rsidRPr="00E54F17">
              <w:rPr>
                <w:rFonts w:eastAsia="MS Mincho" w:cs="Times New Roman"/>
                <w:i/>
                <w:noProof/>
                <w:szCs w:val="32"/>
                <w:lang w:val="fr-FR"/>
              </w:rPr>
              <w:t>».</w:t>
            </w:r>
            <w:r w:rsidRPr="00E54F17">
              <w:rPr>
                <w:rFonts w:eastAsia="MS Mincho" w:cs="Times New Roman"/>
                <w:noProof/>
                <w:szCs w:val="32"/>
                <w:lang w:val="fr-FR"/>
              </w:rPr>
              <w:t xml:space="preserve"> </w:t>
            </w:r>
          </w:p>
          <w:p w:rsidR="00FA4417" w:rsidRDefault="00FA4417" w:rsidP="00FA4417">
            <w:pPr>
              <w:spacing w:before="120"/>
              <w:jc w:val="both"/>
              <w:rPr>
                <w:rFonts w:eastAsia="MS Mincho" w:cs="Times New Roman"/>
                <w:noProof/>
                <w:szCs w:val="32"/>
                <w:lang w:val="fr-FR"/>
              </w:rPr>
            </w:pPr>
            <w:r>
              <w:rPr>
                <w:rFonts w:eastAsia="MS Mincho" w:cs="Times New Roman"/>
                <w:noProof/>
                <w:szCs w:val="32"/>
                <w:lang w:val="fr-FR"/>
              </w:rPr>
              <w:t>La présente fiche analyse l’impact de ces recommandations sur le traitement des OST sur flux.</w:t>
            </w:r>
          </w:p>
          <w:p w:rsidR="00FA4417" w:rsidRDefault="00FA4417" w:rsidP="00FA4417">
            <w:pPr>
              <w:spacing w:before="120"/>
              <w:jc w:val="both"/>
              <w:rPr>
                <w:rFonts w:eastAsia="MS Mincho" w:cs="Times New Roman"/>
                <w:noProof/>
                <w:szCs w:val="32"/>
                <w:lang w:val="fr-FR"/>
              </w:rPr>
            </w:pPr>
            <w:r w:rsidRPr="00E54F17">
              <w:rPr>
                <w:rFonts w:eastAsia="MS Mincho" w:cs="Times New Roman"/>
                <w:noProof/>
                <w:szCs w:val="32"/>
                <w:lang w:val="fr-FR"/>
              </w:rPr>
              <w:t xml:space="preserve">Il est à noter que certains établissements ont fait le choix de continuer à utiliser le module </w:t>
            </w:r>
            <w:r>
              <w:rPr>
                <w:rFonts w:eastAsia="MS Mincho" w:cs="Times New Roman"/>
                <w:noProof/>
                <w:szCs w:val="32"/>
                <w:lang w:val="fr-FR"/>
              </w:rPr>
              <w:t xml:space="preserve">de </w:t>
            </w:r>
            <w:r w:rsidRPr="00E54F17">
              <w:rPr>
                <w:rFonts w:eastAsia="MS Mincho" w:cs="Times New Roman"/>
                <w:noProof/>
                <w:szCs w:val="32"/>
                <w:lang w:val="fr-FR"/>
              </w:rPr>
              <w:t xml:space="preserve">cession temporaire jusqu’à la migration dans T2S. </w:t>
            </w:r>
          </w:p>
          <w:p w:rsidR="00FA4417" w:rsidRPr="00E54F17" w:rsidRDefault="00FA4417" w:rsidP="00FA4417">
            <w:pPr>
              <w:spacing w:before="120"/>
              <w:jc w:val="both"/>
              <w:rPr>
                <w:rFonts w:eastAsia="MS Mincho" w:cs="Times New Roman"/>
                <w:noProof/>
                <w:szCs w:val="32"/>
                <w:lang w:val="fr-FR"/>
              </w:rPr>
            </w:pPr>
            <w:r w:rsidRPr="00E54F17">
              <w:rPr>
                <w:rFonts w:eastAsia="MS Mincho" w:cs="Times New Roman"/>
                <w:noProof/>
                <w:szCs w:val="32"/>
                <w:lang w:val="fr-FR"/>
              </w:rPr>
              <w:t>Pendant cette période du 9 mai au 12 septembre 2016 deux situations </w:t>
            </w:r>
            <w:r>
              <w:rPr>
                <w:rFonts w:eastAsia="MS Mincho" w:cs="Times New Roman"/>
                <w:noProof/>
                <w:szCs w:val="32"/>
                <w:lang w:val="fr-FR"/>
              </w:rPr>
              <w:t xml:space="preserve">seront possibles </w:t>
            </w:r>
            <w:r w:rsidRPr="00E54F17">
              <w:rPr>
                <w:rFonts w:eastAsia="MS Mincho" w:cs="Times New Roman"/>
                <w:noProof/>
                <w:szCs w:val="32"/>
                <w:lang w:val="fr-FR"/>
              </w:rPr>
              <w:t>:</w:t>
            </w:r>
          </w:p>
          <w:p w:rsidR="00FA4417" w:rsidRDefault="00FA4417" w:rsidP="00FA4417">
            <w:pPr>
              <w:pStyle w:val="ListParagraph"/>
              <w:numPr>
                <w:ilvl w:val="0"/>
                <w:numId w:val="13"/>
              </w:numPr>
              <w:spacing w:before="120"/>
              <w:ind w:left="765" w:hanging="357"/>
              <w:jc w:val="both"/>
              <w:rPr>
                <w:rFonts w:eastAsia="MS Mincho" w:cs="Times New Roman"/>
                <w:noProof/>
                <w:szCs w:val="32"/>
                <w:lang w:val="fr-FR"/>
              </w:rPr>
            </w:pPr>
            <w:r w:rsidRPr="00E54F17">
              <w:rPr>
                <w:rFonts w:eastAsia="MS Mincho" w:cs="Times New Roman"/>
                <w:noProof/>
                <w:szCs w:val="32"/>
                <w:lang w:val="fr-FR"/>
              </w:rPr>
              <w:t>des contrats saisis sans recours au module Euroclear en mode « Achat / Vente » selon la nouvelle procédure, dont l’échéance sera antérieure ou postérieure à la migration à T2S,</w:t>
            </w:r>
          </w:p>
          <w:p w:rsidR="00FA4417" w:rsidRPr="00E54F17" w:rsidRDefault="00FA4417" w:rsidP="00FA4417">
            <w:pPr>
              <w:pStyle w:val="ListParagraph"/>
              <w:spacing w:before="120"/>
              <w:ind w:left="770"/>
              <w:jc w:val="both"/>
              <w:rPr>
                <w:rFonts w:eastAsia="MS Mincho" w:cs="Times New Roman"/>
                <w:noProof/>
                <w:szCs w:val="32"/>
                <w:lang w:val="fr-FR"/>
              </w:rPr>
            </w:pPr>
          </w:p>
          <w:p w:rsidR="00FA4417" w:rsidRPr="00E54F17" w:rsidRDefault="00FA4417" w:rsidP="00FA4417">
            <w:pPr>
              <w:pStyle w:val="ListParagraph"/>
              <w:numPr>
                <w:ilvl w:val="0"/>
                <w:numId w:val="13"/>
              </w:numPr>
              <w:spacing w:before="120"/>
              <w:ind w:left="714" w:hanging="357"/>
              <w:jc w:val="both"/>
              <w:rPr>
                <w:rFonts w:eastAsia="MS Mincho" w:cs="Times New Roman"/>
                <w:noProof/>
                <w:szCs w:val="32"/>
                <w:lang w:val="fr-FR"/>
              </w:rPr>
            </w:pPr>
            <w:r w:rsidRPr="00E54F17">
              <w:rPr>
                <w:rFonts w:eastAsia="MS Mincho" w:cs="Times New Roman"/>
                <w:noProof/>
                <w:szCs w:val="32"/>
                <w:lang w:val="fr-FR"/>
              </w:rPr>
              <w:t xml:space="preserve">des contrats initiés avec le module d’Euroclear </w:t>
            </w:r>
            <w:r>
              <w:rPr>
                <w:rFonts w:eastAsia="MS Mincho" w:cs="Times New Roman"/>
                <w:noProof/>
                <w:szCs w:val="32"/>
                <w:lang w:val="fr-FR"/>
              </w:rPr>
              <w:t>pour lesquels, si</w:t>
            </w:r>
            <w:r w:rsidRPr="00E54F17">
              <w:rPr>
                <w:rFonts w:eastAsia="MS Mincho" w:cs="Times New Roman"/>
                <w:noProof/>
                <w:szCs w:val="32"/>
                <w:lang w:val="fr-FR"/>
              </w:rPr>
              <w:t xml:space="preserve"> l’échéance intervien</w:t>
            </w:r>
            <w:r>
              <w:rPr>
                <w:rFonts w:eastAsia="MS Mincho" w:cs="Times New Roman"/>
                <w:noProof/>
                <w:szCs w:val="32"/>
                <w:lang w:val="fr-FR"/>
              </w:rPr>
              <w:t>t après le</w:t>
            </w:r>
            <w:r w:rsidRPr="00E54F17">
              <w:rPr>
                <w:rFonts w:eastAsia="MS Mincho" w:cs="Times New Roman"/>
                <w:noProof/>
                <w:szCs w:val="32"/>
                <w:lang w:val="fr-FR"/>
              </w:rPr>
              <w:t xml:space="preserve"> démarrage de T2S</w:t>
            </w:r>
            <w:r>
              <w:rPr>
                <w:rFonts w:eastAsia="MS Mincho" w:cs="Times New Roman"/>
                <w:noProof/>
                <w:szCs w:val="32"/>
                <w:lang w:val="fr-FR"/>
              </w:rPr>
              <w:t>, il conviendra de réemettre manuellement la restitution en mode « achat/vente »</w:t>
            </w:r>
            <w:r w:rsidRPr="00E54F17">
              <w:rPr>
                <w:rFonts w:eastAsia="MS Mincho" w:cs="Times New Roman"/>
                <w:noProof/>
                <w:szCs w:val="32"/>
                <w:lang w:val="fr-FR"/>
              </w:rPr>
              <w:t>.</w:t>
            </w:r>
          </w:p>
          <w:p w:rsidR="00FA4417" w:rsidRDefault="00FA4417" w:rsidP="00FA4417">
            <w:pPr>
              <w:spacing w:before="120"/>
              <w:jc w:val="both"/>
              <w:rPr>
                <w:rFonts w:eastAsia="MS Mincho" w:cs="Times New Roman"/>
                <w:noProof/>
                <w:szCs w:val="32"/>
                <w:lang w:val="fr-FR"/>
              </w:rPr>
            </w:pPr>
            <w:r w:rsidRPr="00E54F17">
              <w:rPr>
                <w:rFonts w:eastAsia="MS Mincho" w:cs="Times New Roman"/>
                <w:noProof/>
                <w:szCs w:val="32"/>
                <w:lang w:val="fr-FR"/>
              </w:rPr>
              <w:t xml:space="preserve">Le régime de gestion des OST sur flux sur cessions temporaires diffère selon le mode de saisie </w:t>
            </w:r>
            <w:r>
              <w:rPr>
                <w:rFonts w:eastAsia="MS Mincho" w:cs="Times New Roman"/>
                <w:noProof/>
                <w:szCs w:val="32"/>
                <w:lang w:val="fr-FR"/>
              </w:rPr>
              <w:t xml:space="preserve">et le type de produit négocié mais aussi </w:t>
            </w:r>
            <w:r w:rsidRPr="00E54F17">
              <w:rPr>
                <w:rFonts w:eastAsia="MS Mincho" w:cs="Times New Roman"/>
                <w:noProof/>
                <w:szCs w:val="32"/>
                <w:lang w:val="fr-FR"/>
              </w:rPr>
              <w:t>selon l’environnement (ESES ou T2S).</w:t>
            </w:r>
          </w:p>
          <w:p w:rsidR="00FA4417" w:rsidRDefault="00FA4417" w:rsidP="00FA4417">
            <w:pPr>
              <w:spacing w:before="120"/>
              <w:jc w:val="both"/>
              <w:rPr>
                <w:rFonts w:eastAsia="MS Mincho" w:cs="Times New Roman"/>
                <w:noProof/>
                <w:szCs w:val="32"/>
                <w:lang w:val="fr-FR"/>
              </w:rPr>
            </w:pPr>
            <w:r w:rsidRPr="00E54F17">
              <w:rPr>
                <w:rFonts w:eastAsia="MS Mincho" w:cs="Times New Roman"/>
                <w:noProof/>
                <w:szCs w:val="32"/>
                <w:lang w:val="fr-FR"/>
              </w:rPr>
              <w:lastRenderedPageBreak/>
              <w:t xml:space="preserve">Les règles de gestion </w:t>
            </w:r>
            <w:r>
              <w:rPr>
                <w:rFonts w:eastAsia="MS Mincho" w:cs="Times New Roman"/>
                <w:noProof/>
                <w:szCs w:val="32"/>
                <w:lang w:val="fr-FR"/>
              </w:rPr>
              <w:t>correspondant à la période courant jusqu’au 12 septembre 2016</w:t>
            </w:r>
            <w:r w:rsidRPr="00E54F17">
              <w:rPr>
                <w:rFonts w:eastAsia="MS Mincho" w:cs="Times New Roman"/>
                <w:noProof/>
                <w:szCs w:val="32"/>
                <w:lang w:val="fr-FR"/>
              </w:rPr>
              <w:t xml:space="preserve"> sont explicitées </w:t>
            </w:r>
            <w:r>
              <w:rPr>
                <w:rFonts w:eastAsia="MS Mincho" w:cs="Times New Roman"/>
                <w:noProof/>
                <w:szCs w:val="32"/>
                <w:lang w:val="fr-FR"/>
              </w:rPr>
              <w:t>en annexe de</w:t>
            </w:r>
            <w:r w:rsidRPr="00E54F17">
              <w:rPr>
                <w:rFonts w:eastAsia="MS Mincho" w:cs="Times New Roman"/>
                <w:noProof/>
                <w:szCs w:val="32"/>
                <w:lang w:val="fr-FR"/>
              </w:rPr>
              <w:t xml:space="preserve"> la présente fiche </w:t>
            </w:r>
            <w:r>
              <w:rPr>
                <w:rFonts w:eastAsia="MS Mincho" w:cs="Times New Roman"/>
                <w:noProof/>
                <w:szCs w:val="32"/>
                <w:lang w:val="fr-FR"/>
              </w:rPr>
              <w:t>ainsi que</w:t>
            </w:r>
            <w:r w:rsidRPr="00E54F17">
              <w:rPr>
                <w:rFonts w:eastAsia="MS Mincho" w:cs="Times New Roman"/>
                <w:noProof/>
                <w:szCs w:val="32"/>
                <w:lang w:val="fr-FR"/>
              </w:rPr>
              <w:t xml:space="preserve"> dans la fiche « OST/Flux-CESSIONS TEMPORAIRES-02 » pour la période post</w:t>
            </w:r>
            <w:r>
              <w:rPr>
                <w:rFonts w:eastAsia="MS Mincho" w:cs="Times New Roman"/>
                <w:noProof/>
                <w:szCs w:val="32"/>
                <w:lang w:val="fr-FR"/>
              </w:rPr>
              <w:t>-</w:t>
            </w:r>
            <w:r w:rsidRPr="00E54F17">
              <w:rPr>
                <w:rFonts w:eastAsia="MS Mincho" w:cs="Times New Roman"/>
                <w:noProof/>
                <w:szCs w:val="32"/>
                <w:lang w:val="fr-FR"/>
              </w:rPr>
              <w:t>migration à T2S.</w:t>
            </w:r>
          </w:p>
          <w:p w:rsidR="00FA4417" w:rsidRDefault="00FA4417" w:rsidP="00FA4417">
            <w:pPr>
              <w:spacing w:before="120"/>
              <w:jc w:val="both"/>
              <w:rPr>
                <w:rFonts w:eastAsia="MS Mincho" w:cs="Times New Roman"/>
                <w:noProof/>
                <w:szCs w:val="32"/>
                <w:lang w:val="fr-FR"/>
              </w:rPr>
            </w:pPr>
            <w:r w:rsidRPr="00E54F17">
              <w:rPr>
                <w:rFonts w:eastAsia="MS Mincho" w:cs="Times New Roman"/>
                <w:noProof/>
                <w:szCs w:val="32"/>
                <w:lang w:val="fr-FR"/>
              </w:rPr>
              <w:t>L’analyse des différents cas</w:t>
            </w:r>
            <w:r>
              <w:rPr>
                <w:rFonts w:eastAsia="MS Mincho" w:cs="Times New Roman"/>
                <w:noProof/>
                <w:szCs w:val="32"/>
                <w:lang w:val="fr-FR"/>
              </w:rPr>
              <w:t xml:space="preserve"> qui résulteraient de l’application des recommandations de la fiche MS-SETTL-CESSIONTEMP</w:t>
            </w:r>
            <w:r w:rsidRPr="00E54F17">
              <w:rPr>
                <w:rFonts w:eastAsia="MS Mincho" w:cs="Times New Roman"/>
                <w:noProof/>
                <w:szCs w:val="32"/>
                <w:lang w:val="fr-FR"/>
              </w:rPr>
              <w:t xml:space="preserve"> </w:t>
            </w:r>
            <w:r>
              <w:rPr>
                <w:rFonts w:eastAsia="MS Mincho" w:cs="Times New Roman"/>
                <w:noProof/>
                <w:szCs w:val="32"/>
                <w:lang w:val="fr-FR"/>
              </w:rPr>
              <w:t xml:space="preserve">01 </w:t>
            </w:r>
            <w:r w:rsidRPr="00E54F17">
              <w:rPr>
                <w:rFonts w:eastAsia="MS Mincho" w:cs="Times New Roman"/>
                <w:noProof/>
                <w:szCs w:val="32"/>
                <w:lang w:val="fr-FR"/>
              </w:rPr>
              <w:t>fait ressortir</w:t>
            </w:r>
            <w:r>
              <w:rPr>
                <w:rFonts w:eastAsia="MS Mincho" w:cs="Times New Roman"/>
                <w:noProof/>
                <w:szCs w:val="32"/>
                <w:lang w:val="fr-FR"/>
              </w:rPr>
              <w:t xml:space="preserve"> que des</w:t>
            </w:r>
            <w:r w:rsidRPr="00E54F17">
              <w:rPr>
                <w:rFonts w:eastAsia="MS Mincho" w:cs="Times New Roman"/>
                <w:noProof/>
                <w:szCs w:val="32"/>
                <w:lang w:val="fr-FR"/>
              </w:rPr>
              <w:t xml:space="preserve"> O</w:t>
            </w:r>
            <w:r>
              <w:rPr>
                <w:rFonts w:eastAsia="MS Mincho" w:cs="Times New Roman"/>
                <w:noProof/>
                <w:szCs w:val="32"/>
                <w:lang w:val="fr-FR"/>
              </w:rPr>
              <w:t>ST</w:t>
            </w:r>
            <w:r w:rsidRPr="00E54F17">
              <w:rPr>
                <w:rFonts w:eastAsia="MS Mincho" w:cs="Times New Roman"/>
                <w:noProof/>
                <w:szCs w:val="32"/>
                <w:lang w:val="fr-FR"/>
              </w:rPr>
              <w:t xml:space="preserve"> sur flux </w:t>
            </w:r>
            <w:r>
              <w:rPr>
                <w:rFonts w:eastAsia="MS Mincho" w:cs="Times New Roman"/>
                <w:noProof/>
                <w:szCs w:val="32"/>
                <w:lang w:val="fr-FR"/>
              </w:rPr>
              <w:t>pourraient être engendrés selon les choix d’alimentation des trade date et la nature de l’opération et du produit négocié (cf. annexe de cette fiche).</w:t>
            </w:r>
          </w:p>
          <w:p w:rsidR="00FA4417" w:rsidRDefault="00FA4417" w:rsidP="00FA4417">
            <w:pPr>
              <w:spacing w:before="120"/>
              <w:jc w:val="both"/>
              <w:rPr>
                <w:rFonts w:eastAsia="MS Mincho" w:cs="Times New Roman"/>
                <w:noProof/>
                <w:szCs w:val="32"/>
                <w:lang w:val="fr-FR"/>
              </w:rPr>
            </w:pPr>
            <w:r w:rsidRPr="00E54F17">
              <w:rPr>
                <w:rFonts w:eastAsia="MS Mincho" w:cs="Times New Roman"/>
                <w:noProof/>
                <w:szCs w:val="32"/>
                <w:lang w:val="fr-FR"/>
              </w:rPr>
              <w:t xml:space="preserve">Il est donc apparu nécessaire de mettre en place une pratique de marché </w:t>
            </w:r>
            <w:r>
              <w:rPr>
                <w:rFonts w:eastAsia="MS Mincho" w:cs="Times New Roman"/>
                <w:noProof/>
                <w:szCs w:val="32"/>
                <w:lang w:val="fr-FR"/>
              </w:rPr>
              <w:t xml:space="preserve">permettant d’appréhender le système d’éligibilité des OST sur flux  conformément au mode d’alimentation des trades dates. </w:t>
            </w:r>
          </w:p>
          <w:p w:rsidR="0081511D" w:rsidRPr="00113071" w:rsidRDefault="00FA4417" w:rsidP="00776CD9">
            <w:pPr>
              <w:spacing w:before="120"/>
              <w:jc w:val="both"/>
              <w:rPr>
                <w:rFonts w:eastAsia="MS Mincho" w:cs="Times New Roman"/>
                <w:noProof/>
                <w:szCs w:val="32"/>
                <w:lang w:val="fr-FR"/>
              </w:rPr>
            </w:pPr>
            <w:r w:rsidRPr="00E54F17">
              <w:rPr>
                <w:rFonts w:eastAsia="MS Mincho" w:cs="Times New Roman"/>
                <w:noProof/>
                <w:szCs w:val="32"/>
                <w:lang w:val="fr-FR"/>
              </w:rPr>
              <w:t xml:space="preserve">La régularisation des </w:t>
            </w:r>
            <w:r>
              <w:rPr>
                <w:rFonts w:eastAsia="MS Mincho" w:cs="Times New Roman"/>
                <w:noProof/>
                <w:szCs w:val="32"/>
                <w:lang w:val="fr-FR"/>
              </w:rPr>
              <w:t>OST</w:t>
            </w:r>
            <w:r w:rsidRPr="00E54F17">
              <w:rPr>
                <w:rFonts w:eastAsia="MS Mincho" w:cs="Times New Roman"/>
                <w:noProof/>
                <w:szCs w:val="32"/>
                <w:lang w:val="fr-FR"/>
              </w:rPr>
              <w:t xml:space="preserve"> sur flux se fera donc </w:t>
            </w:r>
            <w:r>
              <w:rPr>
                <w:rFonts w:eastAsia="MS Mincho" w:cs="Times New Roman"/>
                <w:noProof/>
                <w:szCs w:val="32"/>
                <w:lang w:val="fr-FR"/>
              </w:rPr>
              <w:t xml:space="preserve">dans tous les cas </w:t>
            </w:r>
            <w:r w:rsidRPr="00E54F17">
              <w:rPr>
                <w:rFonts w:eastAsia="MS Mincho" w:cs="Times New Roman"/>
                <w:noProof/>
                <w:szCs w:val="32"/>
                <w:lang w:val="fr-FR"/>
              </w:rPr>
              <w:t>par accord entre les deux parties avec un règlement bilatéral.</w:t>
            </w:r>
          </w:p>
        </w:tc>
      </w:tr>
      <w:tr w:rsidR="0081511D" w:rsidRPr="00FA4417" w:rsidTr="006542E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RPr="0081511D" w:rsidTr="0081511D">
        <w:tc>
          <w:tcPr>
            <w:tcW w:w="2093" w:type="dxa"/>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 xml:space="preserve">Description des rôles de toutes les parties prenantes </w:t>
            </w:r>
          </w:p>
          <w:p w:rsidR="0081511D" w:rsidRPr="00D103DA"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513" w:type="dxa"/>
          </w:tcPr>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tc>
      </w:tr>
      <w:tr w:rsidR="0081511D" w:rsidRPr="0081511D" w:rsidTr="006542E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RPr="0081511D" w:rsidTr="0081511D">
        <w:tc>
          <w:tcPr>
            <w:tcW w:w="2093" w:type="dxa"/>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Schéma des flux</w:t>
            </w:r>
          </w:p>
          <w:p w:rsidR="0081511D"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513" w:type="dxa"/>
          </w:tcPr>
          <w:p w:rsidR="0081511D" w:rsidRPr="00FD2FD6" w:rsidRDefault="0081511D" w:rsidP="0081511D">
            <w:pPr>
              <w:rPr>
                <w:rFonts w:eastAsia="MS Mincho" w:cs="Times New Roman"/>
                <w:noProof/>
                <w:szCs w:val="32"/>
                <w:lang w:val="fr-FR"/>
              </w:rPr>
            </w:pPr>
          </w:p>
        </w:tc>
      </w:tr>
      <w:tr w:rsidR="0081511D" w:rsidRPr="0081511D" w:rsidTr="006542E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RPr="00113071" w:rsidTr="0091257E">
        <w:tc>
          <w:tcPr>
            <w:tcW w:w="2093" w:type="dxa"/>
            <w:tcBorders>
              <w:bottom w:val="single" w:sz="4" w:space="0" w:color="auto"/>
            </w:tcBorders>
            <w:shd w:val="clear" w:color="auto" w:fill="BFBFBF" w:themeFill="background1" w:themeFillShade="BF"/>
          </w:tcPr>
          <w:p w:rsidR="0081511D" w:rsidRDefault="0081511D" w:rsidP="00EC776F">
            <w:pPr>
              <w:rPr>
                <w:rFonts w:eastAsia="MS Mincho" w:cs="Times New Roman"/>
                <w:b/>
                <w:noProof/>
                <w:szCs w:val="32"/>
                <w:lang w:val="fr-FR"/>
              </w:rPr>
            </w:pPr>
            <w:r>
              <w:rPr>
                <w:rFonts w:eastAsia="MS Mincho" w:cs="Times New Roman"/>
                <w:b/>
                <w:noProof/>
                <w:szCs w:val="32"/>
                <w:lang w:val="fr-FR"/>
              </w:rPr>
              <w:t>Liens avec d’autres pratiques</w:t>
            </w:r>
          </w:p>
        </w:tc>
        <w:tc>
          <w:tcPr>
            <w:tcW w:w="7513" w:type="dxa"/>
            <w:tcBorders>
              <w:bottom w:val="single" w:sz="4" w:space="0" w:color="auto"/>
            </w:tcBorders>
          </w:tcPr>
          <w:p w:rsidR="00FA4417" w:rsidRDefault="00FA4417" w:rsidP="00FA4417">
            <w:pPr>
              <w:pStyle w:val="ListParagraph"/>
              <w:numPr>
                <w:ilvl w:val="0"/>
                <w:numId w:val="3"/>
              </w:numPr>
              <w:ind w:left="317" w:hanging="284"/>
              <w:rPr>
                <w:rFonts w:eastAsia="MS Mincho" w:cs="Times New Roman"/>
                <w:noProof/>
                <w:szCs w:val="32"/>
                <w:lang w:val="fr-FR"/>
              </w:rPr>
            </w:pPr>
            <w:r>
              <w:rPr>
                <w:rFonts w:eastAsia="MS Mincho" w:cs="Times New Roman"/>
                <w:noProof/>
                <w:szCs w:val="32"/>
                <w:lang w:val="fr-FR"/>
              </w:rPr>
              <w:t xml:space="preserve">MS-SETTL-CESSIONTEMP-01 </w:t>
            </w:r>
          </w:p>
          <w:p w:rsidR="00FA4417" w:rsidRDefault="00FA4417" w:rsidP="00FA4417">
            <w:pPr>
              <w:pStyle w:val="ListParagraph"/>
              <w:numPr>
                <w:ilvl w:val="0"/>
                <w:numId w:val="3"/>
              </w:numPr>
              <w:ind w:left="317" w:hanging="284"/>
              <w:rPr>
                <w:rFonts w:eastAsia="MS Mincho" w:cs="Times New Roman"/>
                <w:noProof/>
                <w:szCs w:val="32"/>
                <w:lang w:val="fr-FR"/>
              </w:rPr>
            </w:pPr>
            <w:r>
              <w:rPr>
                <w:rFonts w:eastAsia="MS Mincho" w:cs="Times New Roman"/>
                <w:noProof/>
                <w:szCs w:val="32"/>
                <w:lang w:val="fr-FR"/>
              </w:rPr>
              <w:t>MS-SETTL-CESSIONTEMP-02</w:t>
            </w:r>
          </w:p>
          <w:p w:rsidR="00FA4417" w:rsidRDefault="00FA4417" w:rsidP="00FA4417">
            <w:pPr>
              <w:pStyle w:val="ListParagraph"/>
              <w:numPr>
                <w:ilvl w:val="0"/>
                <w:numId w:val="3"/>
              </w:numPr>
              <w:ind w:left="317" w:hanging="284"/>
              <w:rPr>
                <w:rFonts w:eastAsia="MS Mincho" w:cs="Times New Roman"/>
                <w:noProof/>
                <w:szCs w:val="32"/>
                <w:lang w:val="fr-FR"/>
              </w:rPr>
            </w:pPr>
            <w:r w:rsidRPr="00A54277">
              <w:rPr>
                <w:rFonts w:eastAsia="MS Mincho" w:cs="Times New Roman"/>
                <w:noProof/>
                <w:szCs w:val="32"/>
                <w:lang w:val="fr-FR"/>
              </w:rPr>
              <w:t>MS-SETTL-CRISTALLISATION-REPOS-01</w:t>
            </w:r>
          </w:p>
          <w:p w:rsidR="00FA4417" w:rsidRPr="00FA4417" w:rsidRDefault="00FA4417" w:rsidP="00FA4417">
            <w:pPr>
              <w:pStyle w:val="ListParagraph"/>
              <w:numPr>
                <w:ilvl w:val="0"/>
                <w:numId w:val="3"/>
              </w:numPr>
              <w:ind w:left="317" w:hanging="284"/>
              <w:rPr>
                <w:rFonts w:eastAsia="MS Mincho" w:cs="Times New Roman"/>
                <w:noProof/>
                <w:szCs w:val="32"/>
                <w:lang w:val="fr-FR"/>
              </w:rPr>
            </w:pPr>
            <w:r w:rsidRPr="00FA4417">
              <w:rPr>
                <w:rFonts w:eastAsia="MS Mincho" w:cs="Times New Roman"/>
                <w:noProof/>
                <w:szCs w:val="32"/>
                <w:lang w:val="fr-FR"/>
              </w:rPr>
              <w:t>OF-FLUX-CESSIONSTEMPORAIRES-02</w:t>
            </w:r>
          </w:p>
          <w:p w:rsidR="0081511D" w:rsidRPr="00FA4417" w:rsidRDefault="00FA4417" w:rsidP="00FA4417">
            <w:pPr>
              <w:pStyle w:val="ListParagraph"/>
              <w:numPr>
                <w:ilvl w:val="0"/>
                <w:numId w:val="3"/>
              </w:numPr>
              <w:ind w:left="317" w:hanging="284"/>
              <w:rPr>
                <w:rFonts w:eastAsia="MS Mincho" w:cs="Times New Roman"/>
                <w:noProof/>
                <w:szCs w:val="32"/>
                <w:lang w:val="fr-FR"/>
              </w:rPr>
            </w:pPr>
            <w:r w:rsidRPr="00FA4417">
              <w:rPr>
                <w:rFonts w:eastAsia="MS Mincho" w:cs="Times New Roman"/>
                <w:noProof/>
                <w:szCs w:val="32"/>
                <w:lang w:val="fr-FR"/>
              </w:rPr>
              <w:t>MS-MATCH-CRITE-03</w:t>
            </w:r>
          </w:p>
        </w:tc>
      </w:tr>
    </w:tbl>
    <w:p w:rsidR="001E0D83" w:rsidRDefault="001E0D83" w:rsidP="00D103DA">
      <w:pPr>
        <w:spacing w:after="0" w:line="240" w:lineRule="auto"/>
        <w:rPr>
          <w:rFonts w:eastAsia="MS Mincho" w:cs="Times New Roman"/>
          <w:noProof/>
          <w:szCs w:val="32"/>
          <w:lang w:val="fr-FR"/>
        </w:rPr>
      </w:pPr>
    </w:p>
    <w:p w:rsidR="0081511D" w:rsidRDefault="0081511D" w:rsidP="00D103DA">
      <w:pPr>
        <w:spacing w:after="0" w:line="240" w:lineRule="auto"/>
        <w:rPr>
          <w:rFonts w:eastAsia="MS Mincho" w:cs="Times New Roman"/>
          <w:noProof/>
          <w:szCs w:val="32"/>
          <w:lang w:val="fr-FR"/>
        </w:rPr>
      </w:pPr>
    </w:p>
    <w:p w:rsidR="0081511D" w:rsidRPr="004F6025" w:rsidRDefault="0081511D" w:rsidP="0081511D">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proposition de pratique de marché</w:t>
      </w:r>
    </w:p>
    <w:p w:rsidR="0081511D" w:rsidRDefault="0081511D" w:rsidP="00D103DA">
      <w:pPr>
        <w:spacing w:after="0" w:line="240" w:lineRule="auto"/>
        <w:rPr>
          <w:rFonts w:eastAsia="MS Mincho" w:cs="Times New Roman"/>
          <w:noProof/>
          <w:szCs w:val="32"/>
          <w:lang w:val="fr-FR"/>
        </w:rPr>
      </w:pPr>
    </w:p>
    <w:tbl>
      <w:tblPr>
        <w:tblStyle w:val="TableGrid"/>
        <w:tblW w:w="9606" w:type="dxa"/>
        <w:tblLook w:val="04A0" w:firstRow="1" w:lastRow="0" w:firstColumn="1" w:lastColumn="0" w:noHBand="0" w:noVBand="1"/>
      </w:tblPr>
      <w:tblGrid>
        <w:gridCol w:w="2093"/>
        <w:gridCol w:w="7483"/>
        <w:gridCol w:w="30"/>
      </w:tblGrid>
      <w:tr w:rsidR="001E0D83" w:rsidRPr="00FA4417" w:rsidTr="0081511D">
        <w:trPr>
          <w:gridAfter w:val="1"/>
          <w:wAfter w:w="30" w:type="dxa"/>
        </w:trPr>
        <w:tc>
          <w:tcPr>
            <w:tcW w:w="2093" w:type="dxa"/>
            <w:shd w:val="clear" w:color="auto" w:fill="BFBFBF" w:themeFill="background1" w:themeFillShade="BF"/>
          </w:tcPr>
          <w:p w:rsidR="001E0D83" w:rsidRPr="00D103DA" w:rsidRDefault="0091257E" w:rsidP="00EC776F">
            <w:pPr>
              <w:rPr>
                <w:rFonts w:eastAsia="MS Mincho" w:cs="Times New Roman"/>
                <w:b/>
                <w:noProof/>
                <w:szCs w:val="32"/>
                <w:lang w:val="fr-FR"/>
              </w:rPr>
            </w:pPr>
            <w:r>
              <w:rPr>
                <w:rFonts w:eastAsia="MS Mincho" w:cs="Times New Roman"/>
                <w:b/>
                <w:noProof/>
                <w:szCs w:val="32"/>
                <w:lang w:val="fr-FR"/>
              </w:rPr>
              <w:t>Pratique</w:t>
            </w:r>
            <w:r w:rsidR="00BA66D3">
              <w:rPr>
                <w:rFonts w:eastAsia="MS Mincho" w:cs="Times New Roman"/>
                <w:b/>
                <w:noProof/>
                <w:szCs w:val="32"/>
                <w:lang w:val="fr-FR"/>
              </w:rPr>
              <w:t xml:space="preserve"> </w:t>
            </w:r>
            <w:r w:rsidR="001E0D83">
              <w:rPr>
                <w:rFonts w:eastAsia="MS Mincho" w:cs="Times New Roman"/>
                <w:b/>
                <w:noProof/>
                <w:szCs w:val="32"/>
                <w:lang w:val="fr-FR"/>
              </w:rPr>
              <w:t>recommandé</w:t>
            </w:r>
            <w:r w:rsidR="00BA66D3">
              <w:rPr>
                <w:rFonts w:eastAsia="MS Mincho" w:cs="Times New Roman"/>
                <w:b/>
                <w:noProof/>
                <w:szCs w:val="32"/>
                <w:lang w:val="fr-FR"/>
              </w:rPr>
              <w:t>e</w:t>
            </w:r>
          </w:p>
        </w:tc>
        <w:tc>
          <w:tcPr>
            <w:tcW w:w="7483" w:type="dxa"/>
          </w:tcPr>
          <w:p w:rsidR="00FA4417" w:rsidRDefault="00FA4417" w:rsidP="00FA4417">
            <w:pPr>
              <w:jc w:val="both"/>
              <w:rPr>
                <w:rFonts w:eastAsia="MS Mincho" w:cs="Times New Roman"/>
                <w:noProof/>
                <w:szCs w:val="32"/>
                <w:lang w:val="fr-FR"/>
              </w:rPr>
            </w:pPr>
            <w:r>
              <w:rPr>
                <w:rFonts w:eastAsia="MS Mincho" w:cs="Times New Roman"/>
                <w:noProof/>
                <w:szCs w:val="32"/>
                <w:lang w:val="fr-FR"/>
              </w:rPr>
              <w:t>Cette recommandation concerne les règles de gestion des OST sur flux s’appliquant aux opérations de cessions temporaires traitées hors module Euroclear, ou dans le module Euroclear, et devant faire, pour ces dernières, l’objet d’une réinstruction après la migration T2S.</w:t>
            </w:r>
          </w:p>
          <w:p w:rsidR="00FA4417" w:rsidRDefault="00FA4417" w:rsidP="00FA4417">
            <w:pPr>
              <w:jc w:val="both"/>
              <w:rPr>
                <w:rFonts w:eastAsia="MS Mincho" w:cs="Times New Roman"/>
                <w:noProof/>
                <w:szCs w:val="32"/>
                <w:lang w:val="fr-FR"/>
              </w:rPr>
            </w:pPr>
          </w:p>
          <w:p w:rsidR="00FA4417" w:rsidRDefault="00FA4417" w:rsidP="00FA4417">
            <w:pPr>
              <w:pStyle w:val="ListParagraph"/>
              <w:numPr>
                <w:ilvl w:val="0"/>
                <w:numId w:val="3"/>
              </w:numPr>
              <w:ind w:left="317" w:hanging="284"/>
              <w:jc w:val="both"/>
              <w:rPr>
                <w:rFonts w:eastAsia="MS Mincho" w:cs="Times New Roman"/>
                <w:noProof/>
                <w:szCs w:val="32"/>
                <w:lang w:val="fr-FR"/>
              </w:rPr>
            </w:pPr>
            <w:r>
              <w:rPr>
                <w:rFonts w:eastAsia="MS Mincho" w:cs="Times New Roman"/>
                <w:noProof/>
                <w:szCs w:val="32"/>
                <w:lang w:val="fr-FR"/>
              </w:rPr>
              <w:t xml:space="preserve">Concernant les pensions livrées, l’analyse porte sur les règles d’alimentation de la TD, </w:t>
            </w:r>
            <w:r w:rsidRPr="00E54F17">
              <w:rPr>
                <w:rFonts w:eastAsia="MS Mincho" w:cs="Times New Roman"/>
                <w:noProof/>
                <w:szCs w:val="32"/>
                <w:lang w:val="fr-FR"/>
              </w:rPr>
              <w:t>en mode « Achat / Vente »</w:t>
            </w:r>
            <w:r>
              <w:rPr>
                <w:rFonts w:eastAsia="MS Mincho" w:cs="Times New Roman"/>
                <w:noProof/>
                <w:szCs w:val="32"/>
                <w:lang w:val="fr-FR"/>
              </w:rPr>
              <w:t>, ou à réinstruire aprés la migration,</w:t>
            </w:r>
            <w:r w:rsidRPr="00E54F17">
              <w:rPr>
                <w:rFonts w:eastAsia="MS Mincho" w:cs="Times New Roman"/>
                <w:noProof/>
                <w:szCs w:val="32"/>
                <w:lang w:val="fr-FR"/>
              </w:rPr>
              <w:t xml:space="preserve"> </w:t>
            </w:r>
            <w:r>
              <w:rPr>
                <w:rFonts w:eastAsia="MS Mincho" w:cs="Times New Roman"/>
                <w:noProof/>
                <w:szCs w:val="32"/>
                <w:lang w:val="fr-FR"/>
              </w:rPr>
              <w:t xml:space="preserve">telles que définies dans la fiche  MS-SETTL-CESSIONTEMP-01. </w:t>
            </w:r>
          </w:p>
          <w:p w:rsidR="00FA4417" w:rsidRDefault="00FA4417" w:rsidP="00FA4417">
            <w:pPr>
              <w:pStyle w:val="ListParagraph"/>
              <w:ind w:left="317"/>
              <w:jc w:val="both"/>
              <w:rPr>
                <w:rFonts w:eastAsia="MS Mincho" w:cs="Times New Roman"/>
                <w:noProof/>
                <w:szCs w:val="32"/>
                <w:lang w:val="fr-FR"/>
              </w:rPr>
            </w:pPr>
          </w:p>
          <w:p w:rsidR="00FA4417" w:rsidRDefault="00FA4417" w:rsidP="00FA4417">
            <w:pPr>
              <w:pStyle w:val="ListParagraph"/>
              <w:numPr>
                <w:ilvl w:val="0"/>
                <w:numId w:val="3"/>
              </w:numPr>
              <w:ind w:left="317" w:hanging="284"/>
              <w:jc w:val="both"/>
              <w:rPr>
                <w:rFonts w:eastAsia="MS Mincho" w:cs="Times New Roman"/>
                <w:noProof/>
                <w:szCs w:val="32"/>
                <w:lang w:val="fr-FR"/>
              </w:rPr>
            </w:pPr>
            <w:r>
              <w:rPr>
                <w:rFonts w:eastAsia="MS Mincho" w:cs="Times New Roman"/>
                <w:noProof/>
                <w:szCs w:val="32"/>
                <w:lang w:val="fr-FR"/>
              </w:rPr>
              <w:t xml:space="preserve">Concernant les prêts emprunts sur Equities, il convient de noter que l’essentiel du volume de cette activité est déjà traitée en mode « Achat/Vente » selon les pratiques du marché. Les besoins d’alimentation de la TD peuvent différer des opérations de pensions. A noter aussi, que les </w:t>
            </w:r>
            <w:r>
              <w:rPr>
                <w:rFonts w:eastAsia="MS Mincho" w:cs="Times New Roman"/>
                <w:noProof/>
                <w:szCs w:val="32"/>
                <w:lang w:val="fr-FR"/>
              </w:rPr>
              <w:lastRenderedPageBreak/>
              <w:t xml:space="preserve">prêts emprunts présents dans le module Euroclear constituent un volume résiduel et peuvent également porter sur des produits de taux.  </w:t>
            </w:r>
          </w:p>
          <w:p w:rsidR="00FA4417" w:rsidRDefault="00FA4417" w:rsidP="00FA4417">
            <w:pPr>
              <w:pStyle w:val="ListParagraph"/>
              <w:jc w:val="both"/>
              <w:rPr>
                <w:rFonts w:eastAsia="MS Mincho" w:cs="Times New Roman"/>
                <w:noProof/>
                <w:szCs w:val="32"/>
                <w:lang w:val="fr-FR"/>
              </w:rPr>
            </w:pPr>
          </w:p>
          <w:p w:rsidR="00FA4417" w:rsidRPr="00EB23C6" w:rsidRDefault="00FA4417" w:rsidP="00FA4417">
            <w:pPr>
              <w:pStyle w:val="ListParagraph"/>
              <w:jc w:val="both"/>
              <w:rPr>
                <w:rFonts w:eastAsia="MS Mincho" w:cs="Times New Roman"/>
                <w:noProof/>
                <w:szCs w:val="32"/>
                <w:lang w:val="fr-FR"/>
              </w:rPr>
            </w:pPr>
          </w:p>
          <w:p w:rsidR="00FA4417" w:rsidRPr="001626B5" w:rsidRDefault="00FA4417" w:rsidP="00FA4417">
            <w:pPr>
              <w:jc w:val="both"/>
              <w:rPr>
                <w:rFonts w:eastAsia="MS Mincho" w:cs="Times New Roman"/>
                <w:b/>
                <w:noProof/>
                <w:szCs w:val="32"/>
                <w:u w:val="single"/>
                <w:lang w:val="fr-FR"/>
              </w:rPr>
            </w:pPr>
            <w:r w:rsidRPr="001626B5">
              <w:rPr>
                <w:rFonts w:eastAsia="MS Mincho" w:cs="Times New Roman"/>
                <w:b/>
                <w:noProof/>
                <w:szCs w:val="32"/>
                <w:u w:val="single"/>
                <w:lang w:val="fr-FR"/>
              </w:rPr>
              <w:t xml:space="preserve">On distingue : </w:t>
            </w:r>
          </w:p>
          <w:p w:rsidR="00FA4417" w:rsidRDefault="00FA4417" w:rsidP="00FA4417">
            <w:pPr>
              <w:jc w:val="both"/>
              <w:rPr>
                <w:rFonts w:eastAsia="MS Mincho" w:cs="Times New Roman"/>
                <w:noProof/>
                <w:szCs w:val="32"/>
                <w:lang w:val="fr-FR"/>
              </w:rPr>
            </w:pPr>
          </w:p>
          <w:p w:rsidR="00FA4417" w:rsidRPr="00661326" w:rsidRDefault="00FA4417" w:rsidP="00FA4417">
            <w:pPr>
              <w:pStyle w:val="ListParagraph"/>
              <w:numPr>
                <w:ilvl w:val="0"/>
                <w:numId w:val="14"/>
              </w:numPr>
              <w:jc w:val="both"/>
              <w:rPr>
                <w:noProof/>
                <w:lang w:val="fr-FR"/>
              </w:rPr>
            </w:pPr>
            <w:r w:rsidRPr="007F13F7">
              <w:rPr>
                <w:rFonts w:eastAsia="MS Mincho" w:cs="Times New Roman"/>
                <w:noProof/>
                <w:szCs w:val="32"/>
                <w:lang w:val="fr-FR"/>
              </w:rPr>
              <w:t xml:space="preserve">Les </w:t>
            </w:r>
            <w:r w:rsidRPr="00EE07C7">
              <w:rPr>
                <w:noProof/>
                <w:lang w:val="fr-FR"/>
              </w:rPr>
              <w:t xml:space="preserve">contrats saisis hors module Euroclear en mode « Achat / Vente », avant la migration ,  dont l’échéance sera antérieure </w:t>
            </w:r>
            <w:r>
              <w:rPr>
                <w:noProof/>
                <w:lang w:val="fr-FR"/>
              </w:rPr>
              <w:t>à la migration T2S (</w:t>
            </w:r>
            <w:r w:rsidRPr="00661326">
              <w:rPr>
                <w:noProof/>
                <w:lang w:val="fr-FR"/>
              </w:rPr>
              <w:t xml:space="preserve">cf. règles définies par la fiche </w:t>
            </w:r>
            <w:r>
              <w:rPr>
                <w:noProof/>
                <w:lang w:val="fr-FR"/>
              </w:rPr>
              <w:t>MS-SETTL-CESSIONTEMP-01)</w:t>
            </w:r>
          </w:p>
          <w:p w:rsidR="00FA4417" w:rsidRDefault="00FA4417" w:rsidP="00FA4417">
            <w:pPr>
              <w:ind w:left="720"/>
              <w:rPr>
                <w:lang w:val="fr-FR"/>
              </w:rPr>
            </w:pPr>
            <w:r>
              <w:rPr>
                <w:lang w:val="fr-FR"/>
              </w:rPr>
              <w:t xml:space="preserve"> </w:t>
            </w:r>
          </w:p>
          <w:tbl>
            <w:tblPr>
              <w:tblStyle w:val="TableGrid"/>
              <w:tblW w:w="0" w:type="auto"/>
              <w:tblInd w:w="28" w:type="dxa"/>
              <w:tblLook w:val="04A0" w:firstRow="1" w:lastRow="0" w:firstColumn="1" w:lastColumn="0" w:noHBand="0" w:noVBand="1"/>
            </w:tblPr>
            <w:tblGrid>
              <w:gridCol w:w="1855"/>
              <w:gridCol w:w="1928"/>
              <w:gridCol w:w="1743"/>
              <w:gridCol w:w="1561"/>
            </w:tblGrid>
            <w:tr w:rsidR="00FA4417" w:rsidRPr="00BE55A2" w:rsidTr="00D527CF">
              <w:tc>
                <w:tcPr>
                  <w:tcW w:w="1855" w:type="dxa"/>
                  <w:shd w:val="clear" w:color="auto" w:fill="D9D9D9" w:themeFill="background1" w:themeFillShade="D9"/>
                  <w:vAlign w:val="center"/>
                </w:tcPr>
                <w:p w:rsidR="00FA4417" w:rsidRDefault="00FA4417" w:rsidP="00D527CF">
                  <w:pPr>
                    <w:ind w:left="51"/>
                    <w:jc w:val="both"/>
                    <w:rPr>
                      <w:lang w:val="fr-FR"/>
                    </w:rPr>
                  </w:pPr>
                  <w:r>
                    <w:rPr>
                      <w:lang w:val="fr-FR"/>
                    </w:rPr>
                    <w:t>Situation Pensions Livrées</w:t>
                  </w:r>
                </w:p>
              </w:tc>
              <w:tc>
                <w:tcPr>
                  <w:tcW w:w="1928" w:type="dxa"/>
                  <w:shd w:val="clear" w:color="auto" w:fill="D9D9D9" w:themeFill="background1" w:themeFillShade="D9"/>
                  <w:vAlign w:val="center"/>
                </w:tcPr>
                <w:p w:rsidR="00FA4417" w:rsidRDefault="00FA4417" w:rsidP="00D527CF">
                  <w:pPr>
                    <w:jc w:val="both"/>
                    <w:rPr>
                      <w:lang w:val="fr-FR"/>
                    </w:rPr>
                  </w:pPr>
                  <w:r>
                    <w:rPr>
                      <w:lang w:val="fr-FR"/>
                    </w:rPr>
                    <w:t>ISD de la jambe retour &gt; Trade date originelle de plus de 35 jours</w:t>
                  </w:r>
                </w:p>
              </w:tc>
              <w:tc>
                <w:tcPr>
                  <w:tcW w:w="1743" w:type="dxa"/>
                  <w:shd w:val="clear" w:color="auto" w:fill="D9D9D9" w:themeFill="background1" w:themeFillShade="D9"/>
                  <w:vAlign w:val="center"/>
                </w:tcPr>
                <w:p w:rsidR="00FA4417" w:rsidRDefault="00FA4417" w:rsidP="00D527CF">
                  <w:pPr>
                    <w:jc w:val="both"/>
                    <w:rPr>
                      <w:lang w:val="fr-FR"/>
                    </w:rPr>
                  </w:pPr>
                  <w:r>
                    <w:rPr>
                      <w:lang w:val="fr-FR"/>
                    </w:rPr>
                    <w:t>ISD de la jambe retour &lt; Trade date originelle de plus de 35 jours</w:t>
                  </w:r>
                </w:p>
              </w:tc>
              <w:tc>
                <w:tcPr>
                  <w:tcW w:w="1561" w:type="dxa"/>
                  <w:shd w:val="clear" w:color="auto" w:fill="D9D9D9" w:themeFill="background1" w:themeFillShade="D9"/>
                  <w:vAlign w:val="center"/>
                </w:tcPr>
                <w:p w:rsidR="00FA4417" w:rsidRDefault="00FA4417" w:rsidP="00D527CF">
                  <w:pPr>
                    <w:jc w:val="both"/>
                    <w:rPr>
                      <w:lang w:val="fr-FR"/>
                    </w:rPr>
                  </w:pPr>
                  <w:r>
                    <w:rPr>
                      <w:lang w:val="fr-FR"/>
                    </w:rPr>
                    <w:t>Contrat négocié moins de 35 jours ouvré avant la migration T2S</w:t>
                  </w:r>
                </w:p>
              </w:tc>
            </w:tr>
            <w:tr w:rsidR="00FA4417" w:rsidRPr="00BE55A2" w:rsidTr="00D527CF">
              <w:tc>
                <w:tcPr>
                  <w:tcW w:w="1855" w:type="dxa"/>
                  <w:vAlign w:val="center"/>
                </w:tcPr>
                <w:p w:rsidR="00FA4417" w:rsidRDefault="00FA4417" w:rsidP="00D527CF">
                  <w:pPr>
                    <w:ind w:left="51"/>
                    <w:rPr>
                      <w:lang w:val="fr-FR"/>
                    </w:rPr>
                  </w:pPr>
                  <w:r>
                    <w:rPr>
                      <w:lang w:val="fr-FR"/>
                    </w:rPr>
                    <w:t>Recommandation</w:t>
                  </w:r>
                </w:p>
                <w:p w:rsidR="00FA4417" w:rsidRDefault="00FA4417" w:rsidP="00D527CF">
                  <w:pPr>
                    <w:ind w:left="51"/>
                    <w:rPr>
                      <w:lang w:val="fr-FR"/>
                    </w:rPr>
                  </w:pPr>
                  <w:r w:rsidRPr="009F26A0">
                    <w:rPr>
                      <w:lang w:val="fr-FR"/>
                    </w:rPr>
                    <w:t>Groupe AFTI Marchés Obligataires &amp; Collatéral</w:t>
                  </w:r>
                  <w:r>
                    <w:rPr>
                      <w:lang w:val="fr-FR"/>
                    </w:rPr>
                    <w:t xml:space="preserve"> (MOC)</w:t>
                  </w:r>
                </w:p>
              </w:tc>
              <w:tc>
                <w:tcPr>
                  <w:tcW w:w="1928" w:type="dxa"/>
                  <w:vAlign w:val="center"/>
                </w:tcPr>
                <w:p w:rsidR="00FA4417" w:rsidRDefault="00FA4417" w:rsidP="00D527CF">
                  <w:pPr>
                    <w:rPr>
                      <w:lang w:val="fr-FR"/>
                    </w:rPr>
                  </w:pPr>
                  <w:r>
                    <w:rPr>
                      <w:lang w:val="fr-FR"/>
                    </w:rPr>
                    <w:t>TD = ISD</w:t>
                  </w:r>
                </w:p>
              </w:tc>
              <w:tc>
                <w:tcPr>
                  <w:tcW w:w="3304" w:type="dxa"/>
                  <w:gridSpan w:val="2"/>
                  <w:vAlign w:val="center"/>
                </w:tcPr>
                <w:p w:rsidR="00FA4417" w:rsidRDefault="00FA4417" w:rsidP="00D527CF">
                  <w:pPr>
                    <w:rPr>
                      <w:lang w:val="fr-FR"/>
                    </w:rPr>
                  </w:pPr>
                  <w:r>
                    <w:rPr>
                      <w:lang w:val="fr-FR"/>
                    </w:rPr>
                    <w:t>TD = TD originelle de la négociation</w:t>
                  </w:r>
                </w:p>
              </w:tc>
            </w:tr>
            <w:tr w:rsidR="00FA4417" w:rsidRPr="00BE55A2" w:rsidTr="00D527CF">
              <w:tc>
                <w:tcPr>
                  <w:tcW w:w="1855" w:type="dxa"/>
                  <w:vAlign w:val="center"/>
                </w:tcPr>
                <w:p w:rsidR="00FA4417" w:rsidRDefault="00FA4417" w:rsidP="00D527CF">
                  <w:pPr>
                    <w:rPr>
                      <w:lang w:val="fr-FR"/>
                    </w:rPr>
                  </w:pPr>
                  <w:r>
                    <w:rPr>
                      <w:lang w:val="fr-FR"/>
                    </w:rPr>
                    <w:t>Impact des OST flux sur REPO et Prêt Emprunt relatifs à des produits de taux</w:t>
                  </w:r>
                </w:p>
              </w:tc>
              <w:tc>
                <w:tcPr>
                  <w:tcW w:w="5232" w:type="dxa"/>
                  <w:gridSpan w:val="3"/>
                  <w:vAlign w:val="center"/>
                </w:tcPr>
                <w:p w:rsidR="00FA4417" w:rsidRDefault="00FA4417" w:rsidP="00D527CF">
                  <w:pPr>
                    <w:rPr>
                      <w:lang w:val="fr-FR"/>
                    </w:rPr>
                  </w:pPr>
                  <w:r>
                    <w:rPr>
                      <w:lang w:val="fr-FR"/>
                    </w:rPr>
                    <w:t>Peu de risque d’OST flux uniquement en cas des mouvements « </w:t>
                  </w:r>
                  <w:proofErr w:type="spellStart"/>
                  <w:r>
                    <w:rPr>
                      <w:lang w:val="fr-FR"/>
                    </w:rPr>
                    <w:t>failed</w:t>
                  </w:r>
                  <w:proofErr w:type="spellEnd"/>
                  <w:r>
                    <w:rPr>
                      <w:lang w:val="fr-FR"/>
                    </w:rPr>
                    <w:t> </w:t>
                  </w:r>
                  <w:r w:rsidRPr="00262CFE">
                    <w:rPr>
                      <w:color w:val="0070C0"/>
                      <w:lang w:val="fr-FR"/>
                    </w:rPr>
                    <w:t>*</w:t>
                  </w:r>
                  <w:r>
                    <w:rPr>
                      <w:lang w:val="fr-FR"/>
                    </w:rPr>
                    <w:t xml:space="preserve">» </w:t>
                  </w:r>
                  <w:r>
                    <w:rPr>
                      <w:rFonts w:eastAsia="MS Mincho" w:cs="Times New Roman"/>
                      <w:noProof/>
                      <w:szCs w:val="32"/>
                      <w:lang w:val="fr-FR"/>
                    </w:rPr>
                    <w:t>(Cf.Annexe de cette fiche).</w:t>
                  </w:r>
                </w:p>
                <w:p w:rsidR="00FA4417" w:rsidRDefault="00FA4417" w:rsidP="00D527CF">
                  <w:pPr>
                    <w:rPr>
                      <w:lang w:val="fr-FR"/>
                    </w:rPr>
                  </w:pPr>
                  <w:r w:rsidRPr="00262CFE">
                    <w:rPr>
                      <w:color w:val="0070C0"/>
                      <w:sz w:val="18"/>
                      <w:lang w:val="fr-FR"/>
                    </w:rPr>
                    <w:t>(*) c’est-à-dire dont la date de dénouement théorique est égale ou inférieure à la Record date de l’opération mais dont la date de dénouement réelle lui est postérieure.</w:t>
                  </w:r>
                </w:p>
              </w:tc>
            </w:tr>
          </w:tbl>
          <w:p w:rsidR="00FA4417" w:rsidRDefault="00FA4417" w:rsidP="00FA4417">
            <w:pPr>
              <w:ind w:left="720"/>
              <w:rPr>
                <w:lang w:val="fr-FR"/>
              </w:rPr>
            </w:pPr>
          </w:p>
          <w:p w:rsidR="00FA4417" w:rsidRDefault="00FA4417" w:rsidP="00FA4417">
            <w:pPr>
              <w:ind w:left="720"/>
              <w:rPr>
                <w:lang w:val="fr-FR"/>
              </w:rPr>
            </w:pPr>
          </w:p>
          <w:p w:rsidR="00FA4417" w:rsidRDefault="00FA4417" w:rsidP="00FA4417">
            <w:pPr>
              <w:ind w:left="720"/>
              <w:rPr>
                <w:lang w:val="fr-FR"/>
              </w:rPr>
            </w:pPr>
          </w:p>
          <w:p w:rsidR="00FA4417" w:rsidRDefault="00FA4417" w:rsidP="00FA4417">
            <w:pPr>
              <w:ind w:left="720"/>
              <w:rPr>
                <w:lang w:val="fr-FR"/>
              </w:rPr>
            </w:pPr>
          </w:p>
          <w:tbl>
            <w:tblPr>
              <w:tblStyle w:val="TableGrid"/>
              <w:tblW w:w="0" w:type="auto"/>
              <w:tblInd w:w="28" w:type="dxa"/>
              <w:tblLook w:val="04A0" w:firstRow="1" w:lastRow="0" w:firstColumn="1" w:lastColumn="0" w:noHBand="0" w:noVBand="1"/>
            </w:tblPr>
            <w:tblGrid>
              <w:gridCol w:w="1855"/>
              <w:gridCol w:w="5232"/>
            </w:tblGrid>
            <w:tr w:rsidR="00FA4417" w:rsidRPr="001626B5" w:rsidTr="00D527CF">
              <w:tc>
                <w:tcPr>
                  <w:tcW w:w="1855" w:type="dxa"/>
                  <w:shd w:val="clear" w:color="auto" w:fill="BFBFBF" w:themeFill="background1" w:themeFillShade="BF"/>
                  <w:vAlign w:val="center"/>
                </w:tcPr>
                <w:p w:rsidR="00FA4417" w:rsidRDefault="00FA4417" w:rsidP="00D527CF">
                  <w:pPr>
                    <w:jc w:val="center"/>
                    <w:rPr>
                      <w:lang w:val="fr-FR"/>
                    </w:rPr>
                  </w:pPr>
                  <w:r>
                    <w:rPr>
                      <w:lang w:val="fr-FR"/>
                    </w:rPr>
                    <w:t>Situation Prêts Emprunts</w:t>
                  </w:r>
                </w:p>
              </w:tc>
              <w:tc>
                <w:tcPr>
                  <w:tcW w:w="5232" w:type="dxa"/>
                  <w:shd w:val="clear" w:color="auto" w:fill="BFBFBF" w:themeFill="background1" w:themeFillShade="BF"/>
                  <w:vAlign w:val="center"/>
                </w:tcPr>
                <w:p w:rsidR="00FA4417" w:rsidRDefault="00FA4417" w:rsidP="00D527CF">
                  <w:pPr>
                    <w:jc w:val="center"/>
                    <w:rPr>
                      <w:lang w:val="fr-FR"/>
                    </w:rPr>
                  </w:pPr>
                </w:p>
              </w:tc>
            </w:tr>
            <w:tr w:rsidR="00FA4417" w:rsidRPr="00BE55A2" w:rsidTr="00D527CF">
              <w:tc>
                <w:tcPr>
                  <w:tcW w:w="1855" w:type="dxa"/>
                  <w:vAlign w:val="center"/>
                </w:tcPr>
                <w:p w:rsidR="00FA4417" w:rsidRDefault="00FA4417" w:rsidP="00D527CF">
                  <w:pPr>
                    <w:rPr>
                      <w:lang w:val="fr-FR"/>
                    </w:rPr>
                  </w:pPr>
                  <w:r>
                    <w:rPr>
                      <w:lang w:val="fr-FR"/>
                    </w:rPr>
                    <w:t>Impact des OST flux sur REPO et Prêt Emprunt relatifs à des produits de capitaux (</w:t>
                  </w:r>
                  <w:proofErr w:type="spellStart"/>
                  <w:r w:rsidRPr="00BE55A2">
                    <w:rPr>
                      <w:lang w:val="fr-FR"/>
                    </w:rPr>
                    <w:t>equities</w:t>
                  </w:r>
                  <w:proofErr w:type="spellEnd"/>
                  <w:r>
                    <w:rPr>
                      <w:lang w:val="fr-FR"/>
                    </w:rPr>
                    <w:t>...)</w:t>
                  </w:r>
                </w:p>
              </w:tc>
              <w:tc>
                <w:tcPr>
                  <w:tcW w:w="5232" w:type="dxa"/>
                  <w:vAlign w:val="center"/>
                </w:tcPr>
                <w:p w:rsidR="00FA4417" w:rsidRDefault="00FA4417" w:rsidP="00D527CF">
                  <w:pPr>
                    <w:rPr>
                      <w:rFonts w:eastAsia="MS Mincho" w:cs="Times New Roman"/>
                      <w:noProof/>
                      <w:szCs w:val="32"/>
                      <w:lang w:val="fr-FR"/>
                    </w:rPr>
                  </w:pPr>
                  <w:r>
                    <w:rPr>
                      <w:lang w:val="fr-FR"/>
                    </w:rPr>
                    <w:t>Risque d’OST flux (</w:t>
                  </w:r>
                  <w:r>
                    <w:rPr>
                      <w:rFonts w:eastAsia="MS Mincho" w:cs="Times New Roman"/>
                      <w:noProof/>
                      <w:szCs w:val="32"/>
                      <w:lang w:val="fr-FR"/>
                    </w:rPr>
                    <w:t>Cf. Annexe de cette fiche).</w:t>
                  </w:r>
                </w:p>
                <w:p w:rsidR="00FA4417" w:rsidRDefault="00FA4417" w:rsidP="00D527CF">
                  <w:pPr>
                    <w:rPr>
                      <w:rFonts w:eastAsia="MS Mincho" w:cs="Times New Roman"/>
                      <w:noProof/>
                      <w:szCs w:val="32"/>
                      <w:lang w:val="fr-FR"/>
                    </w:rPr>
                  </w:pPr>
                </w:p>
                <w:p w:rsidR="00FA4417" w:rsidRDefault="00FA4417" w:rsidP="00D527CF">
                  <w:pPr>
                    <w:jc w:val="both"/>
                    <w:rPr>
                      <w:rFonts w:eastAsia="MS Mincho" w:cs="Times New Roman"/>
                      <w:noProof/>
                      <w:szCs w:val="32"/>
                      <w:lang w:val="fr-FR"/>
                    </w:rPr>
                  </w:pPr>
                  <w:r>
                    <w:rPr>
                      <w:rFonts w:eastAsia="MS Mincho" w:cs="Times New Roman"/>
                      <w:noProof/>
                      <w:szCs w:val="32"/>
                      <w:lang w:val="fr-FR"/>
                    </w:rPr>
                    <w:t>Néanmoins les Opérations de prêts emprunts ne nécessitent pas de réaligner la TD du retour sur la trade date de négociation initiale.</w:t>
                  </w:r>
                </w:p>
                <w:p w:rsidR="00FA4417" w:rsidRDefault="00FA4417" w:rsidP="00D527CF">
                  <w:pPr>
                    <w:jc w:val="both"/>
                    <w:rPr>
                      <w:rFonts w:eastAsia="MS Mincho" w:cs="Times New Roman"/>
                      <w:noProof/>
                      <w:szCs w:val="32"/>
                      <w:lang w:val="fr-FR"/>
                    </w:rPr>
                  </w:pPr>
                </w:p>
                <w:p w:rsidR="00FA4417" w:rsidRDefault="00FA4417" w:rsidP="00D527CF">
                  <w:pPr>
                    <w:jc w:val="both"/>
                    <w:rPr>
                      <w:rFonts w:eastAsia="MS Mincho" w:cs="Times New Roman"/>
                      <w:noProof/>
                      <w:szCs w:val="32"/>
                      <w:lang w:val="fr-FR"/>
                    </w:rPr>
                  </w:pPr>
                  <w:r>
                    <w:rPr>
                      <w:rFonts w:eastAsia="MS Mincho" w:cs="Times New Roman"/>
                      <w:noProof/>
                      <w:szCs w:val="32"/>
                      <w:lang w:val="fr-FR"/>
                    </w:rPr>
                    <w:t>Les deux opérations  (mise en place et retour du prêt) sont distinguées et les trade-dates alimentées en fonction des accords des parties, des termes du contrat cadre de référence et de la survenance ou non d’une OST durant la période.</w:t>
                  </w:r>
                </w:p>
                <w:p w:rsidR="00FA4417" w:rsidRDefault="00FA4417" w:rsidP="00D527CF">
                  <w:pPr>
                    <w:jc w:val="both"/>
                    <w:rPr>
                      <w:rFonts w:eastAsia="MS Mincho" w:cs="Times New Roman"/>
                      <w:noProof/>
                      <w:szCs w:val="32"/>
                      <w:lang w:val="fr-FR"/>
                    </w:rPr>
                  </w:pPr>
                </w:p>
                <w:p w:rsidR="00FA4417" w:rsidRPr="001626B5" w:rsidRDefault="00FA4417" w:rsidP="00D527CF">
                  <w:pPr>
                    <w:jc w:val="both"/>
                    <w:rPr>
                      <w:lang w:val="fr-FR"/>
                    </w:rPr>
                  </w:pPr>
                  <w:r w:rsidRPr="00677D47">
                    <w:rPr>
                      <w:rFonts w:eastAsia="MS Mincho" w:cs="Times New Roman"/>
                      <w:noProof/>
                      <w:szCs w:val="32"/>
                      <w:lang w:val="fr-FR"/>
                    </w:rPr>
                    <w:t xml:space="preserve">Une neutralisation des effets des OST flux, reviendrait selon les usages à positionner TD = ISD sur chaque </w:t>
                  </w:r>
                  <w:r w:rsidRPr="00677D47">
                    <w:rPr>
                      <w:rFonts w:eastAsia="MS Mincho" w:cs="Times New Roman"/>
                      <w:noProof/>
                      <w:szCs w:val="32"/>
                      <w:lang w:val="fr-FR"/>
                    </w:rPr>
                    <w:lastRenderedPageBreak/>
                    <w:t>terme de la négociation en cas de risque d’OST.</w:t>
                  </w:r>
                </w:p>
              </w:tc>
            </w:tr>
          </w:tbl>
          <w:p w:rsidR="00FA4417" w:rsidRDefault="00FA4417" w:rsidP="00FA4417">
            <w:pPr>
              <w:ind w:left="720"/>
              <w:rPr>
                <w:lang w:val="fr-FR"/>
              </w:rPr>
            </w:pPr>
          </w:p>
          <w:p w:rsidR="00FA4417" w:rsidRDefault="00FA4417" w:rsidP="00FA4417">
            <w:pPr>
              <w:spacing w:before="120"/>
              <w:jc w:val="both"/>
              <w:rPr>
                <w:rFonts w:eastAsia="MS Mincho" w:cs="Times New Roman"/>
                <w:noProof/>
                <w:szCs w:val="32"/>
                <w:lang w:val="fr-FR"/>
              </w:rPr>
            </w:pPr>
            <w:r w:rsidRPr="00361354">
              <w:rPr>
                <w:rFonts w:eastAsia="MS Mincho" w:cs="Times New Roman"/>
                <w:noProof/>
                <w:szCs w:val="32"/>
                <w:lang w:val="fr-FR"/>
              </w:rPr>
              <w:t>Le</w:t>
            </w:r>
            <w:r>
              <w:rPr>
                <w:rFonts w:eastAsia="MS Mincho" w:cs="Times New Roman"/>
                <w:noProof/>
                <w:szCs w:val="32"/>
                <w:lang w:val="fr-FR"/>
              </w:rPr>
              <w:t xml:space="preserve"> système SLAB actuel n’accepte pas d’instruction comportant une trade date postérieure de plus de 35 jours par rapport à sa date de réception (création). Ceci limite les cas où les instructions de mise en place et de restitution sont saisies simultanément. Ainsi pour les cessions temporaires initiées avant le 12 septembre 2016, d’une durée de plus de 35 jours, l’instruction de restitution devra donc être saisie séparément de la mise en place en respectant cette règle.</w:t>
            </w:r>
            <w:r w:rsidDel="00186D9C">
              <w:rPr>
                <w:rFonts w:eastAsia="MS Mincho" w:cs="Times New Roman"/>
                <w:noProof/>
                <w:szCs w:val="32"/>
                <w:lang w:val="fr-FR"/>
              </w:rPr>
              <w:t xml:space="preserve"> </w:t>
            </w:r>
          </w:p>
          <w:p w:rsidR="00FA4417" w:rsidRPr="00D0479E" w:rsidRDefault="00FA4417" w:rsidP="00FA4417">
            <w:pPr>
              <w:spacing w:before="120"/>
              <w:jc w:val="both"/>
              <w:rPr>
                <w:rFonts w:eastAsia="MS Mincho" w:cs="Times New Roman"/>
                <w:noProof/>
                <w:szCs w:val="32"/>
                <w:lang w:val="fr-FR"/>
              </w:rPr>
            </w:pPr>
          </w:p>
          <w:p w:rsidR="00FA4417" w:rsidRDefault="00FA4417" w:rsidP="00FA4417">
            <w:pPr>
              <w:pStyle w:val="ListParagraph"/>
              <w:numPr>
                <w:ilvl w:val="0"/>
                <w:numId w:val="14"/>
              </w:numPr>
              <w:jc w:val="both"/>
              <w:rPr>
                <w:rFonts w:eastAsia="MS Mincho" w:cs="Times New Roman"/>
                <w:noProof/>
                <w:szCs w:val="32"/>
                <w:lang w:val="fr-FR"/>
              </w:rPr>
            </w:pPr>
            <w:r>
              <w:rPr>
                <w:rFonts w:eastAsia="MS Mincho" w:cs="Times New Roman"/>
                <w:noProof/>
                <w:szCs w:val="32"/>
                <w:lang w:val="fr-FR"/>
              </w:rPr>
              <w:t>Les c</w:t>
            </w:r>
            <w:r w:rsidRPr="007F13F7">
              <w:rPr>
                <w:rFonts w:eastAsia="MS Mincho" w:cs="Times New Roman"/>
                <w:noProof/>
                <w:szCs w:val="32"/>
                <w:lang w:val="fr-FR"/>
              </w:rPr>
              <w:t>ontrats initiés avec le module Euroclear dont l’échéance interviendra postérieurement au démarrage de T2S</w:t>
            </w:r>
            <w:r>
              <w:rPr>
                <w:rFonts w:eastAsia="MS Mincho" w:cs="Times New Roman"/>
                <w:noProof/>
                <w:szCs w:val="32"/>
                <w:lang w:val="fr-FR"/>
              </w:rPr>
              <w:t xml:space="preserve">. Il faudra procéder </w:t>
            </w:r>
            <w:r w:rsidRPr="007F13F7">
              <w:rPr>
                <w:rFonts w:eastAsia="MS Mincho" w:cs="Times New Roman"/>
                <w:noProof/>
                <w:szCs w:val="32"/>
                <w:lang w:val="fr-FR"/>
              </w:rPr>
              <w:t xml:space="preserve"> </w:t>
            </w:r>
            <w:r>
              <w:rPr>
                <w:rFonts w:eastAsia="MS Mincho" w:cs="Times New Roman"/>
                <w:noProof/>
                <w:szCs w:val="32"/>
                <w:lang w:val="fr-FR"/>
              </w:rPr>
              <w:t xml:space="preserve"> à une ré-</w:t>
            </w:r>
            <w:r w:rsidRPr="007F13F7">
              <w:rPr>
                <w:rFonts w:eastAsia="MS Mincho" w:cs="Times New Roman"/>
                <w:noProof/>
                <w:szCs w:val="32"/>
                <w:lang w:val="fr-FR"/>
              </w:rPr>
              <w:t>émission des instructions qui seront purgées par Euroclear durant le week-end de migration</w:t>
            </w:r>
            <w:r>
              <w:rPr>
                <w:rFonts w:eastAsia="MS Mincho" w:cs="Times New Roman"/>
                <w:noProof/>
                <w:szCs w:val="32"/>
                <w:lang w:val="fr-FR"/>
              </w:rPr>
              <w:t xml:space="preserve">. Leur </w:t>
            </w:r>
            <w:r w:rsidRPr="00205786">
              <w:rPr>
                <w:rFonts w:eastAsia="MS Mincho" w:cs="Times New Roman"/>
                <w:noProof/>
                <w:szCs w:val="32"/>
                <w:lang w:val="fr-FR"/>
              </w:rPr>
              <w:t>ré-émission d</w:t>
            </w:r>
            <w:r>
              <w:rPr>
                <w:rFonts w:eastAsia="MS Mincho" w:cs="Times New Roman"/>
                <w:noProof/>
                <w:szCs w:val="32"/>
                <w:lang w:val="fr-FR"/>
              </w:rPr>
              <w:t>e</w:t>
            </w:r>
            <w:r w:rsidRPr="00205786">
              <w:rPr>
                <w:rFonts w:eastAsia="MS Mincho" w:cs="Times New Roman"/>
                <w:noProof/>
                <w:szCs w:val="32"/>
                <w:lang w:val="fr-FR"/>
              </w:rPr>
              <w:t xml:space="preserve">vra se faire </w:t>
            </w:r>
            <w:r>
              <w:rPr>
                <w:rFonts w:eastAsia="MS Mincho" w:cs="Times New Roman"/>
                <w:noProof/>
                <w:szCs w:val="32"/>
                <w:lang w:val="fr-FR"/>
              </w:rPr>
              <w:t>aprés la migration en mode « achat/vente ».</w:t>
            </w:r>
          </w:p>
          <w:p w:rsidR="00FA4417" w:rsidRPr="00205786" w:rsidRDefault="00FA4417" w:rsidP="00FA4417">
            <w:pPr>
              <w:pStyle w:val="ListParagraph"/>
              <w:rPr>
                <w:rFonts w:eastAsia="MS Mincho" w:cs="Times New Roman"/>
                <w:noProof/>
                <w:szCs w:val="32"/>
                <w:lang w:val="fr-FR"/>
              </w:rPr>
            </w:pPr>
          </w:p>
          <w:p w:rsidR="00FA4417" w:rsidRDefault="00FA4417" w:rsidP="00FA4417">
            <w:pPr>
              <w:pStyle w:val="ListParagraph"/>
              <w:numPr>
                <w:ilvl w:val="0"/>
                <w:numId w:val="12"/>
              </w:numPr>
              <w:spacing w:before="120"/>
              <w:jc w:val="both"/>
              <w:rPr>
                <w:rFonts w:eastAsia="MS Mincho" w:cs="Times New Roman"/>
                <w:noProof/>
                <w:szCs w:val="32"/>
                <w:lang w:val="fr-FR"/>
              </w:rPr>
            </w:pPr>
            <w:r w:rsidRPr="00BB1428">
              <w:rPr>
                <w:rFonts w:eastAsia="MS Mincho" w:cs="Times New Roman"/>
                <w:noProof/>
                <w:szCs w:val="32"/>
                <w:lang w:val="fr-FR"/>
              </w:rPr>
              <w:t xml:space="preserve">T2S ne </w:t>
            </w:r>
            <w:r>
              <w:rPr>
                <w:rFonts w:eastAsia="MS Mincho" w:cs="Times New Roman"/>
                <w:noProof/>
                <w:szCs w:val="32"/>
                <w:lang w:val="fr-FR"/>
              </w:rPr>
              <w:t>limite plus</w:t>
            </w:r>
            <w:r w:rsidRPr="00BB1428">
              <w:rPr>
                <w:rFonts w:eastAsia="MS Mincho" w:cs="Times New Roman"/>
                <w:noProof/>
                <w:szCs w:val="32"/>
                <w:lang w:val="fr-FR"/>
              </w:rPr>
              <w:t xml:space="preserve"> l’antério</w:t>
            </w:r>
            <w:r>
              <w:rPr>
                <w:rFonts w:eastAsia="MS Mincho" w:cs="Times New Roman"/>
                <w:noProof/>
                <w:szCs w:val="32"/>
                <w:lang w:val="fr-FR"/>
              </w:rPr>
              <w:t>r</w:t>
            </w:r>
            <w:r w:rsidRPr="00BB1428">
              <w:rPr>
                <w:rFonts w:eastAsia="MS Mincho" w:cs="Times New Roman"/>
                <w:noProof/>
                <w:szCs w:val="32"/>
                <w:lang w:val="fr-FR"/>
              </w:rPr>
              <w:t>i</w:t>
            </w:r>
            <w:r>
              <w:rPr>
                <w:rFonts w:eastAsia="MS Mincho" w:cs="Times New Roman"/>
                <w:noProof/>
                <w:szCs w:val="32"/>
                <w:lang w:val="fr-FR"/>
              </w:rPr>
              <w:t>t</w:t>
            </w:r>
            <w:r w:rsidRPr="00BB1428">
              <w:rPr>
                <w:rFonts w:eastAsia="MS Mincho" w:cs="Times New Roman"/>
                <w:noProof/>
                <w:szCs w:val="32"/>
                <w:lang w:val="fr-FR"/>
              </w:rPr>
              <w:t>é de la Trade-Date (TD) en amont de la date de dénouement théorique</w:t>
            </w:r>
            <w:r>
              <w:rPr>
                <w:rFonts w:eastAsia="MS Mincho" w:cs="Times New Roman"/>
                <w:noProof/>
                <w:szCs w:val="32"/>
                <w:lang w:val="fr-FR"/>
              </w:rPr>
              <w:t>.</w:t>
            </w:r>
          </w:p>
          <w:p w:rsidR="00FA4417" w:rsidRDefault="00FA4417" w:rsidP="00FA4417">
            <w:pPr>
              <w:pStyle w:val="ListParagraph"/>
              <w:numPr>
                <w:ilvl w:val="0"/>
                <w:numId w:val="12"/>
              </w:numPr>
              <w:spacing w:before="120"/>
              <w:jc w:val="both"/>
              <w:rPr>
                <w:rFonts w:eastAsia="MS Mincho" w:cs="Times New Roman"/>
                <w:noProof/>
                <w:szCs w:val="32"/>
                <w:lang w:val="fr-FR"/>
              </w:rPr>
            </w:pPr>
            <w:r>
              <w:rPr>
                <w:rFonts w:eastAsia="MS Mincho" w:cs="Times New Roman"/>
                <w:noProof/>
                <w:szCs w:val="32"/>
                <w:lang w:val="fr-FR"/>
              </w:rPr>
              <w:t xml:space="preserve">Les critères additionnels de matching sont opérants mais non recommandés par les acteurs de marché sur les activités pension livrées et prêt-emprunt. Les motivations de ce choix sont indiquées dans la fiche </w:t>
            </w:r>
            <w:r w:rsidRPr="00A54277">
              <w:rPr>
                <w:rFonts w:eastAsia="MS Mincho" w:cs="Times New Roman"/>
                <w:noProof/>
                <w:szCs w:val="32"/>
                <w:lang w:val="fr-FR"/>
              </w:rPr>
              <w:t>OST/Flux-CESSIONS TEMPORAIRES-02</w:t>
            </w:r>
            <w:r>
              <w:rPr>
                <w:rFonts w:eastAsia="MS Mincho" w:cs="Times New Roman"/>
                <w:noProof/>
                <w:szCs w:val="32"/>
                <w:lang w:val="fr-FR"/>
              </w:rPr>
              <w:t xml:space="preserve">. </w:t>
            </w:r>
          </w:p>
          <w:p w:rsidR="00FA4417" w:rsidRDefault="00FA4417" w:rsidP="00FA4417">
            <w:pPr>
              <w:spacing w:before="120"/>
              <w:jc w:val="both"/>
              <w:rPr>
                <w:rFonts w:eastAsia="MS Mincho" w:cs="Times New Roman"/>
                <w:noProof/>
                <w:szCs w:val="32"/>
                <w:lang w:val="fr-FR"/>
              </w:rPr>
            </w:pPr>
          </w:p>
          <w:tbl>
            <w:tblPr>
              <w:tblStyle w:val="TableGrid"/>
              <w:tblW w:w="0" w:type="auto"/>
              <w:tblInd w:w="28" w:type="dxa"/>
              <w:tblLook w:val="04A0" w:firstRow="1" w:lastRow="0" w:firstColumn="1" w:lastColumn="0" w:noHBand="0" w:noVBand="1"/>
            </w:tblPr>
            <w:tblGrid>
              <w:gridCol w:w="1855"/>
              <w:gridCol w:w="5232"/>
            </w:tblGrid>
            <w:tr w:rsidR="00FA4417" w:rsidRPr="00BE55A2" w:rsidTr="00D527CF">
              <w:tc>
                <w:tcPr>
                  <w:tcW w:w="1855" w:type="dxa"/>
                  <w:shd w:val="clear" w:color="auto" w:fill="D9D9D9" w:themeFill="background1" w:themeFillShade="D9"/>
                  <w:vAlign w:val="center"/>
                </w:tcPr>
                <w:p w:rsidR="00FA4417" w:rsidRDefault="00FA4417" w:rsidP="00D527CF">
                  <w:pPr>
                    <w:rPr>
                      <w:lang w:val="fr-FR"/>
                    </w:rPr>
                  </w:pPr>
                  <w:r>
                    <w:rPr>
                      <w:lang w:val="fr-FR"/>
                    </w:rPr>
                    <w:t>Situation Pensions Livrées</w:t>
                  </w:r>
                </w:p>
              </w:tc>
              <w:tc>
                <w:tcPr>
                  <w:tcW w:w="5232" w:type="dxa"/>
                  <w:shd w:val="clear" w:color="auto" w:fill="D9D9D9" w:themeFill="background1" w:themeFillShade="D9"/>
                  <w:vAlign w:val="center"/>
                </w:tcPr>
                <w:p w:rsidR="00FA4417" w:rsidRDefault="00FA4417" w:rsidP="00D527CF">
                  <w:pPr>
                    <w:jc w:val="center"/>
                    <w:rPr>
                      <w:lang w:val="fr-FR"/>
                    </w:rPr>
                  </w:pPr>
                  <w:r w:rsidRPr="009F26A0">
                    <w:rPr>
                      <w:lang w:val="fr-FR"/>
                    </w:rPr>
                    <w:t>Emission après migration à T2S</w:t>
                  </w:r>
                </w:p>
              </w:tc>
            </w:tr>
            <w:tr w:rsidR="00FA4417" w:rsidRPr="00BE55A2" w:rsidTr="00D527CF">
              <w:tc>
                <w:tcPr>
                  <w:tcW w:w="1855" w:type="dxa"/>
                  <w:vAlign w:val="center"/>
                </w:tcPr>
                <w:p w:rsidR="00FA4417" w:rsidRDefault="00FA4417" w:rsidP="00D527CF">
                  <w:pPr>
                    <w:rPr>
                      <w:lang w:val="fr-FR"/>
                    </w:rPr>
                  </w:pPr>
                  <w:r>
                    <w:rPr>
                      <w:lang w:val="fr-FR"/>
                    </w:rPr>
                    <w:t>Recommandation groupe AFTI MOC</w:t>
                  </w:r>
                </w:p>
              </w:tc>
              <w:tc>
                <w:tcPr>
                  <w:tcW w:w="5232" w:type="dxa"/>
                  <w:vAlign w:val="center"/>
                </w:tcPr>
                <w:p w:rsidR="00FA4417" w:rsidRDefault="00FA4417" w:rsidP="00D527CF">
                  <w:pPr>
                    <w:jc w:val="center"/>
                    <w:rPr>
                      <w:lang w:val="fr-FR"/>
                    </w:rPr>
                  </w:pPr>
                  <w:r w:rsidRPr="009F26A0">
                    <w:rPr>
                      <w:lang w:val="fr-FR"/>
                    </w:rPr>
                    <w:t>TD = TD originelle de la négociation</w:t>
                  </w:r>
                </w:p>
                <w:p w:rsidR="00FA4417" w:rsidRPr="009F26A0" w:rsidRDefault="00FA4417" w:rsidP="00D527CF">
                  <w:pPr>
                    <w:jc w:val="center"/>
                    <w:rPr>
                      <w:lang w:val="fr-FR"/>
                    </w:rPr>
                  </w:pPr>
                  <w:r>
                    <w:rPr>
                      <w:lang w:val="fr-FR"/>
                    </w:rPr>
                    <w:t>Avec une alimentation du c</w:t>
                  </w:r>
                  <w:r w:rsidRPr="009F26A0">
                    <w:rPr>
                      <w:lang w:val="fr-FR"/>
                    </w:rPr>
                    <w:t xml:space="preserve">ritère additionnel de </w:t>
                  </w:r>
                  <w:proofErr w:type="spellStart"/>
                  <w:r w:rsidRPr="009F26A0">
                    <w:rPr>
                      <w:lang w:val="fr-FR"/>
                    </w:rPr>
                    <w:t>matching</w:t>
                  </w:r>
                  <w:proofErr w:type="spellEnd"/>
                  <w:r>
                    <w:rPr>
                      <w:lang w:val="fr-FR"/>
                    </w:rPr>
                    <w:t xml:space="preserve"> </w:t>
                  </w:r>
                  <w:r w:rsidRPr="009F26A0">
                    <w:rPr>
                      <w:lang w:val="fr-FR"/>
                    </w:rPr>
                    <w:t>à blanc</w:t>
                  </w:r>
                  <w:r>
                    <w:rPr>
                      <w:rFonts w:eastAsia="MS Mincho" w:cs="Times New Roman"/>
                      <w:b/>
                      <w:noProof/>
                      <w:sz w:val="18"/>
                      <w:szCs w:val="18"/>
                      <w:lang w:val="fr-FR"/>
                    </w:rPr>
                    <w:t>.</w:t>
                  </w:r>
                </w:p>
              </w:tc>
            </w:tr>
            <w:tr w:rsidR="00FA4417" w:rsidRPr="00BE55A2" w:rsidTr="00D527CF">
              <w:tc>
                <w:tcPr>
                  <w:tcW w:w="1855" w:type="dxa"/>
                  <w:vAlign w:val="center"/>
                </w:tcPr>
                <w:p w:rsidR="00FA4417" w:rsidRDefault="00FA4417" w:rsidP="00D527CF">
                  <w:pPr>
                    <w:rPr>
                      <w:lang w:val="fr-FR"/>
                    </w:rPr>
                  </w:pPr>
                  <w:r>
                    <w:rPr>
                      <w:lang w:val="fr-FR"/>
                    </w:rPr>
                    <w:t>Impact des OST flux sur REPO et Prêt Emprunt relatifs à des produits de taux</w:t>
                  </w:r>
                </w:p>
              </w:tc>
              <w:tc>
                <w:tcPr>
                  <w:tcW w:w="5232" w:type="dxa"/>
                  <w:vAlign w:val="center"/>
                </w:tcPr>
                <w:p w:rsidR="00FA4417" w:rsidRDefault="00FA4417" w:rsidP="00D527CF">
                  <w:pPr>
                    <w:rPr>
                      <w:lang w:val="fr-FR"/>
                    </w:rPr>
                  </w:pPr>
                  <w:r>
                    <w:rPr>
                      <w:lang w:val="fr-FR"/>
                    </w:rPr>
                    <w:t>Peu de risque d’OST flux uniquement en cas de mouvements « </w:t>
                  </w:r>
                  <w:proofErr w:type="spellStart"/>
                  <w:r>
                    <w:rPr>
                      <w:lang w:val="fr-FR"/>
                    </w:rPr>
                    <w:t>failed</w:t>
                  </w:r>
                  <w:proofErr w:type="spellEnd"/>
                  <w:r>
                    <w:rPr>
                      <w:lang w:val="fr-FR"/>
                    </w:rPr>
                    <w:t> (</w:t>
                  </w:r>
                  <w:r w:rsidRPr="00262CFE">
                    <w:rPr>
                      <w:color w:val="0070C0"/>
                      <w:lang w:val="fr-FR"/>
                    </w:rPr>
                    <w:t>*</w:t>
                  </w:r>
                  <w:r>
                    <w:rPr>
                      <w:lang w:val="fr-FR"/>
                    </w:rPr>
                    <w:t xml:space="preserve">)» </w:t>
                  </w:r>
                  <w:r>
                    <w:rPr>
                      <w:rFonts w:eastAsia="MS Mincho" w:cs="Times New Roman"/>
                      <w:noProof/>
                      <w:szCs w:val="32"/>
                      <w:lang w:val="fr-FR"/>
                    </w:rPr>
                    <w:t>(Cf.Annexe de cette fiche).</w:t>
                  </w:r>
                </w:p>
                <w:p w:rsidR="00FA4417" w:rsidRDefault="00FA4417" w:rsidP="00D527CF">
                  <w:pPr>
                    <w:rPr>
                      <w:lang w:val="fr-FR"/>
                    </w:rPr>
                  </w:pPr>
                  <w:r w:rsidRPr="00262CFE">
                    <w:rPr>
                      <w:color w:val="0070C0"/>
                      <w:sz w:val="18"/>
                      <w:lang w:val="fr-FR"/>
                    </w:rPr>
                    <w:t>(*) c’est-à-dire dont la date de dénouement théorique est égale ou inférieure à la Record date de l’opération mais dont la date de dénouement réelle lui est postérieure.</w:t>
                  </w:r>
                </w:p>
              </w:tc>
            </w:tr>
          </w:tbl>
          <w:p w:rsidR="00FA4417" w:rsidRPr="000A7F18" w:rsidRDefault="00FA4417" w:rsidP="00FA4417">
            <w:pPr>
              <w:tabs>
                <w:tab w:val="right" w:pos="7125"/>
              </w:tabs>
              <w:spacing w:before="120"/>
              <w:jc w:val="both"/>
              <w:rPr>
                <w:rFonts w:eastAsia="MS Mincho" w:cs="Times New Roman"/>
                <w:noProof/>
                <w:szCs w:val="32"/>
                <w:lang w:val="fr-FR"/>
              </w:rPr>
            </w:pPr>
            <w:r w:rsidRPr="00361354" w:rsidDel="00361354">
              <w:rPr>
                <w:rFonts w:eastAsia="MS Mincho" w:cs="Times New Roman"/>
                <w:noProof/>
                <w:szCs w:val="32"/>
                <w:lang w:val="fr-FR"/>
              </w:rPr>
              <w:t xml:space="preserve"> </w:t>
            </w:r>
            <w:r>
              <w:rPr>
                <w:rFonts w:eastAsia="MS Mincho" w:cs="Times New Roman"/>
                <w:noProof/>
                <w:szCs w:val="32"/>
                <w:lang w:val="fr-FR"/>
              </w:rPr>
              <w:tab/>
            </w:r>
          </w:p>
          <w:tbl>
            <w:tblPr>
              <w:tblStyle w:val="TableGrid"/>
              <w:tblW w:w="0" w:type="auto"/>
              <w:tblInd w:w="28" w:type="dxa"/>
              <w:tblLook w:val="04A0" w:firstRow="1" w:lastRow="0" w:firstColumn="1" w:lastColumn="0" w:noHBand="0" w:noVBand="1"/>
            </w:tblPr>
            <w:tblGrid>
              <w:gridCol w:w="1855"/>
              <w:gridCol w:w="5232"/>
            </w:tblGrid>
            <w:tr w:rsidR="00FA4417" w:rsidRPr="00BE55A2" w:rsidTr="00D527CF">
              <w:tc>
                <w:tcPr>
                  <w:tcW w:w="1855" w:type="dxa"/>
                  <w:shd w:val="clear" w:color="auto" w:fill="BFBFBF" w:themeFill="background1" w:themeFillShade="BF"/>
                  <w:vAlign w:val="center"/>
                </w:tcPr>
                <w:p w:rsidR="00FA4417" w:rsidRDefault="00FA4417" w:rsidP="00D527CF">
                  <w:pPr>
                    <w:jc w:val="center"/>
                    <w:rPr>
                      <w:lang w:val="fr-FR"/>
                    </w:rPr>
                  </w:pPr>
                  <w:r>
                    <w:rPr>
                      <w:lang w:val="fr-FR"/>
                    </w:rPr>
                    <w:t>Situation Prêts Emprunts</w:t>
                  </w:r>
                </w:p>
              </w:tc>
              <w:tc>
                <w:tcPr>
                  <w:tcW w:w="5232" w:type="dxa"/>
                  <w:shd w:val="clear" w:color="auto" w:fill="BFBFBF" w:themeFill="background1" w:themeFillShade="BF"/>
                  <w:vAlign w:val="center"/>
                </w:tcPr>
                <w:p w:rsidR="00FA4417" w:rsidRDefault="00FA4417" w:rsidP="00D527CF">
                  <w:pPr>
                    <w:jc w:val="center"/>
                    <w:rPr>
                      <w:lang w:val="fr-FR"/>
                    </w:rPr>
                  </w:pPr>
                  <w:r w:rsidRPr="009F26A0">
                    <w:rPr>
                      <w:lang w:val="fr-FR"/>
                    </w:rPr>
                    <w:t>Emission après migration à T2S</w:t>
                  </w:r>
                </w:p>
              </w:tc>
            </w:tr>
            <w:tr w:rsidR="00FA4417" w:rsidRPr="00BE55A2" w:rsidTr="00D527CF">
              <w:tc>
                <w:tcPr>
                  <w:tcW w:w="1855" w:type="dxa"/>
                  <w:vAlign w:val="center"/>
                </w:tcPr>
                <w:p w:rsidR="00FA4417" w:rsidRDefault="00FA4417" w:rsidP="00D527CF">
                  <w:pPr>
                    <w:rPr>
                      <w:lang w:val="fr-FR"/>
                    </w:rPr>
                  </w:pPr>
                  <w:r>
                    <w:rPr>
                      <w:lang w:val="fr-FR"/>
                    </w:rPr>
                    <w:t>Impact des OST flux sur REPO et Prêt Emprunt relatifs à des produits de capitaux (</w:t>
                  </w:r>
                  <w:proofErr w:type="spellStart"/>
                  <w:r>
                    <w:rPr>
                      <w:lang w:val="fr-FR"/>
                    </w:rPr>
                    <w:t>equities</w:t>
                  </w:r>
                  <w:proofErr w:type="spellEnd"/>
                  <w:r>
                    <w:rPr>
                      <w:lang w:val="fr-FR"/>
                    </w:rPr>
                    <w:t>...)</w:t>
                  </w:r>
                </w:p>
              </w:tc>
              <w:tc>
                <w:tcPr>
                  <w:tcW w:w="5232" w:type="dxa"/>
                  <w:vAlign w:val="center"/>
                </w:tcPr>
                <w:p w:rsidR="00FA4417" w:rsidRDefault="00FA4417" w:rsidP="00D527CF">
                  <w:pPr>
                    <w:jc w:val="both"/>
                    <w:rPr>
                      <w:rFonts w:eastAsia="MS Mincho" w:cs="Times New Roman"/>
                      <w:noProof/>
                      <w:szCs w:val="32"/>
                      <w:lang w:val="fr-FR"/>
                    </w:rPr>
                  </w:pPr>
                  <w:r>
                    <w:rPr>
                      <w:lang w:val="fr-FR"/>
                    </w:rPr>
                    <w:t>Risque d’OST flux (</w:t>
                  </w:r>
                  <w:r>
                    <w:rPr>
                      <w:rFonts w:eastAsia="MS Mincho" w:cs="Times New Roman"/>
                      <w:noProof/>
                      <w:szCs w:val="32"/>
                      <w:lang w:val="fr-FR"/>
                    </w:rPr>
                    <w:t>Cf. Annexe de cette fiche).</w:t>
                  </w:r>
                </w:p>
                <w:p w:rsidR="00FA4417" w:rsidRDefault="00FA4417" w:rsidP="00D527CF">
                  <w:pPr>
                    <w:jc w:val="both"/>
                    <w:rPr>
                      <w:rFonts w:eastAsia="MS Mincho" w:cs="Times New Roman"/>
                      <w:noProof/>
                      <w:szCs w:val="32"/>
                      <w:lang w:val="fr-FR"/>
                    </w:rPr>
                  </w:pPr>
                </w:p>
                <w:p w:rsidR="00FA4417" w:rsidRDefault="00FA4417" w:rsidP="00D527CF">
                  <w:pPr>
                    <w:jc w:val="both"/>
                    <w:rPr>
                      <w:rFonts w:eastAsia="MS Mincho" w:cs="Times New Roman"/>
                      <w:noProof/>
                      <w:szCs w:val="32"/>
                      <w:lang w:val="fr-FR"/>
                    </w:rPr>
                  </w:pPr>
                  <w:r>
                    <w:rPr>
                      <w:rFonts w:eastAsia="MS Mincho" w:cs="Times New Roman"/>
                      <w:noProof/>
                      <w:szCs w:val="32"/>
                      <w:lang w:val="fr-FR"/>
                    </w:rPr>
                    <w:t>Les Opérations de prêts emprunts ne nécessitent pas de réaligner la TD du retour sur la trade date de négociation initiale.</w:t>
                  </w:r>
                </w:p>
                <w:p w:rsidR="00FA4417" w:rsidRDefault="00FA4417" w:rsidP="00D527CF">
                  <w:pPr>
                    <w:jc w:val="both"/>
                    <w:rPr>
                      <w:rFonts w:eastAsia="MS Mincho" w:cs="Times New Roman"/>
                      <w:noProof/>
                      <w:szCs w:val="32"/>
                      <w:lang w:val="fr-FR"/>
                    </w:rPr>
                  </w:pPr>
                </w:p>
                <w:p w:rsidR="00FA4417" w:rsidRDefault="00FA4417" w:rsidP="00D527CF">
                  <w:pPr>
                    <w:jc w:val="both"/>
                    <w:rPr>
                      <w:rFonts w:eastAsia="MS Mincho" w:cs="Times New Roman"/>
                      <w:noProof/>
                      <w:szCs w:val="32"/>
                      <w:lang w:val="fr-FR"/>
                    </w:rPr>
                  </w:pPr>
                  <w:r>
                    <w:rPr>
                      <w:rFonts w:eastAsia="MS Mincho" w:cs="Times New Roman"/>
                      <w:noProof/>
                      <w:szCs w:val="32"/>
                      <w:lang w:val="fr-FR"/>
                    </w:rPr>
                    <w:t xml:space="preserve">Les deux opérations (mise en place et retour du prêt) sont distinguées et les trade-dates alimentées en </w:t>
                  </w:r>
                  <w:r>
                    <w:rPr>
                      <w:rFonts w:eastAsia="MS Mincho" w:cs="Times New Roman"/>
                      <w:noProof/>
                      <w:szCs w:val="32"/>
                      <w:lang w:val="fr-FR"/>
                    </w:rPr>
                    <w:lastRenderedPageBreak/>
                    <w:t>fonction des accords des parties, des termes du contrat cadre de référence et de la survenance ou non d’une ost durant la période.</w:t>
                  </w:r>
                </w:p>
                <w:p w:rsidR="00FA4417" w:rsidRPr="001626B5" w:rsidRDefault="00FA4417" w:rsidP="00D527CF">
                  <w:pPr>
                    <w:spacing w:before="120"/>
                    <w:jc w:val="both"/>
                    <w:rPr>
                      <w:color w:val="0070C0"/>
                      <w:lang w:val="fr-FR"/>
                    </w:rPr>
                  </w:pPr>
                  <w:r w:rsidRPr="00677D47">
                    <w:rPr>
                      <w:rFonts w:eastAsia="MS Mincho" w:cs="Times New Roman"/>
                      <w:noProof/>
                      <w:szCs w:val="32"/>
                      <w:lang w:val="fr-FR"/>
                    </w:rPr>
                    <w:t>Une neutralisation des effets des OST flux, reviendrait à recommander de positionner TD = ISD lors de réémission, avec une alimentation du critère additionnel de matching  à blanc.</w:t>
                  </w:r>
                </w:p>
              </w:tc>
            </w:tr>
          </w:tbl>
          <w:p w:rsidR="00AA1FDB" w:rsidRPr="00FA4417" w:rsidRDefault="00AA1FDB" w:rsidP="00FA4417">
            <w:pPr>
              <w:spacing w:before="120"/>
              <w:ind w:left="1080"/>
              <w:jc w:val="both"/>
              <w:rPr>
                <w:rFonts w:eastAsia="MS Mincho" w:cs="Times New Roman"/>
                <w:noProof/>
                <w:lang w:val="fr-FR"/>
              </w:rPr>
            </w:pPr>
          </w:p>
        </w:tc>
      </w:tr>
      <w:tr w:rsidR="0081511D" w:rsidRPr="00FA4417" w:rsidTr="0081511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gridSpan w:val="2"/>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Tr="0081511D">
        <w:trPr>
          <w:gridAfter w:val="1"/>
          <w:wAfter w:w="30" w:type="dxa"/>
        </w:trPr>
        <w:tc>
          <w:tcPr>
            <w:tcW w:w="2093" w:type="dxa"/>
            <w:tcBorders>
              <w:bottom w:val="single" w:sz="4" w:space="0" w:color="auto"/>
            </w:tcBorders>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 xml:space="preserve">Description des rôles de toutes les parties prenantes </w:t>
            </w:r>
          </w:p>
          <w:p w:rsidR="0081511D" w:rsidRPr="00D103DA"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483" w:type="dxa"/>
            <w:tcBorders>
              <w:bottom w:val="single" w:sz="4" w:space="0" w:color="auto"/>
            </w:tcBorders>
          </w:tcPr>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tc>
      </w:tr>
      <w:tr w:rsidR="0081511D" w:rsidTr="0081511D">
        <w:trPr>
          <w:gridAfter w:val="1"/>
          <w:wAfter w:w="30" w:type="dxa"/>
        </w:trPr>
        <w:tc>
          <w:tcPr>
            <w:tcW w:w="2093" w:type="dxa"/>
            <w:tcBorders>
              <w:left w:val="nil"/>
              <w:right w:val="nil"/>
            </w:tcBorders>
            <w:shd w:val="clear" w:color="auto" w:fill="FFFFFF" w:themeFill="background1"/>
          </w:tcPr>
          <w:p w:rsidR="0081511D" w:rsidRDefault="0081511D" w:rsidP="006542ED">
            <w:pPr>
              <w:rPr>
                <w:rFonts w:eastAsia="MS Mincho" w:cs="Times New Roman"/>
                <w:b/>
                <w:noProof/>
                <w:szCs w:val="32"/>
                <w:lang w:val="fr-FR"/>
              </w:rPr>
            </w:pPr>
          </w:p>
        </w:tc>
        <w:tc>
          <w:tcPr>
            <w:tcW w:w="7483" w:type="dxa"/>
            <w:tcBorders>
              <w:left w:val="nil"/>
              <w:bottom w:val="single" w:sz="4" w:space="0" w:color="auto"/>
              <w:right w:val="nil"/>
            </w:tcBorders>
            <w:shd w:val="clear" w:color="auto" w:fill="FFFFFF" w:themeFill="background1"/>
          </w:tcPr>
          <w:p w:rsidR="0081511D" w:rsidRDefault="0081511D" w:rsidP="006542ED">
            <w:pPr>
              <w:rPr>
                <w:rFonts w:eastAsia="MS Mincho" w:cs="Times New Roman"/>
                <w:noProof/>
                <w:szCs w:val="32"/>
                <w:lang w:val="fr-FR"/>
              </w:rPr>
            </w:pPr>
          </w:p>
        </w:tc>
      </w:tr>
      <w:tr w:rsidR="0081511D" w:rsidTr="0081511D">
        <w:trPr>
          <w:gridAfter w:val="1"/>
          <w:wAfter w:w="30" w:type="dxa"/>
        </w:trPr>
        <w:tc>
          <w:tcPr>
            <w:tcW w:w="2093" w:type="dxa"/>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Schéma des flux</w:t>
            </w:r>
          </w:p>
          <w:p w:rsidR="0081511D"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483" w:type="dxa"/>
            <w:tcBorders>
              <w:bottom w:val="single" w:sz="4" w:space="0" w:color="auto"/>
            </w:tcBorders>
          </w:tcPr>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tc>
      </w:tr>
    </w:tbl>
    <w:p w:rsidR="00363E89" w:rsidRDefault="00363E89" w:rsidP="001E0D83">
      <w:pPr>
        <w:spacing w:after="0" w:line="240" w:lineRule="auto"/>
        <w:rPr>
          <w:rFonts w:eastAsia="MS Mincho" w:cs="Times New Roman"/>
          <w:noProof/>
          <w:szCs w:val="32"/>
          <w:lang w:val="fr-FR"/>
        </w:rPr>
      </w:pPr>
    </w:p>
    <w:p w:rsidR="00140482" w:rsidRDefault="00140482">
      <w:pPr>
        <w:rPr>
          <w:rFonts w:eastAsia="MS Mincho" w:cs="Times New Roman"/>
          <w:b/>
          <w:caps/>
          <w:noProof/>
          <w:sz w:val="32"/>
          <w:szCs w:val="32"/>
          <w:lang w:val="fr-FR"/>
        </w:rPr>
      </w:pPr>
    </w:p>
    <w:p w:rsidR="0085743B" w:rsidRDefault="0085743B">
      <w:pPr>
        <w:rPr>
          <w:rFonts w:eastAsia="MS Mincho" w:cs="Times New Roman"/>
          <w:b/>
          <w:caps/>
          <w:noProof/>
          <w:sz w:val="32"/>
          <w:szCs w:val="32"/>
          <w:lang w:val="fr-FR"/>
        </w:rPr>
      </w:pPr>
      <w:r>
        <w:rPr>
          <w:rFonts w:eastAsia="MS Mincho" w:cs="Times New Roman"/>
          <w:b/>
          <w:caps/>
          <w:noProof/>
          <w:sz w:val="32"/>
          <w:szCs w:val="32"/>
          <w:lang w:val="fr-FR"/>
        </w:rPr>
        <w:br w:type="page"/>
      </w:r>
    </w:p>
    <w:p w:rsidR="00140482" w:rsidRPr="004F6025" w:rsidRDefault="00140482" w:rsidP="00140482">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lastRenderedPageBreak/>
        <w:t>mise en oeuvre</w:t>
      </w:r>
    </w:p>
    <w:p w:rsidR="00140482" w:rsidRDefault="00140482" w:rsidP="00140482">
      <w:pPr>
        <w:spacing w:after="0" w:line="240" w:lineRule="auto"/>
        <w:rPr>
          <w:rFonts w:eastAsia="MS Mincho" w:cs="Times New Roman"/>
          <w:noProof/>
          <w:szCs w:val="32"/>
          <w:lang w:val="fr-FR"/>
        </w:rPr>
      </w:pPr>
    </w:p>
    <w:tbl>
      <w:tblPr>
        <w:tblStyle w:val="TableGrid"/>
        <w:tblW w:w="9616" w:type="dxa"/>
        <w:tblLook w:val="04A0" w:firstRow="1" w:lastRow="0" w:firstColumn="1" w:lastColumn="0" w:noHBand="0" w:noVBand="1"/>
      </w:tblPr>
      <w:tblGrid>
        <w:gridCol w:w="2302"/>
        <w:gridCol w:w="2166"/>
        <w:gridCol w:w="272"/>
        <w:gridCol w:w="1599"/>
        <w:gridCol w:w="839"/>
        <w:gridCol w:w="842"/>
        <w:gridCol w:w="1556"/>
        <w:gridCol w:w="40"/>
      </w:tblGrid>
      <w:tr w:rsidR="00140482" w:rsidRPr="00FA4417" w:rsidTr="000E651B">
        <w:trPr>
          <w:trHeight w:val="338"/>
        </w:trPr>
        <w:tc>
          <w:tcPr>
            <w:tcW w:w="2302" w:type="dxa"/>
            <w:vMerge w:val="restart"/>
            <w:shd w:val="clear" w:color="auto" w:fill="BFBFBF" w:themeFill="background1" w:themeFillShade="BF"/>
          </w:tcPr>
          <w:p w:rsidR="00140482" w:rsidRPr="00D103DA" w:rsidRDefault="00140482" w:rsidP="000E651B">
            <w:pPr>
              <w:rPr>
                <w:rFonts w:eastAsia="MS Mincho" w:cs="Times New Roman"/>
                <w:b/>
                <w:noProof/>
                <w:szCs w:val="32"/>
                <w:lang w:val="fr-FR"/>
              </w:rPr>
            </w:pPr>
            <w:r>
              <w:rPr>
                <w:rFonts w:eastAsia="MS Mincho" w:cs="Times New Roman"/>
                <w:b/>
                <w:noProof/>
                <w:szCs w:val="32"/>
                <w:lang w:val="fr-FR"/>
              </w:rPr>
              <w:t>Horizon de mise en oeuvre</w:t>
            </w:r>
          </w:p>
        </w:tc>
        <w:tc>
          <w:tcPr>
            <w:tcW w:w="2438" w:type="dxa"/>
            <w:gridSpan w:val="2"/>
          </w:tcPr>
          <w:p w:rsidR="00140482" w:rsidRPr="00785264" w:rsidRDefault="00140482" w:rsidP="000E651B">
            <w:pPr>
              <w:jc w:val="center"/>
              <w:rPr>
                <w:rFonts w:eastAsia="MS Mincho" w:cs="Times New Roman"/>
                <w:b/>
                <w:noProof/>
                <w:szCs w:val="32"/>
                <w:lang w:val="fr-FR"/>
              </w:rPr>
            </w:pPr>
            <w:r w:rsidRPr="00785264">
              <w:rPr>
                <w:rFonts w:eastAsia="MS Mincho" w:cs="Times New Roman"/>
                <w:b/>
                <w:noProof/>
                <w:szCs w:val="32"/>
                <w:lang w:val="fr-FR"/>
              </w:rPr>
              <w:t>Avant la migration vers T2S</w:t>
            </w:r>
          </w:p>
        </w:tc>
        <w:tc>
          <w:tcPr>
            <w:tcW w:w="2438" w:type="dxa"/>
            <w:gridSpan w:val="2"/>
          </w:tcPr>
          <w:p w:rsidR="00140482" w:rsidRPr="009637E5" w:rsidRDefault="00140482" w:rsidP="000E651B">
            <w:pPr>
              <w:jc w:val="center"/>
              <w:rPr>
                <w:rFonts w:eastAsia="MS Mincho" w:cs="Times New Roman"/>
                <w:b/>
                <w:noProof/>
                <w:szCs w:val="32"/>
                <w:lang w:val="fr-FR"/>
              </w:rPr>
            </w:pPr>
            <w:r>
              <w:rPr>
                <w:rFonts w:eastAsia="MS Mincho" w:cs="Times New Roman"/>
                <w:b/>
                <w:noProof/>
                <w:szCs w:val="32"/>
                <w:lang w:val="fr-FR"/>
              </w:rPr>
              <w:t>Lors du démarrage en production sur T2S</w:t>
            </w:r>
          </w:p>
        </w:tc>
        <w:tc>
          <w:tcPr>
            <w:tcW w:w="2438" w:type="dxa"/>
            <w:gridSpan w:val="3"/>
          </w:tcPr>
          <w:p w:rsidR="00140482" w:rsidRPr="009637E5" w:rsidRDefault="00140482" w:rsidP="000E651B">
            <w:pPr>
              <w:jc w:val="center"/>
              <w:rPr>
                <w:rFonts w:eastAsia="MS Mincho" w:cs="Times New Roman"/>
                <w:b/>
                <w:noProof/>
                <w:szCs w:val="32"/>
                <w:lang w:val="fr-FR"/>
              </w:rPr>
            </w:pPr>
            <w:r>
              <w:rPr>
                <w:rFonts w:eastAsia="MS Mincho" w:cs="Times New Roman"/>
                <w:b/>
                <w:noProof/>
                <w:szCs w:val="32"/>
                <w:lang w:val="fr-FR"/>
              </w:rPr>
              <w:t>Après la migration vers T2S</w:t>
            </w:r>
          </w:p>
        </w:tc>
      </w:tr>
      <w:tr w:rsidR="00140482" w:rsidTr="000E651B">
        <w:trPr>
          <w:trHeight w:val="337"/>
        </w:trPr>
        <w:tc>
          <w:tcPr>
            <w:tcW w:w="2302" w:type="dxa"/>
            <w:vMerge/>
            <w:tcBorders>
              <w:bottom w:val="single" w:sz="4" w:space="0" w:color="auto"/>
            </w:tcBorders>
            <w:shd w:val="clear" w:color="auto" w:fill="BFBFBF" w:themeFill="background1" w:themeFillShade="BF"/>
          </w:tcPr>
          <w:p w:rsidR="00140482" w:rsidRDefault="00140482" w:rsidP="000E651B">
            <w:pPr>
              <w:rPr>
                <w:rFonts w:eastAsia="MS Mincho" w:cs="Times New Roman"/>
                <w:b/>
                <w:noProof/>
                <w:szCs w:val="32"/>
                <w:lang w:val="fr-FR"/>
              </w:rPr>
            </w:pPr>
          </w:p>
        </w:tc>
        <w:tc>
          <w:tcPr>
            <w:tcW w:w="2438" w:type="dxa"/>
            <w:gridSpan w:val="2"/>
            <w:tcBorders>
              <w:bottom w:val="single" w:sz="4" w:space="0" w:color="auto"/>
            </w:tcBorders>
            <w:shd w:val="clear" w:color="auto" w:fill="auto"/>
          </w:tcPr>
          <w:p w:rsidR="00140482" w:rsidRDefault="00FA4417"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sidR="00FA4417">
              <w:rPr>
                <w:rFonts w:cs="Wingdings"/>
                <w:szCs w:val="26"/>
              </w:rPr>
              <w:t>09/05/2016</w:t>
            </w:r>
          </w:p>
          <w:p w:rsidR="00140482" w:rsidRDefault="00140482" w:rsidP="000E651B">
            <w:pPr>
              <w:rPr>
                <w:rFonts w:eastAsia="MS Mincho" w:cs="Times New Roman"/>
                <w:noProof/>
                <w:szCs w:val="32"/>
                <w:lang w:val="fr-FR"/>
              </w:rPr>
            </w:pPr>
          </w:p>
        </w:tc>
        <w:tc>
          <w:tcPr>
            <w:tcW w:w="2438" w:type="dxa"/>
            <w:gridSpan w:val="2"/>
            <w:tcBorders>
              <w:bottom w:val="single" w:sz="4" w:space="0" w:color="auto"/>
            </w:tcBorders>
          </w:tcPr>
          <w:p w:rsidR="00140482" w:rsidRDefault="0085743B"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12/09/2016</w:t>
            </w:r>
          </w:p>
        </w:tc>
        <w:tc>
          <w:tcPr>
            <w:tcW w:w="2438" w:type="dxa"/>
            <w:gridSpan w:val="3"/>
            <w:tcBorders>
              <w:bottom w:val="single" w:sz="4" w:space="0" w:color="auto"/>
            </w:tcBorders>
            <w:shd w:val="clear" w:color="auto" w:fill="FFFFFF" w:themeFill="background1"/>
          </w:tcPr>
          <w:p w:rsidR="00140482" w:rsidRDefault="00140482"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________</w:t>
            </w:r>
          </w:p>
        </w:tc>
      </w:tr>
      <w:tr w:rsidR="00140482" w:rsidTr="000E651B">
        <w:trPr>
          <w:gridAfter w:val="1"/>
          <w:wAfter w:w="40" w:type="dxa"/>
          <w:trHeight w:val="337"/>
        </w:trPr>
        <w:tc>
          <w:tcPr>
            <w:tcW w:w="2302" w:type="dxa"/>
            <w:tcBorders>
              <w:left w:val="nil"/>
              <w:right w:val="nil"/>
            </w:tcBorders>
            <w:shd w:val="clear" w:color="auto" w:fill="FFFFFF" w:themeFill="background1"/>
          </w:tcPr>
          <w:p w:rsidR="00140482" w:rsidRDefault="00140482" w:rsidP="000E651B">
            <w:pPr>
              <w:rPr>
                <w:rFonts w:eastAsia="MS Mincho" w:cs="Times New Roman"/>
                <w:b/>
                <w:noProof/>
                <w:szCs w:val="32"/>
                <w:lang w:val="fr-FR"/>
              </w:rPr>
            </w:pPr>
          </w:p>
        </w:tc>
        <w:tc>
          <w:tcPr>
            <w:tcW w:w="2166" w:type="dxa"/>
            <w:tcBorders>
              <w:left w:val="nil"/>
              <w:right w:val="nil"/>
            </w:tcBorders>
            <w:shd w:val="clear" w:color="auto" w:fill="FFFFFF" w:themeFill="background1"/>
          </w:tcPr>
          <w:p w:rsidR="00140482" w:rsidRDefault="00140482" w:rsidP="000E651B">
            <w:pPr>
              <w:rPr>
                <w:rFonts w:eastAsia="MS Mincho" w:cs="Times New Roman"/>
                <w:noProof/>
                <w:szCs w:val="32"/>
                <w:lang w:val="fr-FR"/>
              </w:rPr>
            </w:pPr>
          </w:p>
        </w:tc>
        <w:tc>
          <w:tcPr>
            <w:tcW w:w="1871" w:type="dxa"/>
            <w:gridSpan w:val="2"/>
            <w:tcBorders>
              <w:left w:val="nil"/>
              <w:right w:val="nil"/>
            </w:tcBorders>
            <w:shd w:val="clear" w:color="auto" w:fill="FFFFFF" w:themeFill="background1"/>
          </w:tcPr>
          <w:p w:rsidR="00140482" w:rsidRDefault="00140482" w:rsidP="000E651B">
            <w:pPr>
              <w:rPr>
                <w:rFonts w:eastAsia="MS Mincho" w:cs="Times New Roman"/>
                <w:noProof/>
                <w:szCs w:val="32"/>
                <w:lang w:val="fr-FR"/>
              </w:rPr>
            </w:pPr>
          </w:p>
        </w:tc>
        <w:tc>
          <w:tcPr>
            <w:tcW w:w="1681" w:type="dxa"/>
            <w:gridSpan w:val="2"/>
            <w:tcBorders>
              <w:left w:val="nil"/>
              <w:right w:val="nil"/>
            </w:tcBorders>
            <w:shd w:val="clear" w:color="auto" w:fill="FFFFFF" w:themeFill="background1"/>
          </w:tcPr>
          <w:p w:rsidR="00140482" w:rsidRDefault="00140482" w:rsidP="000E651B">
            <w:pPr>
              <w:jc w:val="center"/>
              <w:rPr>
                <w:rFonts w:eastAsia="MS Mincho" w:cs="Times New Roman"/>
                <w:noProof/>
                <w:szCs w:val="32"/>
                <w:lang w:val="fr-FR"/>
              </w:rPr>
            </w:pPr>
          </w:p>
        </w:tc>
        <w:tc>
          <w:tcPr>
            <w:tcW w:w="1556" w:type="dxa"/>
            <w:tcBorders>
              <w:left w:val="nil"/>
              <w:right w:val="nil"/>
            </w:tcBorders>
            <w:shd w:val="clear" w:color="auto" w:fill="FFFFFF" w:themeFill="background1"/>
          </w:tcPr>
          <w:p w:rsidR="00140482" w:rsidRDefault="00140482" w:rsidP="000E651B">
            <w:pPr>
              <w:rPr>
                <w:rFonts w:eastAsia="MS Mincho" w:cs="Times New Roman"/>
                <w:noProof/>
                <w:szCs w:val="32"/>
                <w:lang w:val="fr-FR"/>
              </w:rPr>
            </w:pPr>
          </w:p>
        </w:tc>
      </w:tr>
      <w:tr w:rsidR="00140482" w:rsidTr="000E651B">
        <w:trPr>
          <w:gridAfter w:val="1"/>
          <w:wAfter w:w="40" w:type="dxa"/>
        </w:trPr>
        <w:tc>
          <w:tcPr>
            <w:tcW w:w="2302" w:type="dxa"/>
            <w:tcBorders>
              <w:bottom w:val="single" w:sz="4" w:space="0" w:color="auto"/>
            </w:tcBorders>
            <w:shd w:val="clear" w:color="auto" w:fill="BFBFBF" w:themeFill="background1" w:themeFillShade="BF"/>
          </w:tcPr>
          <w:p w:rsidR="00140482" w:rsidRDefault="00140482" w:rsidP="000E651B">
            <w:pPr>
              <w:rPr>
                <w:rFonts w:eastAsia="MS Mincho" w:cs="Times New Roman"/>
                <w:b/>
                <w:noProof/>
                <w:szCs w:val="32"/>
                <w:lang w:val="fr-FR"/>
              </w:rPr>
            </w:pPr>
            <w:r>
              <w:rPr>
                <w:rFonts w:eastAsia="MS Mincho" w:cs="Times New Roman"/>
                <w:b/>
                <w:noProof/>
                <w:szCs w:val="32"/>
                <w:lang w:val="fr-FR"/>
              </w:rPr>
              <w:t>Faut-il un jeu de tests spécifique pour la pratique ?</w:t>
            </w:r>
          </w:p>
        </w:tc>
        <w:tc>
          <w:tcPr>
            <w:tcW w:w="4037" w:type="dxa"/>
            <w:gridSpan w:val="3"/>
            <w:tcBorders>
              <w:bottom w:val="single" w:sz="4" w:space="0" w:color="auto"/>
            </w:tcBorders>
          </w:tcPr>
          <w:p w:rsidR="00140482" w:rsidRPr="00922B9C" w:rsidRDefault="00140482" w:rsidP="00922B9C">
            <w:pPr>
              <w:autoSpaceDE w:val="0"/>
              <w:autoSpaceDN w:val="0"/>
              <w:adjustRightInd w:val="0"/>
              <w:jc w:val="center"/>
              <w:rPr>
                <w:rFonts w:ascii="MS Shell Dlg 2" w:hAnsi="MS Shell Dlg 2" w:cs="MS Shell Dlg 2"/>
                <w:sz w:val="16"/>
                <w:szCs w:val="16"/>
                <w:lang w:val="fr-FR"/>
              </w:rPr>
            </w:pPr>
            <w:r>
              <w:rPr>
                <w:lang w:val="fr-FR"/>
              </w:rPr>
              <w:t xml:space="preserve">Oui  </w:t>
            </w:r>
            <w:r w:rsidR="0085743B">
              <w:rPr>
                <w:rFonts w:ascii="Wingdings" w:hAnsi="Wingdings" w:cs="Wingdings"/>
                <w:sz w:val="26"/>
                <w:szCs w:val="26"/>
              </w:rPr>
              <w:t></w:t>
            </w:r>
          </w:p>
          <w:p w:rsidR="00140482" w:rsidRPr="00E35B86" w:rsidRDefault="00140482" w:rsidP="000E651B">
            <w:pPr>
              <w:autoSpaceDE w:val="0"/>
              <w:autoSpaceDN w:val="0"/>
              <w:adjustRightInd w:val="0"/>
              <w:jc w:val="center"/>
              <w:rPr>
                <w:rFonts w:ascii="MS Shell Dlg 2" w:hAnsi="MS Shell Dlg 2" w:cs="MS Shell Dlg 2"/>
                <w:sz w:val="16"/>
                <w:szCs w:val="16"/>
                <w:lang w:val="fr-FR"/>
              </w:rPr>
            </w:pPr>
          </w:p>
        </w:tc>
        <w:tc>
          <w:tcPr>
            <w:tcW w:w="3237" w:type="dxa"/>
            <w:gridSpan w:val="3"/>
            <w:tcBorders>
              <w:bottom w:val="single" w:sz="4" w:space="0" w:color="auto"/>
            </w:tcBorders>
          </w:tcPr>
          <w:p w:rsidR="00140482" w:rsidRDefault="00140482" w:rsidP="0085743B">
            <w:pPr>
              <w:tabs>
                <w:tab w:val="left" w:pos="9356"/>
              </w:tabs>
              <w:ind w:right="-279"/>
              <w:jc w:val="center"/>
              <w:rPr>
                <w:lang w:val="fr-FR"/>
              </w:rPr>
            </w:pPr>
            <w:r>
              <w:rPr>
                <w:lang w:val="fr-FR"/>
              </w:rPr>
              <w:t xml:space="preserve">Non  </w:t>
            </w:r>
            <w:r w:rsidR="008B1A1E">
              <w:rPr>
                <w:rFonts w:ascii="Wingdings" w:hAnsi="Wingdings" w:cs="Wingdings"/>
                <w:sz w:val="26"/>
                <w:szCs w:val="26"/>
              </w:rPr>
              <w:t></w:t>
            </w:r>
          </w:p>
        </w:tc>
      </w:tr>
    </w:tbl>
    <w:p w:rsidR="00FA4417" w:rsidRDefault="00FA4417" w:rsidP="001E0D83">
      <w:pPr>
        <w:spacing w:after="0" w:line="240" w:lineRule="auto"/>
        <w:rPr>
          <w:rFonts w:eastAsia="MS Mincho" w:cs="Times New Roman"/>
          <w:noProof/>
          <w:szCs w:val="32"/>
          <w:lang w:val="fr-FR"/>
        </w:rPr>
      </w:pPr>
    </w:p>
    <w:p w:rsidR="00FA4417" w:rsidRDefault="00FA4417">
      <w:pPr>
        <w:rPr>
          <w:rFonts w:eastAsia="MS Mincho" w:cs="Times New Roman"/>
          <w:noProof/>
          <w:szCs w:val="32"/>
          <w:lang w:val="fr-FR"/>
        </w:rPr>
      </w:pPr>
      <w:r>
        <w:rPr>
          <w:rFonts w:eastAsia="MS Mincho" w:cs="Times New Roman"/>
          <w:noProof/>
          <w:szCs w:val="32"/>
          <w:lang w:val="fr-FR"/>
        </w:rPr>
        <w:br w:type="page"/>
      </w:r>
    </w:p>
    <w:p w:rsidR="00BA6B0A" w:rsidRPr="00FA4417" w:rsidRDefault="00FA4417" w:rsidP="00FA4417">
      <w:pPr>
        <w:spacing w:after="0" w:line="240" w:lineRule="auto"/>
        <w:jc w:val="center"/>
        <w:rPr>
          <w:rFonts w:eastAsia="MS Mincho" w:cs="Times New Roman"/>
          <w:b/>
          <w:noProof/>
          <w:sz w:val="32"/>
          <w:szCs w:val="32"/>
          <w:lang w:val="fr-FR"/>
        </w:rPr>
      </w:pPr>
      <w:r w:rsidRPr="00FA4417">
        <w:rPr>
          <w:rFonts w:eastAsia="MS Mincho" w:cs="Times New Roman"/>
          <w:b/>
          <w:noProof/>
          <w:sz w:val="32"/>
          <w:szCs w:val="32"/>
          <w:lang w:val="fr-FR"/>
        </w:rPr>
        <w:lastRenderedPageBreak/>
        <w:t>ANNEXE</w:t>
      </w:r>
    </w:p>
    <w:p w:rsidR="00FA4417" w:rsidRDefault="00FA4417" w:rsidP="001E0D83">
      <w:pPr>
        <w:spacing w:after="0" w:line="240" w:lineRule="auto"/>
        <w:rPr>
          <w:rFonts w:eastAsia="MS Mincho" w:cs="Times New Roman"/>
          <w:noProof/>
          <w:szCs w:val="32"/>
          <w:lang w:val="fr-FR"/>
        </w:rPr>
      </w:pPr>
    </w:p>
    <w:p w:rsidR="00FA4417" w:rsidRDefault="00FA4417" w:rsidP="001E0D83">
      <w:pPr>
        <w:spacing w:after="0" w:line="240" w:lineRule="auto"/>
        <w:rPr>
          <w:rFonts w:eastAsia="MS Mincho" w:cs="Times New Roman"/>
          <w:noProof/>
          <w:szCs w:val="32"/>
          <w:lang w:val="fr-FR"/>
        </w:rPr>
      </w:pPr>
    </w:p>
    <w:p w:rsidR="00FA4417" w:rsidRPr="006E06AF" w:rsidRDefault="00FA4417" w:rsidP="00FA4417">
      <w:pPr>
        <w:pStyle w:val="ListParagraph"/>
        <w:spacing w:after="0" w:line="240" w:lineRule="auto"/>
        <w:ind w:left="284"/>
        <w:jc w:val="both"/>
        <w:rPr>
          <w:rFonts w:eastAsia="MS Mincho" w:cs="Times New Roman"/>
          <w:noProof/>
          <w:szCs w:val="32"/>
          <w:lang w:val="fr-FR"/>
        </w:rPr>
      </w:pPr>
      <w:r w:rsidRPr="00AA7580">
        <w:rPr>
          <w:rFonts w:eastAsia="MS Mincho" w:cs="Times New Roman"/>
          <w:noProof/>
          <w:szCs w:val="32"/>
          <w:lang w:val="fr-FR"/>
        </w:rPr>
        <w:t>Cette annexe détaille les règles applicables aux cessions temporaires et leurs conséquences en matière d’OST sur flux.</w:t>
      </w:r>
    </w:p>
    <w:p w:rsidR="00FA4417" w:rsidRPr="00AA7580" w:rsidRDefault="00FA4417" w:rsidP="00FA4417">
      <w:pPr>
        <w:pStyle w:val="ListParagraph"/>
        <w:spacing w:after="0" w:line="240" w:lineRule="auto"/>
        <w:ind w:left="284"/>
        <w:jc w:val="both"/>
        <w:rPr>
          <w:rFonts w:eastAsia="MS Mincho" w:cs="Times New Roman"/>
          <w:b/>
          <w:noProof/>
          <w:sz w:val="32"/>
          <w:szCs w:val="32"/>
          <w:lang w:val="fr-FR"/>
        </w:rPr>
      </w:pPr>
    </w:p>
    <w:p w:rsidR="00FA4417" w:rsidRDefault="00FA4417" w:rsidP="00FA4417">
      <w:pPr>
        <w:pStyle w:val="ListParagraph"/>
        <w:numPr>
          <w:ilvl w:val="0"/>
          <w:numId w:val="16"/>
        </w:numPr>
        <w:spacing w:before="120"/>
        <w:ind w:left="360"/>
        <w:jc w:val="both"/>
        <w:rPr>
          <w:rFonts w:eastAsia="MS Mincho" w:cs="Times New Roman"/>
          <w:noProof/>
          <w:szCs w:val="32"/>
          <w:lang w:val="fr-FR"/>
        </w:rPr>
      </w:pPr>
      <w:r w:rsidRPr="002D6823">
        <w:rPr>
          <w:rFonts w:eastAsia="MS Mincho" w:cs="Times New Roman"/>
          <w:noProof/>
          <w:szCs w:val="32"/>
          <w:lang w:val="fr-FR"/>
        </w:rPr>
        <w:t>Si la Saisie/Appariement de la jambe retour est concomitante à la mise en place de la cession temporaire, la détection des OST sur flux est assurée durant la vie du contrat, jusqu’à son dénouement</w:t>
      </w:r>
      <w:r>
        <w:rPr>
          <w:rFonts w:eastAsia="MS Mincho" w:cs="Times New Roman"/>
          <w:noProof/>
          <w:szCs w:val="32"/>
          <w:lang w:val="fr-FR"/>
        </w:rPr>
        <w:t xml:space="preserve">. </w:t>
      </w:r>
    </w:p>
    <w:p w:rsidR="00FA4417" w:rsidRDefault="00FA4417" w:rsidP="00FA4417">
      <w:pPr>
        <w:pStyle w:val="ListParagraph"/>
        <w:numPr>
          <w:ilvl w:val="0"/>
          <w:numId w:val="15"/>
        </w:numPr>
        <w:spacing w:before="120"/>
        <w:jc w:val="both"/>
        <w:rPr>
          <w:rFonts w:eastAsia="MS Mincho" w:cs="Times New Roman"/>
          <w:noProof/>
          <w:szCs w:val="32"/>
          <w:lang w:val="fr-FR"/>
        </w:rPr>
      </w:pPr>
      <w:r>
        <w:rPr>
          <w:rFonts w:eastAsia="MS Mincho" w:cs="Times New Roman"/>
          <w:noProof/>
          <w:szCs w:val="32"/>
          <w:lang w:val="fr-FR"/>
        </w:rPr>
        <w:t xml:space="preserve">A noter que la saisie simultanée est limitée aux </w:t>
      </w:r>
      <w:r w:rsidRPr="00C94A4B">
        <w:rPr>
          <w:rFonts w:eastAsia="MS Mincho" w:cs="Times New Roman"/>
          <w:noProof/>
          <w:szCs w:val="32"/>
          <w:lang w:val="fr-FR"/>
        </w:rPr>
        <w:t>restitutions comportant une trade date = la date de déouement théorique  qui se situe à moins de 35 jour de la date de la date de réception de l’instruction dans SLAB.</w:t>
      </w:r>
    </w:p>
    <w:p w:rsidR="00FA4417" w:rsidRDefault="00FA4417" w:rsidP="00FA4417">
      <w:pPr>
        <w:pStyle w:val="ListParagraph"/>
        <w:numPr>
          <w:ilvl w:val="0"/>
          <w:numId w:val="15"/>
        </w:numPr>
        <w:spacing w:before="120"/>
        <w:jc w:val="both"/>
        <w:rPr>
          <w:rFonts w:eastAsia="MS Mincho" w:cs="Times New Roman"/>
          <w:noProof/>
          <w:szCs w:val="32"/>
          <w:lang w:val="fr-FR"/>
        </w:rPr>
      </w:pPr>
      <w:r w:rsidRPr="002D6823">
        <w:rPr>
          <w:rFonts w:eastAsia="MS Mincho" w:cs="Times New Roman"/>
          <w:noProof/>
          <w:szCs w:val="32"/>
          <w:lang w:val="fr-FR"/>
        </w:rPr>
        <w:t>Cette solution est viable </w:t>
      </w:r>
      <w:r>
        <w:rPr>
          <w:rFonts w:eastAsia="MS Mincho" w:cs="Times New Roman"/>
          <w:noProof/>
          <w:szCs w:val="32"/>
          <w:lang w:val="fr-FR"/>
        </w:rPr>
        <w:t>p</w:t>
      </w:r>
      <w:r w:rsidRPr="002D6823">
        <w:rPr>
          <w:rFonts w:eastAsia="MS Mincho" w:cs="Times New Roman"/>
          <w:noProof/>
          <w:szCs w:val="32"/>
          <w:lang w:val="fr-FR"/>
        </w:rPr>
        <w:t xml:space="preserve">our les cessions temporaires à taux fixe ou « Sec » </w:t>
      </w:r>
    </w:p>
    <w:p w:rsidR="00FA4417" w:rsidRDefault="00FA4417" w:rsidP="00FA4417">
      <w:pPr>
        <w:pStyle w:val="ListParagraph"/>
        <w:numPr>
          <w:ilvl w:val="0"/>
          <w:numId w:val="15"/>
        </w:numPr>
        <w:spacing w:before="120"/>
        <w:jc w:val="both"/>
        <w:rPr>
          <w:rFonts w:eastAsia="MS Mincho" w:cs="Times New Roman"/>
          <w:noProof/>
          <w:szCs w:val="32"/>
          <w:lang w:val="fr-FR"/>
        </w:rPr>
      </w:pPr>
      <w:r>
        <w:rPr>
          <w:rFonts w:eastAsia="MS Mincho" w:cs="Times New Roman"/>
          <w:noProof/>
          <w:szCs w:val="32"/>
          <w:lang w:val="fr-FR"/>
        </w:rPr>
        <w:t xml:space="preserve">Cette solution n’est pas efficiente lorsque que des taux variables sont utilisés  ou que des règles spécifiques (hors module) de détections des OST sur flux sont en jeux. Notamment lorsqu’elles s’appuyent  sur un contrôle de l’antériorité de la date de </w:t>
      </w:r>
      <w:r w:rsidRPr="002D6823">
        <w:rPr>
          <w:rFonts w:eastAsia="MS Mincho" w:cs="Times New Roman"/>
          <w:noProof/>
          <w:szCs w:val="32"/>
          <w:lang w:val="fr-FR"/>
        </w:rPr>
        <w:t xml:space="preserve">dénouement théorique (ISD) vis-à-vis de la Record Date (RD)  et  la postériorité de la date de dénouement réelle (ASD) </w:t>
      </w:r>
      <w:r>
        <w:rPr>
          <w:rFonts w:eastAsia="MS Mincho" w:cs="Times New Roman"/>
          <w:noProof/>
          <w:szCs w:val="32"/>
          <w:lang w:val="fr-FR"/>
        </w:rPr>
        <w:t xml:space="preserve">vis-à-vis de </w:t>
      </w:r>
      <w:r w:rsidRPr="002D6823">
        <w:rPr>
          <w:rFonts w:eastAsia="MS Mincho" w:cs="Times New Roman"/>
          <w:noProof/>
          <w:szCs w:val="32"/>
          <w:lang w:val="fr-FR"/>
        </w:rPr>
        <w:t xml:space="preserve">cette même </w:t>
      </w:r>
      <w:r>
        <w:rPr>
          <w:rFonts w:eastAsia="MS Mincho" w:cs="Times New Roman"/>
          <w:noProof/>
          <w:szCs w:val="32"/>
          <w:lang w:val="fr-FR"/>
        </w:rPr>
        <w:t>RD. Ceci concerne les valeurs suivantes :</w:t>
      </w:r>
    </w:p>
    <w:p w:rsidR="00FA4417" w:rsidRDefault="00FA4417" w:rsidP="00FA4417">
      <w:pPr>
        <w:pStyle w:val="ListParagraph"/>
        <w:numPr>
          <w:ilvl w:val="1"/>
          <w:numId w:val="15"/>
        </w:numPr>
        <w:spacing w:before="120"/>
        <w:jc w:val="both"/>
        <w:rPr>
          <w:rFonts w:eastAsia="MS Mincho" w:cs="Times New Roman"/>
          <w:noProof/>
          <w:szCs w:val="32"/>
          <w:lang w:val="fr-FR"/>
        </w:rPr>
      </w:pPr>
      <w:r>
        <w:rPr>
          <w:rFonts w:eastAsia="MS Mincho" w:cs="Times New Roman"/>
          <w:noProof/>
          <w:szCs w:val="32"/>
          <w:lang w:val="fr-FR"/>
        </w:rPr>
        <w:t>Les t</w:t>
      </w:r>
      <w:r w:rsidRPr="002D6823">
        <w:rPr>
          <w:rFonts w:eastAsia="MS Mincho" w:cs="Times New Roman"/>
          <w:noProof/>
          <w:szCs w:val="32"/>
          <w:lang w:val="fr-FR"/>
        </w:rPr>
        <w:t xml:space="preserve">itres de type Bonds en pourcentage, en Units, en FMT et non cotés </w:t>
      </w:r>
    </w:p>
    <w:p w:rsidR="00FA4417" w:rsidRDefault="00FA4417" w:rsidP="00FA4417">
      <w:pPr>
        <w:pStyle w:val="ListParagraph"/>
        <w:numPr>
          <w:ilvl w:val="1"/>
          <w:numId w:val="15"/>
        </w:numPr>
        <w:spacing w:before="120"/>
        <w:jc w:val="both"/>
        <w:rPr>
          <w:rFonts w:eastAsia="MS Mincho" w:cs="Times New Roman"/>
          <w:noProof/>
          <w:szCs w:val="32"/>
          <w:lang w:val="fr-FR"/>
        </w:rPr>
      </w:pPr>
      <w:r>
        <w:rPr>
          <w:rFonts w:eastAsia="MS Mincho" w:cs="Times New Roman"/>
          <w:noProof/>
          <w:szCs w:val="32"/>
          <w:lang w:val="fr-FR"/>
        </w:rPr>
        <w:t xml:space="preserve">Les </w:t>
      </w:r>
      <w:r w:rsidRPr="002D6823">
        <w:rPr>
          <w:rFonts w:eastAsia="MS Mincho" w:cs="Times New Roman"/>
          <w:noProof/>
          <w:szCs w:val="32"/>
          <w:lang w:val="fr-FR"/>
        </w:rPr>
        <w:t>titres de type TCN, Bons du trésor, Euro Certificates of Deposit</w:t>
      </w:r>
      <w:r>
        <w:rPr>
          <w:rFonts w:eastAsia="MS Mincho" w:cs="Times New Roman"/>
          <w:noProof/>
          <w:szCs w:val="32"/>
          <w:lang w:val="fr-FR"/>
        </w:rPr>
        <w:t xml:space="preserve">. </w:t>
      </w:r>
    </w:p>
    <w:p w:rsidR="00FA4417" w:rsidRDefault="00FA4417" w:rsidP="00FA4417">
      <w:pPr>
        <w:pStyle w:val="ListParagraph"/>
        <w:spacing w:before="120"/>
        <w:ind w:left="360"/>
        <w:jc w:val="both"/>
        <w:rPr>
          <w:rFonts w:eastAsia="MS Mincho" w:cs="Times New Roman"/>
          <w:noProof/>
          <w:szCs w:val="32"/>
          <w:lang w:val="fr-FR"/>
        </w:rPr>
      </w:pPr>
    </w:p>
    <w:p w:rsidR="00FA4417" w:rsidRDefault="00FA4417" w:rsidP="00FA4417">
      <w:pPr>
        <w:pStyle w:val="ListParagraph"/>
        <w:numPr>
          <w:ilvl w:val="0"/>
          <w:numId w:val="16"/>
        </w:numPr>
        <w:spacing w:before="120"/>
        <w:ind w:left="360"/>
        <w:jc w:val="both"/>
        <w:rPr>
          <w:rFonts w:eastAsia="MS Mincho" w:cs="Times New Roman"/>
          <w:noProof/>
          <w:szCs w:val="32"/>
          <w:lang w:val="fr-FR"/>
        </w:rPr>
      </w:pPr>
      <w:r>
        <w:rPr>
          <w:rFonts w:eastAsia="MS Mincho" w:cs="Times New Roman"/>
          <w:noProof/>
          <w:szCs w:val="32"/>
          <w:lang w:val="fr-FR"/>
        </w:rPr>
        <w:t xml:space="preserve">Plus généralement </w:t>
      </w:r>
      <w:r w:rsidRPr="006F4AF5">
        <w:rPr>
          <w:rFonts w:eastAsia="MS Mincho" w:cs="Times New Roman"/>
          <w:noProof/>
          <w:szCs w:val="32"/>
          <w:lang w:val="fr-FR"/>
        </w:rPr>
        <w:t>l</w:t>
      </w:r>
      <w:r>
        <w:rPr>
          <w:rFonts w:eastAsia="MS Mincho" w:cs="Times New Roman"/>
          <w:noProof/>
          <w:szCs w:val="32"/>
          <w:lang w:val="fr-FR"/>
        </w:rPr>
        <w:t>e moment de la S</w:t>
      </w:r>
      <w:r w:rsidRPr="006F4AF5">
        <w:rPr>
          <w:rFonts w:eastAsia="MS Mincho" w:cs="Times New Roman"/>
          <w:noProof/>
          <w:szCs w:val="32"/>
          <w:lang w:val="fr-FR"/>
        </w:rPr>
        <w:t>aisie</w:t>
      </w:r>
      <w:r>
        <w:rPr>
          <w:rFonts w:eastAsia="MS Mincho" w:cs="Times New Roman"/>
          <w:noProof/>
          <w:szCs w:val="32"/>
          <w:lang w:val="fr-FR"/>
        </w:rPr>
        <w:t>/Appariement</w:t>
      </w:r>
      <w:r w:rsidRPr="006F4AF5">
        <w:rPr>
          <w:rFonts w:eastAsia="MS Mincho" w:cs="Times New Roman"/>
          <w:noProof/>
          <w:szCs w:val="32"/>
          <w:lang w:val="fr-FR"/>
        </w:rPr>
        <w:t xml:space="preserve"> </w:t>
      </w:r>
      <w:r>
        <w:rPr>
          <w:rFonts w:eastAsia="MS Mincho" w:cs="Times New Roman"/>
          <w:noProof/>
          <w:szCs w:val="32"/>
          <w:lang w:val="fr-FR"/>
        </w:rPr>
        <w:t xml:space="preserve">des jambes Aller/Retour est dissocié, impliquant une saisie de la restitution à l’échéance du contrat,  les règles de détections </w:t>
      </w:r>
      <w:r w:rsidRPr="006F4AF5">
        <w:rPr>
          <w:rFonts w:eastAsia="MS Mincho" w:cs="Times New Roman"/>
          <w:noProof/>
          <w:szCs w:val="32"/>
          <w:lang w:val="fr-FR"/>
        </w:rPr>
        <w:t xml:space="preserve">des </w:t>
      </w:r>
      <w:r>
        <w:rPr>
          <w:rFonts w:eastAsia="MS Mincho" w:cs="Times New Roman"/>
          <w:noProof/>
          <w:szCs w:val="32"/>
          <w:lang w:val="fr-FR"/>
        </w:rPr>
        <w:t>OST sur flux sont contraintes par les règles du Legacy d’ESES.</w:t>
      </w:r>
    </w:p>
    <w:p w:rsidR="00FA4417" w:rsidRDefault="00FA4417" w:rsidP="00FA4417">
      <w:pPr>
        <w:pStyle w:val="ListParagraph"/>
        <w:spacing w:after="0" w:line="240" w:lineRule="auto"/>
        <w:ind w:left="284"/>
        <w:jc w:val="both"/>
        <w:rPr>
          <w:rFonts w:eastAsia="MS Mincho" w:cs="Times New Roman"/>
          <w:b/>
          <w:caps/>
          <w:noProof/>
          <w:sz w:val="32"/>
          <w:szCs w:val="32"/>
          <w:lang w:val="fr-FR"/>
        </w:rPr>
      </w:pPr>
    </w:p>
    <w:p w:rsidR="00FA4417" w:rsidRDefault="00FA4417" w:rsidP="00FA4417">
      <w:pPr>
        <w:pStyle w:val="ListParagraph"/>
        <w:numPr>
          <w:ilvl w:val="0"/>
          <w:numId w:val="16"/>
        </w:numPr>
        <w:spacing w:before="120"/>
        <w:ind w:left="360"/>
        <w:jc w:val="both"/>
        <w:rPr>
          <w:rFonts w:eastAsia="MS Mincho" w:cs="Times New Roman"/>
          <w:noProof/>
          <w:szCs w:val="32"/>
          <w:lang w:val="fr-FR"/>
        </w:rPr>
      </w:pPr>
      <w:r w:rsidRPr="00A54277">
        <w:rPr>
          <w:rFonts w:eastAsia="MS Mincho" w:cs="Times New Roman"/>
          <w:noProof/>
          <w:szCs w:val="32"/>
          <w:lang w:val="fr-FR"/>
        </w:rPr>
        <w:t xml:space="preserve">Les tableaux </w:t>
      </w:r>
      <w:r>
        <w:rPr>
          <w:rFonts w:eastAsia="MS Mincho" w:cs="Times New Roman"/>
          <w:noProof/>
          <w:szCs w:val="32"/>
          <w:lang w:val="fr-FR"/>
        </w:rPr>
        <w:t xml:space="preserve">suivants </w:t>
      </w:r>
      <w:r w:rsidRPr="00A54277">
        <w:rPr>
          <w:rFonts w:eastAsia="MS Mincho" w:cs="Times New Roman"/>
          <w:noProof/>
          <w:szCs w:val="32"/>
          <w:lang w:val="fr-FR"/>
        </w:rPr>
        <w:t>illustr</w:t>
      </w:r>
      <w:r>
        <w:rPr>
          <w:rFonts w:eastAsia="MS Mincho" w:cs="Times New Roman"/>
          <w:noProof/>
          <w:szCs w:val="32"/>
          <w:lang w:val="fr-FR"/>
        </w:rPr>
        <w:t>e</w:t>
      </w:r>
      <w:r w:rsidRPr="00A54277">
        <w:rPr>
          <w:rFonts w:eastAsia="MS Mincho" w:cs="Times New Roman"/>
          <w:noProof/>
          <w:szCs w:val="32"/>
          <w:lang w:val="fr-FR"/>
        </w:rPr>
        <w:t>nt les différents cas de figure de détection automatique  à tort ou à raison des Osts sur flux et en fonction de la date de restitution de la cession temporaire</w:t>
      </w:r>
      <w:r>
        <w:rPr>
          <w:rFonts w:eastAsia="MS Mincho" w:cs="Times New Roman"/>
          <w:noProof/>
          <w:szCs w:val="32"/>
          <w:lang w:val="fr-FR"/>
        </w:rPr>
        <w:t>.</w:t>
      </w:r>
    </w:p>
    <w:tbl>
      <w:tblPr>
        <w:tblStyle w:val="TableGrid"/>
        <w:tblW w:w="9464" w:type="dxa"/>
        <w:tblLook w:val="04A0" w:firstRow="1" w:lastRow="0" w:firstColumn="1" w:lastColumn="0" w:noHBand="0" w:noVBand="1"/>
      </w:tblPr>
      <w:tblGrid>
        <w:gridCol w:w="1666"/>
        <w:gridCol w:w="1110"/>
        <w:gridCol w:w="167"/>
        <w:gridCol w:w="833"/>
        <w:gridCol w:w="585"/>
        <w:gridCol w:w="374"/>
        <w:gridCol w:w="618"/>
        <w:gridCol w:w="625"/>
        <w:gridCol w:w="1501"/>
        <w:gridCol w:w="1985"/>
      </w:tblGrid>
      <w:tr w:rsidR="00FA4417" w:rsidRPr="00BE55A2" w:rsidTr="00D527CF">
        <w:tc>
          <w:tcPr>
            <w:tcW w:w="9464" w:type="dxa"/>
            <w:gridSpan w:val="10"/>
            <w:shd w:val="clear" w:color="auto" w:fill="C6D9F1" w:themeFill="text2" w:themeFillTint="33"/>
          </w:tcPr>
          <w:p w:rsidR="00FA4417" w:rsidRPr="00A54277" w:rsidRDefault="00FA4417" w:rsidP="00D527CF">
            <w:pPr>
              <w:spacing w:before="120"/>
              <w:jc w:val="center"/>
              <w:rPr>
                <w:rFonts w:eastAsia="MS Mincho" w:cs="Times New Roman"/>
                <w:b/>
                <w:noProof/>
                <w:sz w:val="18"/>
                <w:szCs w:val="18"/>
                <w:lang w:val="fr-FR"/>
              </w:rPr>
            </w:pPr>
            <w:r w:rsidRPr="00A54277">
              <w:rPr>
                <w:rFonts w:eastAsia="MS Mincho" w:cs="Times New Roman"/>
                <w:b/>
                <w:noProof/>
                <w:sz w:val="18"/>
                <w:szCs w:val="18"/>
                <w:lang w:val="fr-FR"/>
              </w:rPr>
              <w:t>CESSION TEMPORAIRE AVEC UNE ECHEANCE AVANT LA MIGRATION T2S</w:t>
            </w:r>
          </w:p>
          <w:p w:rsidR="00FA4417" w:rsidRPr="00A54277" w:rsidRDefault="00FA4417" w:rsidP="00D527CF">
            <w:pPr>
              <w:spacing w:before="120"/>
              <w:jc w:val="center"/>
              <w:rPr>
                <w:rFonts w:eastAsia="MS Mincho" w:cs="Times New Roman"/>
                <w:b/>
                <w:noProof/>
                <w:sz w:val="18"/>
                <w:szCs w:val="18"/>
                <w:lang w:val="fr-FR"/>
              </w:rPr>
            </w:pPr>
            <w:r w:rsidRPr="00A54277">
              <w:rPr>
                <w:rFonts w:eastAsia="MS Mincho" w:cs="Times New Roman"/>
                <w:b/>
                <w:noProof/>
                <w:sz w:val="18"/>
                <w:szCs w:val="18"/>
                <w:lang w:val="fr-FR"/>
              </w:rPr>
              <w:t xml:space="preserve"> sans neutralisation des OST sur FLUX en ESES</w:t>
            </w:r>
          </w:p>
          <w:p w:rsidR="00FA4417" w:rsidRPr="00A54277" w:rsidRDefault="00FA4417" w:rsidP="00D527CF">
            <w:pPr>
              <w:spacing w:before="120"/>
              <w:jc w:val="center"/>
              <w:rPr>
                <w:rFonts w:eastAsia="MS Mincho" w:cs="Times New Roman"/>
                <w:b/>
                <w:noProof/>
                <w:sz w:val="18"/>
                <w:szCs w:val="18"/>
                <w:lang w:val="fr-FR"/>
              </w:rPr>
            </w:pPr>
            <w:r w:rsidRPr="00A54277">
              <w:rPr>
                <w:rFonts w:eastAsia="MS Mincho" w:cs="Times New Roman"/>
                <w:b/>
                <w:noProof/>
                <w:sz w:val="18"/>
                <w:szCs w:val="18"/>
                <w:lang w:val="fr-FR"/>
              </w:rPr>
              <w:t>Du 9 mai 2016 au dernier jour ouvré avant Migration T2S</w:t>
            </w:r>
          </w:p>
        </w:tc>
      </w:tr>
      <w:tr w:rsidR="00FA4417" w:rsidRPr="00BE55A2" w:rsidTr="00D527CF">
        <w:tc>
          <w:tcPr>
            <w:tcW w:w="9464" w:type="dxa"/>
            <w:gridSpan w:val="10"/>
          </w:tcPr>
          <w:p w:rsidR="00FA4417" w:rsidRPr="00A54277" w:rsidRDefault="00FA4417" w:rsidP="00D527CF">
            <w:pPr>
              <w:spacing w:before="120"/>
              <w:jc w:val="both"/>
              <w:rPr>
                <w:rFonts w:eastAsia="MS Mincho" w:cs="Times New Roman"/>
                <w:b/>
                <w:noProof/>
                <w:sz w:val="18"/>
                <w:szCs w:val="18"/>
                <w:lang w:val="fr-FR"/>
              </w:rPr>
            </w:pPr>
            <w:r w:rsidRPr="00A54277">
              <w:rPr>
                <w:rFonts w:eastAsia="MS Mincho" w:cs="Times New Roman"/>
                <w:b/>
                <w:noProof/>
                <w:sz w:val="18"/>
                <w:szCs w:val="18"/>
                <w:lang w:val="fr-FR"/>
              </w:rPr>
              <w:t>Rappel </w:t>
            </w:r>
            <w:r>
              <w:rPr>
                <w:rFonts w:eastAsia="MS Mincho" w:cs="Times New Roman"/>
                <w:b/>
                <w:noProof/>
                <w:sz w:val="18"/>
                <w:szCs w:val="18"/>
                <w:lang w:val="fr-FR"/>
              </w:rPr>
              <w:t>e</w:t>
            </w:r>
            <w:r w:rsidRPr="00A54277">
              <w:rPr>
                <w:rFonts w:eastAsia="MS Mincho" w:cs="Times New Roman"/>
                <w:b/>
                <w:noProof/>
                <w:sz w:val="18"/>
                <w:szCs w:val="18"/>
                <w:lang w:val="fr-FR"/>
              </w:rPr>
              <w:t>n ESES</w:t>
            </w:r>
            <w:r>
              <w:rPr>
                <w:rFonts w:eastAsia="MS Mincho" w:cs="Times New Roman"/>
                <w:b/>
                <w:noProof/>
                <w:sz w:val="18"/>
                <w:szCs w:val="18"/>
                <w:lang w:val="fr-FR"/>
              </w:rPr>
              <w:t xml:space="preserve"> actuellement </w:t>
            </w:r>
            <w:r w:rsidRPr="00A54277">
              <w:rPr>
                <w:rFonts w:eastAsia="MS Mincho" w:cs="Times New Roman"/>
                <w:b/>
                <w:noProof/>
                <w:sz w:val="18"/>
                <w:szCs w:val="18"/>
                <w:lang w:val="fr-FR"/>
              </w:rPr>
              <w:t xml:space="preserve">: </w:t>
            </w:r>
          </w:p>
          <w:p w:rsidR="00FA4417" w:rsidRPr="00A54277" w:rsidRDefault="00FA4417" w:rsidP="00FA4417">
            <w:pPr>
              <w:pStyle w:val="ListParagraph"/>
              <w:numPr>
                <w:ilvl w:val="0"/>
                <w:numId w:val="17"/>
              </w:numPr>
              <w:spacing w:before="120"/>
              <w:jc w:val="both"/>
              <w:rPr>
                <w:rFonts w:eastAsia="MS Mincho" w:cs="Times New Roman"/>
                <w:b/>
                <w:noProof/>
                <w:sz w:val="18"/>
                <w:szCs w:val="18"/>
                <w:lang w:val="fr-FR"/>
              </w:rPr>
            </w:pPr>
            <w:r>
              <w:rPr>
                <w:rFonts w:eastAsia="MS Mincho" w:cs="Times New Roman"/>
                <w:b/>
                <w:noProof/>
                <w:sz w:val="18"/>
                <w:szCs w:val="18"/>
                <w:lang w:val="fr-FR"/>
              </w:rPr>
              <w:t>L</w:t>
            </w:r>
            <w:r w:rsidRPr="00A54277">
              <w:rPr>
                <w:rFonts w:eastAsia="MS Mincho" w:cs="Times New Roman"/>
                <w:b/>
                <w:noProof/>
                <w:sz w:val="18"/>
                <w:szCs w:val="18"/>
                <w:lang w:val="fr-FR"/>
              </w:rPr>
              <w:t>’ISD</w:t>
            </w:r>
            <w:r>
              <w:rPr>
                <w:rFonts w:eastAsia="MS Mincho" w:cs="Times New Roman"/>
                <w:b/>
                <w:noProof/>
                <w:sz w:val="18"/>
                <w:szCs w:val="18"/>
                <w:lang w:val="fr-FR"/>
              </w:rPr>
              <w:t xml:space="preserve"> (Intended settlement date = date de dénouement théorique)</w:t>
            </w:r>
            <w:r w:rsidRPr="00A54277">
              <w:rPr>
                <w:rFonts w:eastAsia="MS Mincho" w:cs="Times New Roman"/>
                <w:b/>
                <w:noProof/>
                <w:sz w:val="18"/>
                <w:szCs w:val="18"/>
                <w:lang w:val="fr-FR"/>
              </w:rPr>
              <w:t xml:space="preserve"> ne peu</w:t>
            </w:r>
            <w:r>
              <w:rPr>
                <w:rFonts w:eastAsia="MS Mincho" w:cs="Times New Roman"/>
                <w:b/>
                <w:noProof/>
                <w:sz w:val="18"/>
                <w:szCs w:val="18"/>
                <w:lang w:val="fr-FR"/>
              </w:rPr>
              <w:t>t</w:t>
            </w:r>
            <w:r w:rsidRPr="00A54277">
              <w:rPr>
                <w:rFonts w:eastAsia="MS Mincho" w:cs="Times New Roman"/>
                <w:b/>
                <w:noProof/>
                <w:sz w:val="18"/>
                <w:szCs w:val="18"/>
                <w:lang w:val="fr-FR"/>
              </w:rPr>
              <w:t xml:space="preserve"> être supérieur à 35 jours de la </w:t>
            </w:r>
            <w:r>
              <w:rPr>
                <w:rFonts w:eastAsia="MS Mincho" w:cs="Times New Roman"/>
                <w:b/>
                <w:noProof/>
                <w:sz w:val="18"/>
                <w:szCs w:val="18"/>
                <w:lang w:val="fr-FR"/>
              </w:rPr>
              <w:t>TD (</w:t>
            </w:r>
            <w:r w:rsidRPr="00A54277">
              <w:rPr>
                <w:rFonts w:eastAsia="MS Mincho" w:cs="Times New Roman"/>
                <w:b/>
                <w:noProof/>
                <w:sz w:val="18"/>
                <w:szCs w:val="18"/>
                <w:lang w:val="fr-FR"/>
              </w:rPr>
              <w:t>Trade date</w:t>
            </w:r>
            <w:r>
              <w:rPr>
                <w:rFonts w:eastAsia="MS Mincho" w:cs="Times New Roman"/>
                <w:b/>
                <w:noProof/>
                <w:sz w:val="18"/>
                <w:szCs w:val="18"/>
                <w:lang w:val="fr-FR"/>
              </w:rPr>
              <w:t xml:space="preserve"> = Date de négociation</w:t>
            </w:r>
            <w:r w:rsidRPr="00A54277">
              <w:rPr>
                <w:rFonts w:eastAsia="MS Mincho" w:cs="Times New Roman"/>
                <w:b/>
                <w:noProof/>
                <w:sz w:val="18"/>
                <w:szCs w:val="18"/>
                <w:lang w:val="fr-FR"/>
              </w:rPr>
              <w:t xml:space="preserve"> </w:t>
            </w:r>
            <w:r>
              <w:rPr>
                <w:rFonts w:eastAsia="MS Mincho" w:cs="Times New Roman"/>
                <w:b/>
                <w:noProof/>
                <w:sz w:val="18"/>
                <w:szCs w:val="18"/>
                <w:lang w:val="fr-FR"/>
              </w:rPr>
              <w:t>)</w:t>
            </w:r>
          </w:p>
          <w:p w:rsidR="00FA4417" w:rsidRPr="00A54277" w:rsidRDefault="00FA4417" w:rsidP="00FA4417">
            <w:pPr>
              <w:pStyle w:val="ListParagraph"/>
              <w:numPr>
                <w:ilvl w:val="0"/>
                <w:numId w:val="17"/>
              </w:numPr>
              <w:spacing w:before="120"/>
              <w:jc w:val="both"/>
              <w:rPr>
                <w:rFonts w:eastAsia="MS Mincho" w:cs="Times New Roman"/>
                <w:b/>
                <w:noProof/>
                <w:sz w:val="18"/>
                <w:szCs w:val="18"/>
                <w:lang w:val="fr-FR"/>
              </w:rPr>
            </w:pPr>
            <w:r w:rsidRPr="00A54277">
              <w:rPr>
                <w:rFonts w:eastAsia="MS Mincho" w:cs="Times New Roman"/>
                <w:b/>
                <w:noProof/>
                <w:sz w:val="18"/>
                <w:szCs w:val="18"/>
                <w:lang w:val="fr-FR"/>
              </w:rPr>
              <w:t xml:space="preserve">La détection </w:t>
            </w:r>
            <w:r>
              <w:rPr>
                <w:rFonts w:eastAsia="MS Mincho" w:cs="Times New Roman"/>
                <w:b/>
                <w:noProof/>
                <w:sz w:val="18"/>
                <w:szCs w:val="18"/>
                <w:lang w:val="fr-FR"/>
              </w:rPr>
              <w:t xml:space="preserve">des OST/flux </w:t>
            </w:r>
            <w:r w:rsidRPr="00A54277">
              <w:rPr>
                <w:rFonts w:eastAsia="MS Mincho" w:cs="Times New Roman"/>
                <w:b/>
                <w:noProof/>
                <w:sz w:val="18"/>
                <w:szCs w:val="18"/>
                <w:lang w:val="fr-FR"/>
              </w:rPr>
              <w:t>est de 45 jours après la</w:t>
            </w:r>
            <w:r>
              <w:rPr>
                <w:rFonts w:eastAsia="MS Mincho" w:cs="Times New Roman"/>
                <w:b/>
                <w:noProof/>
                <w:sz w:val="18"/>
                <w:szCs w:val="18"/>
                <w:lang w:val="fr-FR"/>
              </w:rPr>
              <w:t xml:space="preserve"> RD (</w:t>
            </w:r>
            <w:r w:rsidRPr="00A54277">
              <w:rPr>
                <w:rFonts w:eastAsia="MS Mincho" w:cs="Times New Roman"/>
                <w:b/>
                <w:noProof/>
                <w:sz w:val="18"/>
                <w:szCs w:val="18"/>
                <w:lang w:val="fr-FR"/>
              </w:rPr>
              <w:t>Record date</w:t>
            </w:r>
            <w:r>
              <w:rPr>
                <w:rFonts w:eastAsia="MS Mincho" w:cs="Times New Roman"/>
                <w:b/>
                <w:noProof/>
                <w:sz w:val="18"/>
                <w:szCs w:val="18"/>
                <w:lang w:val="fr-FR"/>
              </w:rPr>
              <w:t xml:space="preserve"> = Date d’arrêté)</w:t>
            </w:r>
          </w:p>
        </w:tc>
      </w:tr>
      <w:tr w:rsidR="00FA4417" w:rsidRPr="00BE55A2" w:rsidTr="00D527CF">
        <w:tc>
          <w:tcPr>
            <w:tcW w:w="9464" w:type="dxa"/>
            <w:gridSpan w:val="10"/>
          </w:tcPr>
          <w:p w:rsidR="00FA4417" w:rsidRPr="00A54277" w:rsidRDefault="00FA4417" w:rsidP="00D527CF">
            <w:pPr>
              <w:spacing w:before="120"/>
              <w:jc w:val="both"/>
              <w:rPr>
                <w:rFonts w:eastAsia="MS Mincho" w:cs="Times New Roman"/>
                <w:b/>
                <w:noProof/>
                <w:sz w:val="18"/>
                <w:szCs w:val="18"/>
                <w:lang w:val="fr-FR"/>
              </w:rPr>
            </w:pPr>
            <w:r w:rsidRPr="00A54277">
              <w:rPr>
                <w:rFonts w:eastAsia="MS Mincho" w:cs="Times New Roman"/>
                <w:b/>
                <w:noProof/>
                <w:sz w:val="18"/>
                <w:szCs w:val="18"/>
                <w:lang w:val="fr-FR"/>
              </w:rPr>
              <w:t>L’instruction de mise en place ne pourra avoir une trade date équivalent</w:t>
            </w:r>
            <w:r>
              <w:rPr>
                <w:rFonts w:eastAsia="MS Mincho" w:cs="Times New Roman"/>
                <w:b/>
                <w:noProof/>
                <w:sz w:val="18"/>
                <w:szCs w:val="18"/>
                <w:lang w:val="fr-FR"/>
              </w:rPr>
              <w:t>e</w:t>
            </w:r>
            <w:r w:rsidRPr="00A54277">
              <w:rPr>
                <w:rFonts w:eastAsia="MS Mincho" w:cs="Times New Roman"/>
                <w:b/>
                <w:noProof/>
                <w:sz w:val="18"/>
                <w:szCs w:val="18"/>
                <w:lang w:val="fr-FR"/>
              </w:rPr>
              <w:t xml:space="preserve"> à la date originelle du contrat si celle-ci </w:t>
            </w:r>
            <w:r>
              <w:rPr>
                <w:rFonts w:eastAsia="MS Mincho" w:cs="Times New Roman"/>
                <w:b/>
                <w:noProof/>
                <w:sz w:val="18"/>
                <w:szCs w:val="18"/>
                <w:lang w:val="fr-FR"/>
              </w:rPr>
              <w:t>se situe à plus de</w:t>
            </w:r>
            <w:r w:rsidRPr="00A54277">
              <w:rPr>
                <w:rFonts w:eastAsia="MS Mincho" w:cs="Times New Roman"/>
                <w:b/>
                <w:noProof/>
                <w:sz w:val="18"/>
                <w:szCs w:val="18"/>
                <w:lang w:val="fr-FR"/>
              </w:rPr>
              <w:t xml:space="preserve"> 35 jours ouvrés de la date de dénouement  </w:t>
            </w:r>
          </w:p>
        </w:tc>
      </w:tr>
      <w:tr w:rsidR="00FA4417" w:rsidRPr="00A54277" w:rsidTr="00D527CF">
        <w:tc>
          <w:tcPr>
            <w:tcW w:w="1666" w:type="dxa"/>
            <w:vMerge w:val="restart"/>
            <w:vAlign w:val="center"/>
          </w:tcPr>
          <w:p w:rsidR="00FA4417" w:rsidRPr="00A54277" w:rsidRDefault="00FA4417" w:rsidP="00D527CF">
            <w:pPr>
              <w:spacing w:before="120"/>
              <w:jc w:val="center"/>
              <w:rPr>
                <w:rFonts w:eastAsia="MS Mincho" w:cs="Times New Roman"/>
                <w:b/>
                <w:noProof/>
                <w:sz w:val="18"/>
                <w:szCs w:val="18"/>
                <w:lang w:val="fr-FR"/>
              </w:rPr>
            </w:pPr>
            <w:r w:rsidRPr="00A54277">
              <w:rPr>
                <w:rFonts w:eastAsia="MS Mincho" w:cs="Times New Roman"/>
                <w:b/>
                <w:noProof/>
                <w:sz w:val="18"/>
                <w:szCs w:val="18"/>
                <w:lang w:val="fr-FR"/>
              </w:rPr>
              <w:t>Saisie par Slab Achat/Vente</w:t>
            </w:r>
          </w:p>
        </w:tc>
        <w:tc>
          <w:tcPr>
            <w:tcW w:w="1110" w:type="dxa"/>
            <w:vMerge w:val="restart"/>
            <w:vAlign w:val="center"/>
          </w:tcPr>
          <w:p w:rsidR="00FA4417" w:rsidRPr="00A54277" w:rsidRDefault="00FA4417" w:rsidP="00D527CF">
            <w:pPr>
              <w:spacing w:before="120"/>
              <w:jc w:val="center"/>
              <w:rPr>
                <w:rFonts w:eastAsia="MS Mincho" w:cs="Times New Roman"/>
                <w:b/>
                <w:noProof/>
                <w:sz w:val="18"/>
                <w:szCs w:val="18"/>
                <w:lang w:val="fr-FR"/>
              </w:rPr>
            </w:pPr>
            <w:r w:rsidRPr="00A54277">
              <w:rPr>
                <w:rFonts w:eastAsia="MS Mincho" w:cs="Times New Roman"/>
                <w:b/>
                <w:noProof/>
                <w:sz w:val="18"/>
                <w:szCs w:val="18"/>
                <w:lang w:val="fr-FR"/>
              </w:rPr>
              <w:t>Instruction de mise en place</w:t>
            </w:r>
          </w:p>
        </w:tc>
        <w:tc>
          <w:tcPr>
            <w:tcW w:w="1000" w:type="dxa"/>
            <w:gridSpan w:val="2"/>
          </w:tcPr>
          <w:p w:rsidR="00FA4417" w:rsidRPr="00A54277" w:rsidRDefault="00FA4417" w:rsidP="00D527CF">
            <w:pPr>
              <w:spacing w:before="120"/>
              <w:jc w:val="center"/>
              <w:rPr>
                <w:rFonts w:eastAsia="MS Mincho" w:cs="Times New Roman"/>
                <w:b/>
                <w:noProof/>
                <w:sz w:val="18"/>
                <w:szCs w:val="18"/>
                <w:lang w:val="fr-FR"/>
              </w:rPr>
            </w:pPr>
            <w:r w:rsidRPr="00A54277">
              <w:rPr>
                <w:rFonts w:eastAsia="MS Mincho" w:cs="Times New Roman"/>
                <w:b/>
                <w:noProof/>
                <w:sz w:val="18"/>
                <w:szCs w:val="18"/>
                <w:lang w:val="fr-FR"/>
              </w:rPr>
              <w:t>Titres de créances</w:t>
            </w:r>
          </w:p>
        </w:tc>
        <w:tc>
          <w:tcPr>
            <w:tcW w:w="959" w:type="dxa"/>
            <w:gridSpan w:val="2"/>
          </w:tcPr>
          <w:p w:rsidR="00FA4417" w:rsidRPr="00A54277" w:rsidRDefault="00FA4417" w:rsidP="00D527CF">
            <w:pPr>
              <w:spacing w:before="120"/>
              <w:jc w:val="center"/>
              <w:rPr>
                <w:rFonts w:eastAsia="MS Mincho" w:cs="Times New Roman"/>
                <w:b/>
                <w:noProof/>
                <w:sz w:val="18"/>
                <w:szCs w:val="18"/>
                <w:lang w:val="fr-FR"/>
              </w:rPr>
            </w:pPr>
            <w:r w:rsidRPr="00A54277">
              <w:rPr>
                <w:rFonts w:eastAsia="MS Mincho" w:cs="Times New Roman"/>
                <w:b/>
                <w:noProof/>
                <w:sz w:val="18"/>
                <w:szCs w:val="18"/>
                <w:lang w:val="fr-FR"/>
              </w:rPr>
              <w:t>Market claim</w:t>
            </w:r>
          </w:p>
        </w:tc>
        <w:tc>
          <w:tcPr>
            <w:tcW w:w="1243" w:type="dxa"/>
            <w:gridSpan w:val="2"/>
          </w:tcPr>
          <w:p w:rsidR="00FA4417" w:rsidRPr="00A54277" w:rsidRDefault="00FA4417" w:rsidP="00D527CF">
            <w:pPr>
              <w:spacing w:before="120"/>
              <w:jc w:val="center"/>
              <w:rPr>
                <w:rFonts w:eastAsia="MS Mincho" w:cs="Times New Roman"/>
                <w:b/>
                <w:noProof/>
                <w:sz w:val="18"/>
                <w:szCs w:val="18"/>
                <w:lang w:val="fr-FR"/>
              </w:rPr>
            </w:pPr>
            <w:r>
              <w:rPr>
                <w:rFonts w:eastAsia="MS Mincho" w:cs="Times New Roman"/>
                <w:b/>
                <w:noProof/>
                <w:sz w:val="18"/>
                <w:szCs w:val="18"/>
                <w:lang w:val="fr-FR"/>
              </w:rPr>
              <w:t>Ost flux au profit  de l’acheteur</w:t>
            </w:r>
          </w:p>
        </w:tc>
        <w:tc>
          <w:tcPr>
            <w:tcW w:w="3486" w:type="dxa"/>
            <w:gridSpan w:val="2"/>
          </w:tcPr>
          <w:p w:rsidR="00FA4417" w:rsidRPr="00A54277" w:rsidRDefault="00FA4417" w:rsidP="00D527CF">
            <w:pPr>
              <w:spacing w:before="120"/>
              <w:jc w:val="center"/>
              <w:rPr>
                <w:rFonts w:eastAsia="MS Mincho" w:cs="Times New Roman"/>
                <w:b/>
                <w:noProof/>
                <w:sz w:val="18"/>
                <w:szCs w:val="18"/>
                <w:lang w:val="fr-FR"/>
              </w:rPr>
            </w:pPr>
            <w:r w:rsidRPr="00A54277">
              <w:rPr>
                <w:rFonts w:eastAsia="MS Mincho" w:cs="Times New Roman"/>
                <w:b/>
                <w:noProof/>
                <w:sz w:val="18"/>
                <w:szCs w:val="18"/>
                <w:lang w:val="fr-FR"/>
              </w:rPr>
              <w:t>si ASD &gt; ISD</w:t>
            </w:r>
          </w:p>
        </w:tc>
      </w:tr>
      <w:tr w:rsidR="00FA4417" w:rsidRPr="00BE55A2" w:rsidTr="00D527CF">
        <w:tc>
          <w:tcPr>
            <w:tcW w:w="1666" w:type="dxa"/>
            <w:vMerge/>
          </w:tcPr>
          <w:p w:rsidR="00FA4417" w:rsidRPr="00A54277" w:rsidRDefault="00FA4417" w:rsidP="00D527CF">
            <w:pPr>
              <w:spacing w:before="120"/>
              <w:jc w:val="center"/>
              <w:rPr>
                <w:rFonts w:eastAsia="MS Mincho" w:cs="Times New Roman"/>
                <w:b/>
                <w:noProof/>
                <w:sz w:val="18"/>
                <w:szCs w:val="18"/>
                <w:lang w:val="fr-FR"/>
              </w:rPr>
            </w:pPr>
          </w:p>
        </w:tc>
        <w:tc>
          <w:tcPr>
            <w:tcW w:w="1110" w:type="dxa"/>
            <w:vMerge/>
          </w:tcPr>
          <w:p w:rsidR="00FA4417" w:rsidRPr="00A54277" w:rsidRDefault="00FA4417" w:rsidP="00D527CF">
            <w:pPr>
              <w:spacing w:before="120"/>
              <w:jc w:val="center"/>
              <w:rPr>
                <w:rFonts w:eastAsia="MS Mincho" w:cs="Times New Roman"/>
                <w:b/>
                <w:noProof/>
                <w:sz w:val="18"/>
                <w:szCs w:val="18"/>
                <w:lang w:val="fr-FR"/>
              </w:rPr>
            </w:pPr>
          </w:p>
        </w:tc>
        <w:tc>
          <w:tcPr>
            <w:tcW w:w="1000" w:type="dxa"/>
            <w:gridSpan w:val="2"/>
            <w:vMerge w:val="restart"/>
            <w:vAlign w:val="center"/>
          </w:tcPr>
          <w:p w:rsidR="00FA4417" w:rsidRPr="00A54277" w:rsidRDefault="00FA4417" w:rsidP="00D527CF">
            <w:pPr>
              <w:spacing w:before="120"/>
              <w:jc w:val="center"/>
              <w:rPr>
                <w:rFonts w:eastAsia="MS Mincho" w:cs="Times New Roman"/>
                <w:b/>
                <w:noProof/>
                <w:sz w:val="18"/>
                <w:szCs w:val="18"/>
                <w:lang w:val="fr-FR"/>
              </w:rPr>
            </w:pPr>
            <w:r w:rsidRPr="00A54277">
              <w:rPr>
                <w:rFonts w:eastAsia="MS Mincho" w:cs="Times New Roman"/>
                <w:b/>
                <w:noProof/>
                <w:sz w:val="18"/>
                <w:szCs w:val="18"/>
                <w:lang w:val="fr-FR"/>
              </w:rPr>
              <w:t>Titres de capital</w:t>
            </w:r>
          </w:p>
        </w:tc>
        <w:tc>
          <w:tcPr>
            <w:tcW w:w="959" w:type="dxa"/>
            <w:gridSpan w:val="2"/>
          </w:tcPr>
          <w:p w:rsidR="00FA4417" w:rsidRPr="00A54277" w:rsidRDefault="00FA4417" w:rsidP="00D527CF">
            <w:pPr>
              <w:spacing w:before="120"/>
              <w:jc w:val="center"/>
              <w:rPr>
                <w:rFonts w:eastAsia="MS Mincho" w:cs="Times New Roman"/>
                <w:b/>
                <w:noProof/>
                <w:sz w:val="18"/>
                <w:szCs w:val="18"/>
                <w:lang w:val="fr-FR"/>
              </w:rPr>
            </w:pPr>
            <w:r w:rsidRPr="00A54277">
              <w:rPr>
                <w:rFonts w:eastAsia="MS Mincho" w:cs="Times New Roman"/>
                <w:b/>
                <w:noProof/>
                <w:sz w:val="18"/>
                <w:szCs w:val="18"/>
                <w:lang w:val="fr-FR"/>
              </w:rPr>
              <w:t>Market claim</w:t>
            </w:r>
          </w:p>
        </w:tc>
        <w:tc>
          <w:tcPr>
            <w:tcW w:w="1243" w:type="dxa"/>
            <w:gridSpan w:val="2"/>
          </w:tcPr>
          <w:p w:rsidR="00FA4417" w:rsidRPr="00A54277" w:rsidRDefault="00FA4417" w:rsidP="00D527CF">
            <w:pPr>
              <w:spacing w:before="120"/>
              <w:jc w:val="center"/>
              <w:rPr>
                <w:rFonts w:eastAsia="MS Mincho" w:cs="Times New Roman"/>
                <w:b/>
                <w:noProof/>
                <w:sz w:val="18"/>
                <w:szCs w:val="18"/>
                <w:lang w:val="fr-FR"/>
              </w:rPr>
            </w:pPr>
            <w:r>
              <w:rPr>
                <w:rFonts w:eastAsia="MS Mincho" w:cs="Times New Roman"/>
                <w:b/>
                <w:noProof/>
                <w:sz w:val="18"/>
                <w:szCs w:val="18"/>
                <w:lang w:val="fr-FR"/>
              </w:rPr>
              <w:t>Ost flux au profit de l’acheteur</w:t>
            </w:r>
          </w:p>
        </w:tc>
        <w:tc>
          <w:tcPr>
            <w:tcW w:w="3486" w:type="dxa"/>
            <w:gridSpan w:val="2"/>
          </w:tcPr>
          <w:p w:rsidR="00FA4417" w:rsidRPr="00A54277" w:rsidRDefault="00FA4417" w:rsidP="00D527CF">
            <w:pPr>
              <w:spacing w:before="120"/>
              <w:jc w:val="center"/>
              <w:rPr>
                <w:rFonts w:eastAsia="MS Mincho" w:cs="Times New Roman"/>
                <w:b/>
                <w:noProof/>
                <w:sz w:val="18"/>
                <w:szCs w:val="18"/>
                <w:lang w:val="fr-FR"/>
              </w:rPr>
            </w:pPr>
            <w:r w:rsidRPr="00A54277">
              <w:rPr>
                <w:rFonts w:eastAsia="MS Mincho" w:cs="Times New Roman"/>
                <w:b/>
                <w:noProof/>
                <w:sz w:val="18"/>
                <w:szCs w:val="18"/>
                <w:lang w:val="fr-FR"/>
              </w:rPr>
              <w:t>Si TD &lt; EX date et ISD</w:t>
            </w:r>
            <w:r>
              <w:rPr>
                <w:rFonts w:eastAsia="MS Mincho" w:cs="Times New Roman"/>
                <w:b/>
                <w:noProof/>
                <w:sz w:val="18"/>
                <w:szCs w:val="18"/>
                <w:lang w:val="fr-FR"/>
              </w:rPr>
              <w:t xml:space="preserve"> &gt; RD</w:t>
            </w:r>
          </w:p>
        </w:tc>
      </w:tr>
      <w:tr w:rsidR="00FA4417" w:rsidRPr="00BE55A2" w:rsidTr="00D527CF">
        <w:tc>
          <w:tcPr>
            <w:tcW w:w="1666" w:type="dxa"/>
            <w:vMerge/>
          </w:tcPr>
          <w:p w:rsidR="00FA4417" w:rsidRPr="00A54277" w:rsidRDefault="00FA4417" w:rsidP="00D527CF">
            <w:pPr>
              <w:spacing w:before="120"/>
              <w:jc w:val="center"/>
              <w:rPr>
                <w:rFonts w:eastAsia="MS Mincho" w:cs="Times New Roman"/>
                <w:b/>
                <w:noProof/>
                <w:sz w:val="18"/>
                <w:szCs w:val="18"/>
                <w:lang w:val="fr-FR"/>
              </w:rPr>
            </w:pPr>
          </w:p>
        </w:tc>
        <w:tc>
          <w:tcPr>
            <w:tcW w:w="1110" w:type="dxa"/>
            <w:vMerge/>
          </w:tcPr>
          <w:p w:rsidR="00FA4417" w:rsidRPr="00A54277" w:rsidRDefault="00FA4417" w:rsidP="00D527CF">
            <w:pPr>
              <w:spacing w:before="120"/>
              <w:jc w:val="center"/>
              <w:rPr>
                <w:rFonts w:eastAsia="MS Mincho" w:cs="Times New Roman"/>
                <w:b/>
                <w:noProof/>
                <w:sz w:val="18"/>
                <w:szCs w:val="18"/>
                <w:lang w:val="fr-FR"/>
              </w:rPr>
            </w:pPr>
          </w:p>
        </w:tc>
        <w:tc>
          <w:tcPr>
            <w:tcW w:w="1000" w:type="dxa"/>
            <w:gridSpan w:val="2"/>
            <w:vMerge/>
          </w:tcPr>
          <w:p w:rsidR="00FA4417" w:rsidRPr="00A54277" w:rsidRDefault="00FA4417" w:rsidP="00D527CF">
            <w:pPr>
              <w:spacing w:before="120"/>
              <w:jc w:val="center"/>
              <w:rPr>
                <w:rFonts w:eastAsia="MS Mincho" w:cs="Times New Roman"/>
                <w:b/>
                <w:noProof/>
                <w:sz w:val="18"/>
                <w:szCs w:val="18"/>
                <w:lang w:val="fr-FR"/>
              </w:rPr>
            </w:pPr>
          </w:p>
        </w:tc>
        <w:tc>
          <w:tcPr>
            <w:tcW w:w="959" w:type="dxa"/>
            <w:gridSpan w:val="2"/>
          </w:tcPr>
          <w:p w:rsidR="00FA4417" w:rsidRPr="00A54277" w:rsidRDefault="00FA4417" w:rsidP="00D527CF">
            <w:pPr>
              <w:spacing w:before="120"/>
              <w:jc w:val="center"/>
              <w:rPr>
                <w:rFonts w:eastAsia="MS Mincho" w:cs="Times New Roman"/>
                <w:b/>
                <w:noProof/>
                <w:sz w:val="18"/>
                <w:szCs w:val="18"/>
                <w:lang w:val="fr-FR"/>
              </w:rPr>
            </w:pPr>
            <w:r w:rsidRPr="00A54277">
              <w:rPr>
                <w:rFonts w:eastAsia="MS Mincho" w:cs="Times New Roman"/>
                <w:b/>
                <w:noProof/>
                <w:sz w:val="18"/>
                <w:szCs w:val="18"/>
                <w:lang w:val="fr-FR"/>
              </w:rPr>
              <w:t>Reverse Claim</w:t>
            </w:r>
          </w:p>
        </w:tc>
        <w:tc>
          <w:tcPr>
            <w:tcW w:w="1243" w:type="dxa"/>
            <w:gridSpan w:val="2"/>
          </w:tcPr>
          <w:p w:rsidR="00FA4417" w:rsidRPr="00A54277" w:rsidRDefault="00FA4417" w:rsidP="00D527CF">
            <w:pPr>
              <w:spacing w:before="120"/>
              <w:jc w:val="center"/>
              <w:rPr>
                <w:rFonts w:eastAsia="MS Mincho" w:cs="Times New Roman"/>
                <w:b/>
                <w:noProof/>
                <w:sz w:val="18"/>
                <w:szCs w:val="18"/>
                <w:lang w:val="fr-FR"/>
              </w:rPr>
            </w:pPr>
            <w:r>
              <w:rPr>
                <w:rFonts w:eastAsia="MS Mincho" w:cs="Times New Roman"/>
                <w:b/>
                <w:noProof/>
                <w:sz w:val="18"/>
                <w:szCs w:val="18"/>
                <w:lang w:val="fr-FR"/>
              </w:rPr>
              <w:t>Ost flux au profit  du vendeur</w:t>
            </w:r>
          </w:p>
        </w:tc>
        <w:tc>
          <w:tcPr>
            <w:tcW w:w="3486" w:type="dxa"/>
            <w:gridSpan w:val="2"/>
          </w:tcPr>
          <w:p w:rsidR="00FA4417" w:rsidRPr="00A54277" w:rsidRDefault="00FA4417" w:rsidP="00D527CF">
            <w:pPr>
              <w:spacing w:before="120"/>
              <w:jc w:val="center"/>
              <w:rPr>
                <w:rFonts w:eastAsia="MS Mincho" w:cs="Times New Roman"/>
                <w:b/>
                <w:noProof/>
                <w:sz w:val="18"/>
                <w:szCs w:val="18"/>
                <w:lang w:val="fr-FR"/>
              </w:rPr>
            </w:pPr>
            <w:r w:rsidRPr="00A54277">
              <w:rPr>
                <w:rFonts w:eastAsia="MS Mincho" w:cs="Times New Roman"/>
                <w:b/>
                <w:noProof/>
                <w:sz w:val="18"/>
                <w:szCs w:val="18"/>
                <w:lang w:val="fr-FR"/>
              </w:rPr>
              <w:t>Si TD &gt; à Ex date et &lt;= à Record date</w:t>
            </w:r>
          </w:p>
        </w:tc>
      </w:tr>
      <w:tr w:rsidR="00FA4417" w:rsidRPr="00BE55A2" w:rsidTr="00D527CF">
        <w:tc>
          <w:tcPr>
            <w:tcW w:w="9464" w:type="dxa"/>
            <w:gridSpan w:val="10"/>
          </w:tcPr>
          <w:p w:rsidR="00FA4417" w:rsidRPr="00A54277" w:rsidRDefault="00FA4417" w:rsidP="00D527CF">
            <w:pPr>
              <w:spacing w:before="120"/>
              <w:jc w:val="both"/>
              <w:rPr>
                <w:rFonts w:eastAsia="MS Mincho" w:cs="Times New Roman"/>
                <w:b/>
                <w:noProof/>
                <w:sz w:val="18"/>
                <w:szCs w:val="18"/>
                <w:lang w:val="fr-FR"/>
              </w:rPr>
            </w:pPr>
            <w:r w:rsidRPr="00A54277">
              <w:rPr>
                <w:rFonts w:eastAsia="MS Mincho" w:cs="Times New Roman"/>
                <w:b/>
                <w:noProof/>
                <w:sz w:val="18"/>
                <w:szCs w:val="18"/>
                <w:lang w:val="fr-FR"/>
              </w:rPr>
              <w:t>L’instruction de restitution ne pourra avoir une trade date équivalent</w:t>
            </w:r>
            <w:r>
              <w:rPr>
                <w:rFonts w:eastAsia="MS Mincho" w:cs="Times New Roman"/>
                <w:b/>
                <w:noProof/>
                <w:sz w:val="18"/>
                <w:szCs w:val="18"/>
                <w:lang w:val="fr-FR"/>
              </w:rPr>
              <w:t>e</w:t>
            </w:r>
            <w:r w:rsidRPr="00A54277">
              <w:rPr>
                <w:rFonts w:eastAsia="MS Mincho" w:cs="Times New Roman"/>
                <w:b/>
                <w:noProof/>
                <w:sz w:val="18"/>
                <w:szCs w:val="18"/>
                <w:lang w:val="fr-FR"/>
              </w:rPr>
              <w:t xml:space="preserve"> à la date originelle du contrat ou de la date de dénouement de la mise en place si celle-ci est supérieur</w:t>
            </w:r>
            <w:r>
              <w:rPr>
                <w:rFonts w:eastAsia="MS Mincho" w:cs="Times New Roman"/>
                <w:b/>
                <w:noProof/>
                <w:sz w:val="18"/>
                <w:szCs w:val="18"/>
                <w:lang w:val="fr-FR"/>
              </w:rPr>
              <w:t>e</w:t>
            </w:r>
            <w:r w:rsidRPr="00A54277">
              <w:rPr>
                <w:rFonts w:eastAsia="MS Mincho" w:cs="Times New Roman"/>
                <w:b/>
                <w:noProof/>
                <w:sz w:val="18"/>
                <w:szCs w:val="18"/>
                <w:lang w:val="fr-FR"/>
              </w:rPr>
              <w:t xml:space="preserve"> à 35 jours ouvrés de la date de dénouement </w:t>
            </w:r>
            <w:r>
              <w:rPr>
                <w:rFonts w:eastAsia="MS Mincho" w:cs="Times New Roman"/>
                <w:b/>
                <w:noProof/>
                <w:sz w:val="18"/>
                <w:szCs w:val="18"/>
                <w:lang w:val="fr-FR"/>
              </w:rPr>
              <w:t>. La recommandation du MOC est donc de renseigner une trade date égale à la date de dénouement théorique</w:t>
            </w:r>
          </w:p>
        </w:tc>
      </w:tr>
      <w:tr w:rsidR="00FA4417" w:rsidRPr="00A54277" w:rsidTr="00D527CF">
        <w:tc>
          <w:tcPr>
            <w:tcW w:w="1666" w:type="dxa"/>
            <w:vMerge w:val="restart"/>
            <w:vAlign w:val="center"/>
          </w:tcPr>
          <w:p w:rsidR="00FA4417" w:rsidRPr="00A54277" w:rsidRDefault="00FA4417" w:rsidP="00D527CF">
            <w:pPr>
              <w:spacing w:before="120"/>
              <w:jc w:val="center"/>
              <w:rPr>
                <w:rFonts w:eastAsia="MS Mincho" w:cs="Times New Roman"/>
                <w:b/>
                <w:noProof/>
                <w:sz w:val="18"/>
                <w:szCs w:val="18"/>
                <w:lang w:val="fr-FR"/>
              </w:rPr>
            </w:pPr>
            <w:r w:rsidRPr="00A54277">
              <w:rPr>
                <w:rFonts w:eastAsia="MS Mincho" w:cs="Times New Roman"/>
                <w:b/>
                <w:noProof/>
                <w:sz w:val="18"/>
                <w:szCs w:val="18"/>
                <w:lang w:val="fr-FR"/>
              </w:rPr>
              <w:t>Saisie par Slab Achat/Vente</w:t>
            </w:r>
          </w:p>
        </w:tc>
        <w:tc>
          <w:tcPr>
            <w:tcW w:w="1277" w:type="dxa"/>
            <w:gridSpan w:val="2"/>
            <w:vMerge w:val="restart"/>
            <w:vAlign w:val="center"/>
          </w:tcPr>
          <w:p w:rsidR="00FA4417" w:rsidRPr="00A54277" w:rsidRDefault="00FA4417" w:rsidP="00D527CF">
            <w:pPr>
              <w:spacing w:before="120"/>
              <w:jc w:val="center"/>
              <w:rPr>
                <w:rFonts w:eastAsia="MS Mincho" w:cs="Times New Roman"/>
                <w:b/>
                <w:noProof/>
                <w:sz w:val="18"/>
                <w:szCs w:val="18"/>
                <w:lang w:val="fr-FR"/>
              </w:rPr>
            </w:pPr>
            <w:r w:rsidRPr="00A54277">
              <w:rPr>
                <w:rFonts w:eastAsia="MS Mincho" w:cs="Times New Roman"/>
                <w:b/>
                <w:noProof/>
                <w:sz w:val="18"/>
                <w:szCs w:val="18"/>
                <w:lang w:val="fr-FR"/>
              </w:rPr>
              <w:t>Instruction de restitution</w:t>
            </w:r>
          </w:p>
        </w:tc>
        <w:tc>
          <w:tcPr>
            <w:tcW w:w="1418" w:type="dxa"/>
            <w:gridSpan w:val="2"/>
            <w:vMerge w:val="restart"/>
            <w:vAlign w:val="center"/>
          </w:tcPr>
          <w:p w:rsidR="00FA4417" w:rsidRPr="00A54277" w:rsidRDefault="00FA4417" w:rsidP="00D527CF">
            <w:pPr>
              <w:spacing w:before="120"/>
              <w:jc w:val="center"/>
              <w:rPr>
                <w:rFonts w:eastAsia="MS Mincho" w:cs="Times New Roman"/>
                <w:b/>
                <w:noProof/>
                <w:sz w:val="18"/>
                <w:szCs w:val="18"/>
                <w:lang w:val="fr-FR"/>
              </w:rPr>
            </w:pPr>
            <w:r w:rsidRPr="00A54277">
              <w:rPr>
                <w:rFonts w:eastAsia="MS Mincho" w:cs="Times New Roman"/>
                <w:b/>
                <w:noProof/>
                <w:sz w:val="18"/>
                <w:szCs w:val="18"/>
                <w:lang w:val="fr-FR"/>
              </w:rPr>
              <w:t>Titres de créances</w:t>
            </w:r>
          </w:p>
        </w:tc>
        <w:tc>
          <w:tcPr>
            <w:tcW w:w="992" w:type="dxa"/>
            <w:gridSpan w:val="2"/>
            <w:vMerge w:val="restart"/>
            <w:vAlign w:val="center"/>
          </w:tcPr>
          <w:p w:rsidR="00FA4417" w:rsidRPr="00A54277" w:rsidRDefault="00FA4417" w:rsidP="00D527CF">
            <w:pPr>
              <w:spacing w:before="120"/>
              <w:jc w:val="center"/>
              <w:rPr>
                <w:rFonts w:eastAsia="MS Mincho" w:cs="Times New Roman"/>
                <w:b/>
                <w:noProof/>
                <w:sz w:val="18"/>
                <w:szCs w:val="18"/>
                <w:lang w:val="fr-FR"/>
              </w:rPr>
            </w:pPr>
            <w:r w:rsidRPr="00A54277">
              <w:rPr>
                <w:rFonts w:eastAsia="MS Mincho" w:cs="Times New Roman"/>
                <w:b/>
                <w:noProof/>
                <w:sz w:val="18"/>
                <w:szCs w:val="18"/>
                <w:lang w:val="fr-FR"/>
              </w:rPr>
              <w:t>Market claim</w:t>
            </w:r>
          </w:p>
        </w:tc>
        <w:tc>
          <w:tcPr>
            <w:tcW w:w="2126" w:type="dxa"/>
            <w:gridSpan w:val="2"/>
          </w:tcPr>
          <w:p w:rsidR="00FA4417" w:rsidRPr="00A54277" w:rsidRDefault="00FA4417" w:rsidP="00D527CF">
            <w:pPr>
              <w:spacing w:before="120"/>
              <w:jc w:val="both"/>
              <w:rPr>
                <w:rFonts w:eastAsia="MS Mincho" w:cs="Times New Roman"/>
                <w:b/>
                <w:noProof/>
                <w:sz w:val="18"/>
                <w:szCs w:val="18"/>
                <w:lang w:val="fr-FR"/>
              </w:rPr>
            </w:pPr>
            <w:r>
              <w:rPr>
                <w:rFonts w:eastAsia="MS Mincho" w:cs="Times New Roman"/>
                <w:b/>
                <w:noProof/>
                <w:sz w:val="18"/>
                <w:szCs w:val="18"/>
                <w:lang w:val="fr-FR"/>
              </w:rPr>
              <w:t>Ost flux au profit de l’acheteur</w:t>
            </w:r>
          </w:p>
        </w:tc>
        <w:tc>
          <w:tcPr>
            <w:tcW w:w="1985" w:type="dxa"/>
          </w:tcPr>
          <w:p w:rsidR="00FA4417" w:rsidRPr="00A54277" w:rsidRDefault="00FA4417" w:rsidP="00D527CF">
            <w:pPr>
              <w:spacing w:before="120"/>
              <w:jc w:val="both"/>
              <w:rPr>
                <w:rFonts w:eastAsia="MS Mincho" w:cs="Times New Roman"/>
                <w:b/>
                <w:noProof/>
                <w:sz w:val="18"/>
                <w:szCs w:val="18"/>
                <w:lang w:val="fr-FR"/>
              </w:rPr>
            </w:pPr>
            <w:r w:rsidRPr="00A54277">
              <w:rPr>
                <w:rFonts w:eastAsia="MS Mincho" w:cs="Times New Roman"/>
                <w:b/>
                <w:noProof/>
                <w:sz w:val="18"/>
                <w:szCs w:val="18"/>
                <w:lang w:val="fr-FR"/>
              </w:rPr>
              <w:t>si ASD &gt; ISD</w:t>
            </w:r>
          </w:p>
        </w:tc>
      </w:tr>
      <w:tr w:rsidR="00FA4417" w:rsidRPr="00A54277" w:rsidTr="00D527CF">
        <w:tc>
          <w:tcPr>
            <w:tcW w:w="1666" w:type="dxa"/>
            <w:vMerge/>
          </w:tcPr>
          <w:p w:rsidR="00FA4417" w:rsidRPr="00A54277" w:rsidRDefault="00FA4417" w:rsidP="00D527CF">
            <w:pPr>
              <w:spacing w:before="120"/>
              <w:jc w:val="both"/>
              <w:rPr>
                <w:rFonts w:eastAsia="MS Mincho" w:cs="Times New Roman"/>
                <w:b/>
                <w:noProof/>
                <w:sz w:val="18"/>
                <w:szCs w:val="18"/>
                <w:lang w:val="fr-FR"/>
              </w:rPr>
            </w:pPr>
          </w:p>
        </w:tc>
        <w:tc>
          <w:tcPr>
            <w:tcW w:w="1277" w:type="dxa"/>
            <w:gridSpan w:val="2"/>
            <w:vMerge/>
            <w:vAlign w:val="center"/>
          </w:tcPr>
          <w:p w:rsidR="00FA4417" w:rsidRPr="00A54277" w:rsidRDefault="00FA4417" w:rsidP="00D527CF">
            <w:pPr>
              <w:spacing w:before="120"/>
              <w:jc w:val="center"/>
              <w:rPr>
                <w:rFonts w:eastAsia="MS Mincho" w:cs="Times New Roman"/>
                <w:b/>
                <w:noProof/>
                <w:sz w:val="18"/>
                <w:szCs w:val="18"/>
                <w:lang w:val="fr-FR"/>
              </w:rPr>
            </w:pPr>
          </w:p>
        </w:tc>
        <w:tc>
          <w:tcPr>
            <w:tcW w:w="1418" w:type="dxa"/>
            <w:gridSpan w:val="2"/>
            <w:vMerge/>
          </w:tcPr>
          <w:p w:rsidR="00FA4417" w:rsidRPr="00A54277" w:rsidRDefault="00FA4417" w:rsidP="00D527CF">
            <w:pPr>
              <w:spacing w:before="120"/>
              <w:jc w:val="both"/>
              <w:rPr>
                <w:rFonts w:eastAsia="MS Mincho" w:cs="Times New Roman"/>
                <w:b/>
                <w:noProof/>
                <w:sz w:val="18"/>
                <w:szCs w:val="18"/>
                <w:lang w:val="fr-FR"/>
              </w:rPr>
            </w:pPr>
          </w:p>
        </w:tc>
        <w:tc>
          <w:tcPr>
            <w:tcW w:w="992" w:type="dxa"/>
            <w:gridSpan w:val="2"/>
            <w:vMerge/>
          </w:tcPr>
          <w:p w:rsidR="00FA4417" w:rsidRPr="00A54277" w:rsidRDefault="00FA4417" w:rsidP="00D527CF">
            <w:pPr>
              <w:spacing w:before="120"/>
              <w:jc w:val="center"/>
              <w:rPr>
                <w:rFonts w:eastAsia="MS Mincho" w:cs="Times New Roman"/>
                <w:b/>
                <w:noProof/>
                <w:sz w:val="18"/>
                <w:szCs w:val="18"/>
                <w:lang w:val="fr-FR"/>
              </w:rPr>
            </w:pPr>
          </w:p>
        </w:tc>
        <w:tc>
          <w:tcPr>
            <w:tcW w:w="2126" w:type="dxa"/>
            <w:gridSpan w:val="2"/>
          </w:tcPr>
          <w:p w:rsidR="00FA4417" w:rsidRPr="000B2294" w:rsidRDefault="00FA4417" w:rsidP="00D527CF">
            <w:pPr>
              <w:pStyle w:val="CommentText"/>
              <w:rPr>
                <w:lang w:val="fr-FR"/>
              </w:rPr>
            </w:pPr>
            <w:r>
              <w:rPr>
                <w:lang w:val="fr-FR"/>
              </w:rPr>
              <w:t>A</w:t>
            </w:r>
            <w:r w:rsidRPr="007D3F95">
              <w:rPr>
                <w:lang w:val="fr-FR"/>
              </w:rPr>
              <w:t>ucune OST/flux,</w:t>
            </w:r>
            <w:r>
              <w:rPr>
                <w:lang w:val="fr-FR"/>
              </w:rPr>
              <w:t xml:space="preserve"> </w:t>
            </w:r>
            <w:r w:rsidRPr="000B2294">
              <w:rPr>
                <w:lang w:val="fr-FR"/>
              </w:rPr>
              <w:t>Détection manuelle pendant la durée de la cession temporaire :</w:t>
            </w:r>
          </w:p>
          <w:p w:rsidR="00FA4417" w:rsidRPr="00A54277" w:rsidRDefault="00FA4417" w:rsidP="00D527CF">
            <w:pPr>
              <w:spacing w:before="120"/>
              <w:jc w:val="both"/>
              <w:rPr>
                <w:rFonts w:eastAsia="MS Mincho" w:cs="Times New Roman"/>
                <w:b/>
                <w:noProof/>
                <w:sz w:val="18"/>
                <w:szCs w:val="18"/>
                <w:lang w:val="fr-FR"/>
              </w:rPr>
            </w:pPr>
            <w:r>
              <w:rPr>
                <w:lang w:val="fr-FR"/>
              </w:rPr>
              <w:t>régularisation à réaliser entre les contreparties</w:t>
            </w:r>
          </w:p>
        </w:tc>
        <w:tc>
          <w:tcPr>
            <w:tcW w:w="1985" w:type="dxa"/>
          </w:tcPr>
          <w:p w:rsidR="00FA4417" w:rsidRPr="00A54277" w:rsidRDefault="00FA4417" w:rsidP="00D527CF">
            <w:pPr>
              <w:spacing w:before="120"/>
              <w:jc w:val="both"/>
              <w:rPr>
                <w:rFonts w:eastAsia="MS Mincho" w:cs="Times New Roman"/>
                <w:b/>
                <w:noProof/>
                <w:sz w:val="18"/>
                <w:szCs w:val="18"/>
                <w:lang w:val="fr-FR"/>
              </w:rPr>
            </w:pPr>
            <w:r w:rsidRPr="00A54277">
              <w:rPr>
                <w:rFonts w:eastAsia="MS Mincho" w:cs="Times New Roman"/>
                <w:b/>
                <w:noProof/>
                <w:sz w:val="18"/>
                <w:szCs w:val="18"/>
                <w:lang w:val="fr-FR"/>
              </w:rPr>
              <w:t>Quelque soit l’ISD/ASD</w:t>
            </w:r>
          </w:p>
        </w:tc>
      </w:tr>
      <w:tr w:rsidR="00FA4417" w:rsidRPr="00BE55A2" w:rsidTr="00D527CF">
        <w:tc>
          <w:tcPr>
            <w:tcW w:w="1666" w:type="dxa"/>
            <w:vMerge/>
          </w:tcPr>
          <w:p w:rsidR="00FA4417" w:rsidRPr="00A54277" w:rsidRDefault="00FA4417" w:rsidP="00D527CF">
            <w:pPr>
              <w:spacing w:before="120"/>
              <w:jc w:val="both"/>
              <w:rPr>
                <w:rFonts w:eastAsia="MS Mincho" w:cs="Times New Roman"/>
                <w:b/>
                <w:noProof/>
                <w:sz w:val="18"/>
                <w:szCs w:val="18"/>
                <w:lang w:val="fr-FR"/>
              </w:rPr>
            </w:pPr>
          </w:p>
        </w:tc>
        <w:tc>
          <w:tcPr>
            <w:tcW w:w="1277" w:type="dxa"/>
            <w:gridSpan w:val="2"/>
            <w:vMerge/>
            <w:vAlign w:val="center"/>
          </w:tcPr>
          <w:p w:rsidR="00FA4417" w:rsidRPr="00A54277" w:rsidRDefault="00FA4417" w:rsidP="00D527CF">
            <w:pPr>
              <w:spacing w:before="120"/>
              <w:jc w:val="center"/>
              <w:rPr>
                <w:rFonts w:eastAsia="MS Mincho" w:cs="Times New Roman"/>
                <w:b/>
                <w:noProof/>
                <w:sz w:val="18"/>
                <w:szCs w:val="18"/>
                <w:lang w:val="fr-FR"/>
              </w:rPr>
            </w:pPr>
          </w:p>
        </w:tc>
        <w:tc>
          <w:tcPr>
            <w:tcW w:w="1418" w:type="dxa"/>
            <w:gridSpan w:val="2"/>
            <w:vMerge w:val="restart"/>
            <w:vAlign w:val="center"/>
          </w:tcPr>
          <w:p w:rsidR="00FA4417" w:rsidRPr="00A54277" w:rsidRDefault="00FA4417" w:rsidP="00D527CF">
            <w:pPr>
              <w:spacing w:before="120"/>
              <w:jc w:val="center"/>
              <w:rPr>
                <w:rFonts w:eastAsia="MS Mincho" w:cs="Times New Roman"/>
                <w:b/>
                <w:noProof/>
                <w:sz w:val="18"/>
                <w:szCs w:val="18"/>
                <w:lang w:val="fr-FR"/>
              </w:rPr>
            </w:pPr>
            <w:r w:rsidRPr="00A54277">
              <w:rPr>
                <w:rFonts w:eastAsia="MS Mincho" w:cs="Times New Roman"/>
                <w:b/>
                <w:noProof/>
                <w:sz w:val="18"/>
                <w:szCs w:val="18"/>
                <w:lang w:val="fr-FR"/>
              </w:rPr>
              <w:t>Titres de capital</w:t>
            </w:r>
          </w:p>
        </w:tc>
        <w:tc>
          <w:tcPr>
            <w:tcW w:w="992" w:type="dxa"/>
            <w:gridSpan w:val="2"/>
            <w:vAlign w:val="center"/>
          </w:tcPr>
          <w:p w:rsidR="00FA4417" w:rsidRPr="00A54277" w:rsidRDefault="00FA4417" w:rsidP="00D527CF">
            <w:pPr>
              <w:spacing w:before="120"/>
              <w:jc w:val="center"/>
              <w:rPr>
                <w:rFonts w:eastAsia="MS Mincho" w:cs="Times New Roman"/>
                <w:b/>
                <w:noProof/>
                <w:sz w:val="18"/>
                <w:szCs w:val="18"/>
                <w:lang w:val="fr-FR"/>
              </w:rPr>
            </w:pPr>
            <w:r w:rsidRPr="00A54277">
              <w:rPr>
                <w:rFonts w:eastAsia="MS Mincho" w:cs="Times New Roman"/>
                <w:b/>
                <w:noProof/>
                <w:sz w:val="18"/>
                <w:szCs w:val="18"/>
                <w:lang w:val="fr-FR"/>
              </w:rPr>
              <w:t>Market claim</w:t>
            </w:r>
          </w:p>
        </w:tc>
        <w:tc>
          <w:tcPr>
            <w:tcW w:w="2126" w:type="dxa"/>
            <w:gridSpan w:val="2"/>
          </w:tcPr>
          <w:p w:rsidR="00FA4417" w:rsidRPr="00A54277" w:rsidRDefault="00FA4417" w:rsidP="00D527CF">
            <w:pPr>
              <w:spacing w:before="120"/>
              <w:jc w:val="both"/>
              <w:rPr>
                <w:rFonts w:eastAsia="MS Mincho" w:cs="Times New Roman"/>
                <w:b/>
                <w:noProof/>
                <w:sz w:val="18"/>
                <w:szCs w:val="18"/>
                <w:lang w:val="fr-FR"/>
              </w:rPr>
            </w:pPr>
            <w:r>
              <w:rPr>
                <w:rFonts w:eastAsia="MS Mincho" w:cs="Times New Roman"/>
                <w:b/>
                <w:noProof/>
                <w:sz w:val="18"/>
                <w:szCs w:val="18"/>
                <w:lang w:val="fr-FR"/>
              </w:rPr>
              <w:t xml:space="preserve">Détection </w:t>
            </w:r>
            <w:r w:rsidRPr="00A54277">
              <w:rPr>
                <w:rFonts w:eastAsia="MS Mincho" w:cs="Times New Roman"/>
                <w:b/>
                <w:noProof/>
                <w:sz w:val="18"/>
                <w:szCs w:val="18"/>
                <w:lang w:val="fr-FR"/>
              </w:rPr>
              <w:t xml:space="preserve">automatique sur </w:t>
            </w:r>
            <w:r>
              <w:rPr>
                <w:rFonts w:eastAsia="MS Mincho" w:cs="Times New Roman"/>
                <w:b/>
                <w:noProof/>
                <w:sz w:val="18"/>
                <w:szCs w:val="18"/>
                <w:lang w:val="fr-FR"/>
              </w:rPr>
              <w:t>une période de 45 jours limitée par la restriction des 35 jours du SLAB.</w:t>
            </w:r>
          </w:p>
          <w:p w:rsidR="00FA4417" w:rsidRPr="00A54277" w:rsidRDefault="00FA4417" w:rsidP="00D527CF">
            <w:pPr>
              <w:spacing w:before="120"/>
              <w:jc w:val="both"/>
              <w:rPr>
                <w:rFonts w:eastAsia="MS Mincho" w:cs="Times New Roman"/>
                <w:b/>
                <w:noProof/>
                <w:sz w:val="18"/>
                <w:szCs w:val="18"/>
                <w:lang w:val="fr-FR"/>
              </w:rPr>
            </w:pPr>
            <w:r w:rsidRPr="00A54277">
              <w:rPr>
                <w:rFonts w:eastAsia="MS Mincho" w:cs="Times New Roman"/>
                <w:b/>
                <w:noProof/>
                <w:sz w:val="18"/>
                <w:szCs w:val="18"/>
                <w:lang w:val="fr-FR"/>
              </w:rPr>
              <w:t xml:space="preserve"> </w:t>
            </w:r>
            <w:r>
              <w:rPr>
                <w:rFonts w:eastAsia="MS Mincho" w:cs="Times New Roman"/>
                <w:b/>
                <w:noProof/>
                <w:sz w:val="18"/>
                <w:szCs w:val="18"/>
                <w:lang w:val="fr-FR"/>
              </w:rPr>
              <w:t>A</w:t>
            </w:r>
            <w:r w:rsidRPr="00A54277">
              <w:rPr>
                <w:rFonts w:eastAsia="MS Mincho" w:cs="Times New Roman"/>
                <w:b/>
                <w:noProof/>
                <w:sz w:val="18"/>
                <w:szCs w:val="18"/>
                <w:lang w:val="fr-FR"/>
              </w:rPr>
              <w:t xml:space="preserve">u-delà </w:t>
            </w:r>
            <w:r>
              <w:rPr>
                <w:rFonts w:eastAsia="MS Mincho" w:cs="Times New Roman"/>
                <w:b/>
                <w:noProof/>
                <w:sz w:val="18"/>
                <w:szCs w:val="18"/>
                <w:lang w:val="fr-FR"/>
              </w:rPr>
              <w:t xml:space="preserve">de 35 jours après RD </w:t>
            </w:r>
            <w:r w:rsidRPr="00A54277">
              <w:rPr>
                <w:rFonts w:eastAsia="MS Mincho" w:cs="Times New Roman"/>
                <w:b/>
                <w:noProof/>
                <w:sz w:val="18"/>
                <w:szCs w:val="18"/>
                <w:lang w:val="fr-FR"/>
              </w:rPr>
              <w:t>la détection est manuelle et bilatérale</w:t>
            </w:r>
          </w:p>
        </w:tc>
        <w:tc>
          <w:tcPr>
            <w:tcW w:w="1985" w:type="dxa"/>
          </w:tcPr>
          <w:p w:rsidR="00FA4417" w:rsidRPr="00A54277" w:rsidRDefault="00FA4417" w:rsidP="00D527CF">
            <w:pPr>
              <w:spacing w:before="120"/>
              <w:jc w:val="both"/>
              <w:rPr>
                <w:rFonts w:eastAsia="MS Mincho" w:cs="Times New Roman"/>
                <w:b/>
                <w:noProof/>
                <w:sz w:val="18"/>
                <w:szCs w:val="18"/>
                <w:lang w:val="fr-FR"/>
              </w:rPr>
            </w:pPr>
            <w:r w:rsidRPr="00A54277">
              <w:rPr>
                <w:rFonts w:eastAsia="MS Mincho" w:cs="Times New Roman"/>
                <w:b/>
                <w:noProof/>
                <w:sz w:val="18"/>
                <w:szCs w:val="18"/>
                <w:lang w:val="fr-FR"/>
              </w:rPr>
              <w:t xml:space="preserve">Si TD &lt; EX date et ISD </w:t>
            </w:r>
            <w:r>
              <w:rPr>
                <w:rFonts w:eastAsia="MS Mincho" w:cs="Times New Roman"/>
                <w:b/>
                <w:noProof/>
                <w:sz w:val="18"/>
                <w:szCs w:val="18"/>
                <w:lang w:val="fr-FR"/>
              </w:rPr>
              <w:t>&gt; RD</w:t>
            </w:r>
          </w:p>
        </w:tc>
      </w:tr>
      <w:tr w:rsidR="00FA4417" w:rsidRPr="00BE55A2" w:rsidTr="00D527CF">
        <w:tc>
          <w:tcPr>
            <w:tcW w:w="1666" w:type="dxa"/>
            <w:vMerge/>
          </w:tcPr>
          <w:p w:rsidR="00FA4417" w:rsidRPr="00A54277" w:rsidRDefault="00FA4417" w:rsidP="00D527CF">
            <w:pPr>
              <w:spacing w:before="120"/>
              <w:jc w:val="both"/>
              <w:rPr>
                <w:rFonts w:eastAsia="MS Mincho" w:cs="Times New Roman"/>
                <w:b/>
                <w:noProof/>
                <w:sz w:val="18"/>
                <w:szCs w:val="18"/>
                <w:lang w:val="fr-FR"/>
              </w:rPr>
            </w:pPr>
          </w:p>
        </w:tc>
        <w:tc>
          <w:tcPr>
            <w:tcW w:w="1277" w:type="dxa"/>
            <w:gridSpan w:val="2"/>
            <w:vMerge/>
            <w:vAlign w:val="center"/>
          </w:tcPr>
          <w:p w:rsidR="00FA4417" w:rsidRPr="00A54277" w:rsidRDefault="00FA4417" w:rsidP="00D527CF">
            <w:pPr>
              <w:spacing w:before="120"/>
              <w:jc w:val="center"/>
              <w:rPr>
                <w:rFonts w:eastAsia="MS Mincho" w:cs="Times New Roman"/>
                <w:b/>
                <w:noProof/>
                <w:sz w:val="18"/>
                <w:szCs w:val="18"/>
                <w:lang w:val="fr-FR"/>
              </w:rPr>
            </w:pPr>
          </w:p>
        </w:tc>
        <w:tc>
          <w:tcPr>
            <w:tcW w:w="1418" w:type="dxa"/>
            <w:gridSpan w:val="2"/>
            <w:vMerge/>
            <w:vAlign w:val="center"/>
          </w:tcPr>
          <w:p w:rsidR="00FA4417" w:rsidRPr="00A54277" w:rsidRDefault="00FA4417" w:rsidP="00D527CF">
            <w:pPr>
              <w:spacing w:before="120"/>
              <w:jc w:val="center"/>
              <w:rPr>
                <w:rFonts w:eastAsia="MS Mincho" w:cs="Times New Roman"/>
                <w:b/>
                <w:noProof/>
                <w:sz w:val="18"/>
                <w:szCs w:val="18"/>
                <w:lang w:val="fr-FR"/>
              </w:rPr>
            </w:pPr>
          </w:p>
        </w:tc>
        <w:tc>
          <w:tcPr>
            <w:tcW w:w="992" w:type="dxa"/>
            <w:gridSpan w:val="2"/>
          </w:tcPr>
          <w:p w:rsidR="00FA4417" w:rsidRPr="00A54277" w:rsidRDefault="00FA4417" w:rsidP="00D527CF">
            <w:pPr>
              <w:spacing w:before="120"/>
              <w:jc w:val="center"/>
              <w:rPr>
                <w:rFonts w:eastAsia="MS Mincho" w:cs="Times New Roman"/>
                <w:b/>
                <w:noProof/>
                <w:sz w:val="18"/>
                <w:szCs w:val="18"/>
                <w:lang w:val="fr-FR"/>
              </w:rPr>
            </w:pPr>
            <w:r w:rsidRPr="00A54277">
              <w:rPr>
                <w:rFonts w:eastAsia="MS Mincho" w:cs="Times New Roman"/>
                <w:b/>
                <w:noProof/>
                <w:sz w:val="18"/>
                <w:szCs w:val="18"/>
                <w:lang w:val="fr-FR"/>
              </w:rPr>
              <w:t>Reverse Claim</w:t>
            </w:r>
          </w:p>
        </w:tc>
        <w:tc>
          <w:tcPr>
            <w:tcW w:w="2126" w:type="dxa"/>
            <w:gridSpan w:val="2"/>
          </w:tcPr>
          <w:p w:rsidR="00FA4417" w:rsidRPr="00A54277" w:rsidRDefault="00FA4417" w:rsidP="00D527CF">
            <w:pPr>
              <w:spacing w:before="120"/>
              <w:jc w:val="both"/>
              <w:rPr>
                <w:rFonts w:eastAsia="MS Mincho" w:cs="Times New Roman"/>
                <w:b/>
                <w:noProof/>
                <w:sz w:val="18"/>
                <w:szCs w:val="18"/>
                <w:lang w:val="fr-FR"/>
              </w:rPr>
            </w:pPr>
            <w:r>
              <w:rPr>
                <w:rFonts w:eastAsia="MS Mincho" w:cs="Times New Roman"/>
                <w:b/>
                <w:noProof/>
                <w:sz w:val="18"/>
                <w:szCs w:val="18"/>
                <w:lang w:val="fr-FR"/>
              </w:rPr>
              <w:t>Ost flux au profit  du vendeur</w:t>
            </w:r>
          </w:p>
        </w:tc>
        <w:tc>
          <w:tcPr>
            <w:tcW w:w="1985" w:type="dxa"/>
          </w:tcPr>
          <w:p w:rsidR="00FA4417" w:rsidRPr="00A54277" w:rsidRDefault="00FA4417" w:rsidP="00D527CF">
            <w:pPr>
              <w:spacing w:before="120"/>
              <w:jc w:val="both"/>
              <w:rPr>
                <w:rFonts w:eastAsia="MS Mincho" w:cs="Times New Roman"/>
                <w:b/>
                <w:noProof/>
                <w:sz w:val="18"/>
                <w:szCs w:val="18"/>
                <w:lang w:val="fr-FR"/>
              </w:rPr>
            </w:pPr>
            <w:r w:rsidRPr="00A54277">
              <w:rPr>
                <w:rFonts w:eastAsia="MS Mincho" w:cs="Times New Roman"/>
                <w:b/>
                <w:noProof/>
                <w:sz w:val="18"/>
                <w:szCs w:val="18"/>
                <w:lang w:val="fr-FR"/>
              </w:rPr>
              <w:t xml:space="preserve">Si TD &gt; à Ex date et &lt;= à Record date </w:t>
            </w:r>
          </w:p>
        </w:tc>
      </w:tr>
      <w:tr w:rsidR="00FA4417" w:rsidRPr="00BE55A2" w:rsidTr="00D527CF">
        <w:tc>
          <w:tcPr>
            <w:tcW w:w="1666" w:type="dxa"/>
          </w:tcPr>
          <w:p w:rsidR="00FA4417" w:rsidRPr="00A54277" w:rsidRDefault="00FA4417" w:rsidP="00D527CF">
            <w:pPr>
              <w:spacing w:before="120"/>
              <w:jc w:val="both"/>
              <w:rPr>
                <w:rFonts w:eastAsia="MS Mincho" w:cs="Times New Roman"/>
                <w:b/>
                <w:noProof/>
                <w:sz w:val="18"/>
                <w:szCs w:val="18"/>
                <w:lang w:val="fr-FR"/>
              </w:rPr>
            </w:pPr>
            <w:r w:rsidRPr="00A54277">
              <w:rPr>
                <w:rFonts w:eastAsia="MS Mincho" w:cs="Times New Roman"/>
                <w:b/>
                <w:noProof/>
                <w:sz w:val="18"/>
                <w:szCs w:val="18"/>
                <w:lang w:val="fr-FR"/>
              </w:rPr>
              <w:t>Saisie par le module cession temporaire d’EOC</w:t>
            </w:r>
          </w:p>
        </w:tc>
        <w:tc>
          <w:tcPr>
            <w:tcW w:w="1277" w:type="dxa"/>
            <w:gridSpan w:val="2"/>
          </w:tcPr>
          <w:p w:rsidR="00FA4417" w:rsidRPr="00A54277" w:rsidRDefault="00FA4417" w:rsidP="00D527CF">
            <w:pPr>
              <w:spacing w:before="120"/>
              <w:jc w:val="both"/>
              <w:rPr>
                <w:rFonts w:eastAsia="MS Mincho" w:cs="Times New Roman"/>
                <w:b/>
                <w:noProof/>
                <w:sz w:val="18"/>
                <w:szCs w:val="18"/>
                <w:lang w:val="fr-FR"/>
              </w:rPr>
            </w:pPr>
            <w:r w:rsidRPr="00A54277">
              <w:rPr>
                <w:rFonts w:eastAsia="MS Mincho" w:cs="Times New Roman"/>
                <w:b/>
                <w:noProof/>
                <w:sz w:val="18"/>
                <w:szCs w:val="18"/>
                <w:lang w:val="fr-FR"/>
              </w:rPr>
              <w:t>Instruction de mise en place et Instruction de restitution</w:t>
            </w:r>
          </w:p>
        </w:tc>
        <w:tc>
          <w:tcPr>
            <w:tcW w:w="1418" w:type="dxa"/>
            <w:gridSpan w:val="2"/>
          </w:tcPr>
          <w:p w:rsidR="00FA4417" w:rsidRPr="00A54277" w:rsidRDefault="00FA4417" w:rsidP="00D527CF">
            <w:pPr>
              <w:spacing w:before="120"/>
              <w:jc w:val="both"/>
              <w:rPr>
                <w:rFonts w:eastAsia="MS Mincho" w:cs="Times New Roman"/>
                <w:b/>
                <w:noProof/>
                <w:sz w:val="18"/>
                <w:szCs w:val="18"/>
                <w:lang w:val="fr-FR"/>
              </w:rPr>
            </w:pPr>
            <w:r w:rsidRPr="00A54277">
              <w:rPr>
                <w:rFonts w:eastAsia="MS Mincho" w:cs="Times New Roman"/>
                <w:b/>
                <w:noProof/>
                <w:sz w:val="18"/>
                <w:szCs w:val="18"/>
                <w:lang w:val="fr-FR"/>
              </w:rPr>
              <w:t>Titres de créances et Titres de capital</w:t>
            </w:r>
          </w:p>
        </w:tc>
        <w:tc>
          <w:tcPr>
            <w:tcW w:w="992" w:type="dxa"/>
            <w:gridSpan w:val="2"/>
          </w:tcPr>
          <w:p w:rsidR="00FA4417" w:rsidRDefault="00FA4417" w:rsidP="00D527CF">
            <w:pPr>
              <w:spacing w:before="120"/>
              <w:jc w:val="center"/>
              <w:rPr>
                <w:rFonts w:eastAsia="MS Mincho" w:cs="Times New Roman"/>
                <w:b/>
                <w:noProof/>
                <w:sz w:val="18"/>
                <w:szCs w:val="18"/>
                <w:lang w:val="fr-FR"/>
              </w:rPr>
            </w:pPr>
          </w:p>
          <w:p w:rsidR="00FA4417" w:rsidRPr="00A54277" w:rsidRDefault="00FA4417" w:rsidP="00D527CF">
            <w:pPr>
              <w:spacing w:before="120"/>
              <w:jc w:val="center"/>
              <w:rPr>
                <w:rFonts w:eastAsia="MS Mincho" w:cs="Times New Roman"/>
                <w:b/>
                <w:noProof/>
                <w:sz w:val="18"/>
                <w:szCs w:val="18"/>
                <w:lang w:val="fr-FR"/>
              </w:rPr>
            </w:pPr>
            <w:r w:rsidRPr="00A54277">
              <w:rPr>
                <w:rFonts w:eastAsia="MS Mincho" w:cs="Times New Roman"/>
                <w:b/>
                <w:noProof/>
                <w:sz w:val="18"/>
                <w:szCs w:val="18"/>
                <w:lang w:val="fr-FR"/>
              </w:rPr>
              <w:t>Market claim</w:t>
            </w:r>
          </w:p>
        </w:tc>
        <w:tc>
          <w:tcPr>
            <w:tcW w:w="4111" w:type="dxa"/>
            <w:gridSpan w:val="3"/>
          </w:tcPr>
          <w:p w:rsidR="00FA4417" w:rsidRPr="00A54277" w:rsidRDefault="00FA4417" w:rsidP="00D527CF">
            <w:pPr>
              <w:spacing w:before="120"/>
              <w:jc w:val="both"/>
              <w:rPr>
                <w:rFonts w:eastAsia="MS Mincho" w:cs="Times New Roman"/>
                <w:b/>
                <w:noProof/>
                <w:sz w:val="18"/>
                <w:szCs w:val="18"/>
                <w:lang w:val="fr-FR"/>
              </w:rPr>
            </w:pPr>
            <w:r w:rsidRPr="00A54277">
              <w:rPr>
                <w:rFonts w:eastAsia="MS Mincho" w:cs="Times New Roman"/>
                <w:b/>
                <w:noProof/>
                <w:sz w:val="18"/>
                <w:szCs w:val="18"/>
                <w:lang w:val="fr-FR"/>
              </w:rPr>
              <w:t>Gestion automatique sur toute la période conforme au</w:t>
            </w:r>
            <w:r>
              <w:rPr>
                <w:rFonts w:eastAsia="MS Mincho" w:cs="Times New Roman"/>
                <w:b/>
                <w:noProof/>
                <w:sz w:val="18"/>
                <w:szCs w:val="18"/>
                <w:lang w:val="fr-FR"/>
              </w:rPr>
              <w:t>x</w:t>
            </w:r>
            <w:r w:rsidRPr="00A54277">
              <w:rPr>
                <w:rFonts w:eastAsia="MS Mincho" w:cs="Times New Roman"/>
                <w:b/>
                <w:noProof/>
                <w:sz w:val="18"/>
                <w:szCs w:val="18"/>
                <w:lang w:val="fr-FR"/>
              </w:rPr>
              <w:t xml:space="preserve"> besoin</w:t>
            </w:r>
            <w:r>
              <w:rPr>
                <w:rFonts w:eastAsia="MS Mincho" w:cs="Times New Roman"/>
                <w:b/>
                <w:noProof/>
                <w:sz w:val="18"/>
                <w:szCs w:val="18"/>
                <w:lang w:val="fr-FR"/>
              </w:rPr>
              <w:t>s</w:t>
            </w:r>
            <w:r w:rsidRPr="00A54277">
              <w:rPr>
                <w:rFonts w:eastAsia="MS Mincho" w:cs="Times New Roman"/>
                <w:b/>
                <w:noProof/>
                <w:sz w:val="18"/>
                <w:szCs w:val="18"/>
                <w:lang w:val="fr-FR"/>
              </w:rPr>
              <w:t xml:space="preserve"> des participants</w:t>
            </w:r>
          </w:p>
        </w:tc>
      </w:tr>
      <w:tr w:rsidR="00FA4417" w:rsidRPr="00BE55A2" w:rsidTr="00D527CF">
        <w:tc>
          <w:tcPr>
            <w:tcW w:w="9464" w:type="dxa"/>
            <w:gridSpan w:val="10"/>
          </w:tcPr>
          <w:p w:rsidR="00FA4417" w:rsidRPr="00A54277" w:rsidRDefault="00FA4417" w:rsidP="00D527CF">
            <w:pPr>
              <w:spacing w:before="120"/>
              <w:jc w:val="center"/>
              <w:rPr>
                <w:rFonts w:eastAsia="MS Mincho" w:cs="Times New Roman"/>
                <w:b/>
                <w:noProof/>
                <w:sz w:val="18"/>
                <w:szCs w:val="18"/>
                <w:lang w:val="fr-FR"/>
              </w:rPr>
            </w:pPr>
          </w:p>
        </w:tc>
      </w:tr>
      <w:tr w:rsidR="00FA4417" w:rsidRPr="00BE55A2" w:rsidTr="00D527CF">
        <w:tc>
          <w:tcPr>
            <w:tcW w:w="9464" w:type="dxa"/>
            <w:gridSpan w:val="10"/>
            <w:shd w:val="clear" w:color="auto" w:fill="C6D9F1" w:themeFill="text2" w:themeFillTint="33"/>
          </w:tcPr>
          <w:p w:rsidR="00FA4417" w:rsidRPr="00A54277" w:rsidRDefault="00FA4417" w:rsidP="00D527CF">
            <w:pPr>
              <w:spacing w:before="120"/>
              <w:jc w:val="center"/>
              <w:rPr>
                <w:rFonts w:eastAsia="MS Mincho" w:cs="Times New Roman"/>
                <w:b/>
                <w:noProof/>
                <w:sz w:val="18"/>
                <w:szCs w:val="18"/>
                <w:lang w:val="fr-FR"/>
              </w:rPr>
            </w:pPr>
            <w:r w:rsidRPr="00A54277">
              <w:rPr>
                <w:rFonts w:eastAsia="MS Mincho" w:cs="Times New Roman"/>
                <w:b/>
                <w:noProof/>
                <w:sz w:val="18"/>
                <w:szCs w:val="18"/>
                <w:lang w:val="fr-FR"/>
              </w:rPr>
              <w:t xml:space="preserve">CESSION TEMPORAIRE </w:t>
            </w:r>
            <w:r>
              <w:rPr>
                <w:rFonts w:eastAsia="MS Mincho" w:cs="Times New Roman"/>
                <w:b/>
                <w:noProof/>
                <w:sz w:val="18"/>
                <w:szCs w:val="18"/>
                <w:lang w:val="fr-FR"/>
              </w:rPr>
              <w:t xml:space="preserve">INITIEE AVANT LA MIGRATION T2S ET AYANT </w:t>
            </w:r>
            <w:r w:rsidRPr="00A54277">
              <w:rPr>
                <w:rFonts w:eastAsia="MS Mincho" w:cs="Times New Roman"/>
                <w:b/>
                <w:noProof/>
                <w:sz w:val="18"/>
                <w:szCs w:val="18"/>
                <w:lang w:val="fr-FR"/>
              </w:rPr>
              <w:t>UNE ECHEANCE APRES LA MIGRATION T2S</w:t>
            </w:r>
          </w:p>
          <w:p w:rsidR="00FA4417" w:rsidRPr="00A54277" w:rsidRDefault="00FA4417" w:rsidP="00D527CF">
            <w:pPr>
              <w:spacing w:before="120"/>
              <w:jc w:val="center"/>
              <w:rPr>
                <w:rFonts w:eastAsia="MS Mincho" w:cs="Times New Roman"/>
                <w:b/>
                <w:noProof/>
                <w:sz w:val="18"/>
                <w:szCs w:val="18"/>
                <w:lang w:val="fr-FR"/>
              </w:rPr>
            </w:pPr>
            <w:r w:rsidRPr="00A54277">
              <w:rPr>
                <w:rFonts w:eastAsia="MS Mincho" w:cs="Times New Roman"/>
                <w:b/>
                <w:noProof/>
                <w:sz w:val="18"/>
                <w:szCs w:val="18"/>
                <w:lang w:val="fr-FR"/>
              </w:rPr>
              <w:t>sans neutralisation des OST sur FLUX</w:t>
            </w:r>
          </w:p>
        </w:tc>
      </w:tr>
      <w:tr w:rsidR="00FA4417" w:rsidRPr="00BE55A2" w:rsidTr="00D527CF">
        <w:tc>
          <w:tcPr>
            <w:tcW w:w="9464" w:type="dxa"/>
            <w:gridSpan w:val="10"/>
            <w:shd w:val="clear" w:color="auto" w:fill="C6D9F1" w:themeFill="text2" w:themeFillTint="33"/>
          </w:tcPr>
          <w:p w:rsidR="00FA4417" w:rsidRPr="00A54277" w:rsidRDefault="00FA4417" w:rsidP="00D527CF">
            <w:pPr>
              <w:spacing w:before="120"/>
              <w:jc w:val="center"/>
              <w:rPr>
                <w:rFonts w:eastAsia="MS Mincho" w:cs="Times New Roman"/>
                <w:b/>
                <w:noProof/>
                <w:sz w:val="18"/>
                <w:szCs w:val="18"/>
                <w:lang w:val="fr-FR"/>
              </w:rPr>
            </w:pPr>
            <w:r w:rsidRPr="00A54277">
              <w:rPr>
                <w:rFonts w:eastAsia="MS Mincho" w:cs="Times New Roman"/>
                <w:b/>
                <w:noProof/>
                <w:sz w:val="18"/>
                <w:szCs w:val="18"/>
                <w:lang w:val="fr-FR"/>
              </w:rPr>
              <w:t>Instruction réémise après la migration T2S</w:t>
            </w:r>
          </w:p>
        </w:tc>
      </w:tr>
      <w:tr w:rsidR="00FA4417" w:rsidRPr="00BE55A2" w:rsidTr="00D527CF">
        <w:tc>
          <w:tcPr>
            <w:tcW w:w="9464" w:type="dxa"/>
            <w:gridSpan w:val="10"/>
          </w:tcPr>
          <w:p w:rsidR="00FA4417" w:rsidRPr="00A54277" w:rsidRDefault="00FA4417" w:rsidP="00D527CF">
            <w:pPr>
              <w:spacing w:before="120"/>
              <w:jc w:val="both"/>
              <w:rPr>
                <w:rFonts w:eastAsia="MS Mincho" w:cs="Times New Roman"/>
                <w:b/>
                <w:noProof/>
                <w:sz w:val="18"/>
                <w:szCs w:val="18"/>
                <w:lang w:val="fr-FR"/>
              </w:rPr>
            </w:pPr>
            <w:r w:rsidRPr="00A54277">
              <w:rPr>
                <w:rFonts w:eastAsia="MS Mincho" w:cs="Times New Roman"/>
                <w:b/>
                <w:noProof/>
                <w:sz w:val="18"/>
                <w:szCs w:val="18"/>
                <w:lang w:val="fr-FR"/>
              </w:rPr>
              <w:t xml:space="preserve">Rappel : </w:t>
            </w:r>
          </w:p>
          <w:p w:rsidR="00FA4417" w:rsidRPr="00A54277" w:rsidRDefault="00FA4417" w:rsidP="00D527CF">
            <w:pPr>
              <w:spacing w:before="120"/>
              <w:jc w:val="both"/>
              <w:rPr>
                <w:rFonts w:eastAsia="MS Mincho" w:cs="Times New Roman"/>
                <w:b/>
                <w:noProof/>
                <w:sz w:val="18"/>
                <w:szCs w:val="18"/>
                <w:lang w:val="fr-FR"/>
              </w:rPr>
            </w:pPr>
            <w:r w:rsidRPr="00A54277">
              <w:rPr>
                <w:rFonts w:eastAsia="MS Mincho" w:cs="Times New Roman"/>
                <w:b/>
                <w:noProof/>
                <w:sz w:val="18"/>
                <w:szCs w:val="18"/>
                <w:lang w:val="fr-FR"/>
              </w:rPr>
              <w:t>A partir du premier jour ouvré suivant la migration à T2S</w:t>
            </w:r>
          </w:p>
          <w:p w:rsidR="00FA4417" w:rsidRPr="00A54277" w:rsidRDefault="00FA4417" w:rsidP="00FA4417">
            <w:pPr>
              <w:pStyle w:val="ListParagraph"/>
              <w:numPr>
                <w:ilvl w:val="0"/>
                <w:numId w:val="18"/>
              </w:numPr>
              <w:spacing w:before="120"/>
              <w:jc w:val="both"/>
              <w:rPr>
                <w:rFonts w:eastAsia="MS Mincho" w:cs="Times New Roman"/>
                <w:b/>
                <w:noProof/>
                <w:sz w:val="18"/>
                <w:szCs w:val="18"/>
                <w:lang w:val="fr-FR"/>
              </w:rPr>
            </w:pPr>
            <w:r w:rsidRPr="00A54277">
              <w:rPr>
                <w:rFonts w:eastAsia="MS Mincho" w:cs="Times New Roman"/>
                <w:b/>
                <w:noProof/>
                <w:sz w:val="18"/>
                <w:szCs w:val="18"/>
                <w:lang w:val="fr-FR"/>
              </w:rPr>
              <w:t xml:space="preserve">Il n’y a plus de limlite de délai entre l’ISD et la Trade date </w:t>
            </w:r>
          </w:p>
          <w:p w:rsidR="00FA4417" w:rsidRPr="00A54277" w:rsidRDefault="00FA4417" w:rsidP="00FA4417">
            <w:pPr>
              <w:pStyle w:val="ListParagraph"/>
              <w:numPr>
                <w:ilvl w:val="0"/>
                <w:numId w:val="18"/>
              </w:numPr>
              <w:spacing w:before="120"/>
              <w:jc w:val="both"/>
              <w:rPr>
                <w:rFonts w:eastAsia="MS Mincho" w:cs="Times New Roman"/>
                <w:b/>
                <w:noProof/>
                <w:sz w:val="18"/>
                <w:szCs w:val="18"/>
                <w:lang w:val="fr-FR"/>
              </w:rPr>
            </w:pPr>
            <w:r w:rsidRPr="00A54277">
              <w:rPr>
                <w:rFonts w:eastAsia="MS Mincho" w:cs="Times New Roman"/>
                <w:b/>
                <w:noProof/>
                <w:sz w:val="18"/>
                <w:szCs w:val="18"/>
                <w:lang w:val="fr-FR"/>
              </w:rPr>
              <w:t xml:space="preserve">Pas de contrôle par ESES/T2S  sur ce délai entre l’ISD et la Trade date </w:t>
            </w:r>
          </w:p>
          <w:p w:rsidR="00FA4417" w:rsidRPr="00A54277" w:rsidRDefault="00FA4417" w:rsidP="00FA4417">
            <w:pPr>
              <w:pStyle w:val="ListParagraph"/>
              <w:numPr>
                <w:ilvl w:val="0"/>
                <w:numId w:val="18"/>
              </w:numPr>
              <w:spacing w:before="120"/>
              <w:jc w:val="both"/>
              <w:rPr>
                <w:rFonts w:eastAsia="MS Mincho" w:cs="Times New Roman"/>
                <w:b/>
                <w:noProof/>
                <w:sz w:val="18"/>
                <w:szCs w:val="18"/>
                <w:lang w:val="fr-FR"/>
              </w:rPr>
            </w:pPr>
            <w:r w:rsidRPr="00A54277">
              <w:rPr>
                <w:rFonts w:eastAsia="MS Mincho" w:cs="Times New Roman"/>
                <w:b/>
                <w:noProof/>
                <w:sz w:val="18"/>
                <w:szCs w:val="18"/>
                <w:lang w:val="fr-FR"/>
              </w:rPr>
              <w:t>La détection des ost sur flux est de 20 jours après la Record date</w:t>
            </w:r>
          </w:p>
        </w:tc>
      </w:tr>
      <w:tr w:rsidR="00FA4417" w:rsidRPr="00BE55A2" w:rsidTr="00D527CF">
        <w:tc>
          <w:tcPr>
            <w:tcW w:w="9464" w:type="dxa"/>
            <w:gridSpan w:val="10"/>
          </w:tcPr>
          <w:p w:rsidR="00FA4417" w:rsidRPr="00A54277" w:rsidRDefault="00FA4417" w:rsidP="00D527CF">
            <w:pPr>
              <w:spacing w:before="120"/>
              <w:jc w:val="both"/>
              <w:rPr>
                <w:rFonts w:eastAsia="MS Mincho" w:cs="Times New Roman"/>
                <w:b/>
                <w:noProof/>
                <w:sz w:val="18"/>
                <w:szCs w:val="18"/>
                <w:lang w:val="fr-FR"/>
              </w:rPr>
            </w:pPr>
            <w:r w:rsidRPr="00A54277">
              <w:rPr>
                <w:rFonts w:eastAsia="MS Mincho" w:cs="Times New Roman"/>
                <w:b/>
                <w:noProof/>
                <w:sz w:val="18"/>
                <w:szCs w:val="18"/>
                <w:lang w:val="fr-FR"/>
              </w:rPr>
              <w:t>Important : Pratique de marché des cessions temporaires</w:t>
            </w:r>
          </w:p>
          <w:p w:rsidR="00FA4417" w:rsidRPr="00A54277" w:rsidRDefault="00FA4417" w:rsidP="00FA4417">
            <w:pPr>
              <w:pStyle w:val="ListParagraph"/>
              <w:numPr>
                <w:ilvl w:val="0"/>
                <w:numId w:val="19"/>
              </w:numPr>
              <w:spacing w:before="120"/>
              <w:jc w:val="both"/>
              <w:rPr>
                <w:rFonts w:eastAsia="MS Mincho" w:cs="Times New Roman"/>
                <w:b/>
                <w:noProof/>
                <w:sz w:val="18"/>
                <w:szCs w:val="18"/>
                <w:lang w:val="fr-FR"/>
              </w:rPr>
            </w:pPr>
            <w:r w:rsidRPr="00A54277">
              <w:rPr>
                <w:rFonts w:eastAsia="MS Mincho" w:cs="Times New Roman"/>
                <w:b/>
                <w:noProof/>
                <w:sz w:val="18"/>
                <w:szCs w:val="18"/>
                <w:lang w:val="fr-FR"/>
              </w:rPr>
              <w:t xml:space="preserve">La Trade date est la date originelle du contrat </w:t>
            </w:r>
          </w:p>
        </w:tc>
      </w:tr>
      <w:tr w:rsidR="00FA4417" w:rsidRPr="00A54277" w:rsidTr="00D527CF">
        <w:tc>
          <w:tcPr>
            <w:tcW w:w="1666" w:type="dxa"/>
            <w:vMerge w:val="restart"/>
            <w:vAlign w:val="center"/>
          </w:tcPr>
          <w:p w:rsidR="00FA4417" w:rsidRPr="00A54277" w:rsidRDefault="00FA4417" w:rsidP="00D527CF">
            <w:pPr>
              <w:spacing w:before="120"/>
              <w:jc w:val="center"/>
              <w:rPr>
                <w:rFonts w:eastAsia="MS Mincho" w:cs="Times New Roman"/>
                <w:b/>
                <w:noProof/>
                <w:sz w:val="18"/>
                <w:szCs w:val="18"/>
                <w:lang w:val="fr-FR"/>
              </w:rPr>
            </w:pPr>
            <w:r w:rsidRPr="00A54277">
              <w:rPr>
                <w:rFonts w:eastAsia="MS Mincho" w:cs="Times New Roman"/>
                <w:b/>
                <w:noProof/>
                <w:sz w:val="18"/>
                <w:szCs w:val="18"/>
                <w:lang w:val="fr-FR"/>
              </w:rPr>
              <w:lastRenderedPageBreak/>
              <w:t>Saisie par Slab Achat/Vente</w:t>
            </w:r>
          </w:p>
        </w:tc>
        <w:tc>
          <w:tcPr>
            <w:tcW w:w="1277" w:type="dxa"/>
            <w:gridSpan w:val="2"/>
            <w:vMerge w:val="restart"/>
            <w:vAlign w:val="center"/>
          </w:tcPr>
          <w:p w:rsidR="00FA4417" w:rsidRPr="00A54277" w:rsidRDefault="00FA4417" w:rsidP="00D527CF">
            <w:pPr>
              <w:spacing w:before="120"/>
              <w:jc w:val="center"/>
              <w:rPr>
                <w:rFonts w:eastAsia="MS Mincho" w:cs="Times New Roman"/>
                <w:b/>
                <w:noProof/>
                <w:sz w:val="18"/>
                <w:szCs w:val="18"/>
                <w:lang w:val="fr-FR"/>
              </w:rPr>
            </w:pPr>
            <w:r w:rsidRPr="00A54277">
              <w:rPr>
                <w:rFonts w:eastAsia="MS Mincho" w:cs="Times New Roman"/>
                <w:b/>
                <w:noProof/>
                <w:sz w:val="18"/>
                <w:szCs w:val="18"/>
                <w:lang w:val="fr-FR"/>
              </w:rPr>
              <w:t>Instruction de mise en place</w:t>
            </w:r>
          </w:p>
        </w:tc>
        <w:tc>
          <w:tcPr>
            <w:tcW w:w="1418" w:type="dxa"/>
            <w:gridSpan w:val="2"/>
          </w:tcPr>
          <w:p w:rsidR="00FA4417" w:rsidRPr="00A54277" w:rsidRDefault="00FA4417" w:rsidP="00D527CF">
            <w:pPr>
              <w:spacing w:before="120"/>
              <w:jc w:val="center"/>
              <w:rPr>
                <w:rFonts w:eastAsia="MS Mincho" w:cs="Times New Roman"/>
                <w:b/>
                <w:noProof/>
                <w:sz w:val="18"/>
                <w:szCs w:val="18"/>
                <w:lang w:val="fr-FR"/>
              </w:rPr>
            </w:pPr>
            <w:r w:rsidRPr="00A54277">
              <w:rPr>
                <w:rFonts w:eastAsia="MS Mincho" w:cs="Times New Roman"/>
                <w:b/>
                <w:noProof/>
                <w:sz w:val="18"/>
                <w:szCs w:val="18"/>
                <w:lang w:val="fr-FR"/>
              </w:rPr>
              <w:t>Titres de créances</w:t>
            </w:r>
          </w:p>
        </w:tc>
        <w:tc>
          <w:tcPr>
            <w:tcW w:w="992" w:type="dxa"/>
            <w:gridSpan w:val="2"/>
          </w:tcPr>
          <w:p w:rsidR="00FA4417" w:rsidRPr="00A54277" w:rsidRDefault="00FA4417" w:rsidP="00D527CF">
            <w:pPr>
              <w:spacing w:before="120"/>
              <w:jc w:val="center"/>
              <w:rPr>
                <w:rFonts w:eastAsia="MS Mincho" w:cs="Times New Roman"/>
                <w:b/>
                <w:noProof/>
                <w:sz w:val="18"/>
                <w:szCs w:val="18"/>
                <w:lang w:val="fr-FR"/>
              </w:rPr>
            </w:pPr>
            <w:r w:rsidRPr="00A54277">
              <w:rPr>
                <w:rFonts w:eastAsia="MS Mincho" w:cs="Times New Roman"/>
                <w:b/>
                <w:noProof/>
                <w:sz w:val="18"/>
                <w:szCs w:val="18"/>
                <w:lang w:val="fr-FR"/>
              </w:rPr>
              <w:t>Market claim</w:t>
            </w:r>
          </w:p>
        </w:tc>
        <w:tc>
          <w:tcPr>
            <w:tcW w:w="2126" w:type="dxa"/>
            <w:gridSpan w:val="2"/>
          </w:tcPr>
          <w:p w:rsidR="00FA4417" w:rsidRPr="00A54277" w:rsidRDefault="00FA4417" w:rsidP="00D527CF">
            <w:pPr>
              <w:spacing w:before="120"/>
              <w:jc w:val="center"/>
              <w:rPr>
                <w:rFonts w:eastAsia="MS Mincho" w:cs="Times New Roman"/>
                <w:b/>
                <w:noProof/>
                <w:sz w:val="18"/>
                <w:szCs w:val="18"/>
                <w:lang w:val="fr-FR"/>
              </w:rPr>
            </w:pPr>
            <w:r>
              <w:rPr>
                <w:rFonts w:eastAsia="MS Mincho" w:cs="Times New Roman"/>
                <w:b/>
                <w:noProof/>
                <w:sz w:val="18"/>
                <w:szCs w:val="18"/>
                <w:lang w:val="fr-FR"/>
              </w:rPr>
              <w:t>Ost flux au profit   de l’acheteur</w:t>
            </w:r>
          </w:p>
        </w:tc>
        <w:tc>
          <w:tcPr>
            <w:tcW w:w="1985" w:type="dxa"/>
          </w:tcPr>
          <w:p w:rsidR="00FA4417" w:rsidRPr="00A54277" w:rsidRDefault="00FA4417" w:rsidP="00D527CF">
            <w:pPr>
              <w:spacing w:before="120"/>
              <w:jc w:val="center"/>
              <w:rPr>
                <w:rFonts w:eastAsia="MS Mincho" w:cs="Times New Roman"/>
                <w:b/>
                <w:noProof/>
                <w:sz w:val="18"/>
                <w:szCs w:val="18"/>
                <w:lang w:val="fr-FR"/>
              </w:rPr>
            </w:pPr>
            <w:r w:rsidRPr="00A54277">
              <w:rPr>
                <w:rFonts w:eastAsia="MS Mincho" w:cs="Times New Roman"/>
                <w:b/>
                <w:noProof/>
                <w:sz w:val="18"/>
                <w:szCs w:val="18"/>
                <w:lang w:val="fr-FR"/>
              </w:rPr>
              <w:t>si ASD &gt; ISD</w:t>
            </w:r>
          </w:p>
        </w:tc>
      </w:tr>
      <w:tr w:rsidR="00FA4417" w:rsidRPr="00BE55A2" w:rsidTr="00D527CF">
        <w:tc>
          <w:tcPr>
            <w:tcW w:w="1666" w:type="dxa"/>
            <w:vMerge/>
          </w:tcPr>
          <w:p w:rsidR="00FA4417" w:rsidRPr="00A54277" w:rsidRDefault="00FA4417" w:rsidP="00D527CF">
            <w:pPr>
              <w:spacing w:before="120"/>
              <w:jc w:val="center"/>
              <w:rPr>
                <w:rFonts w:eastAsia="MS Mincho" w:cs="Times New Roman"/>
                <w:b/>
                <w:noProof/>
                <w:sz w:val="18"/>
                <w:szCs w:val="18"/>
                <w:lang w:val="fr-FR"/>
              </w:rPr>
            </w:pPr>
          </w:p>
        </w:tc>
        <w:tc>
          <w:tcPr>
            <w:tcW w:w="1277" w:type="dxa"/>
            <w:gridSpan w:val="2"/>
            <w:vMerge/>
            <w:vAlign w:val="center"/>
          </w:tcPr>
          <w:p w:rsidR="00FA4417" w:rsidRPr="00A54277" w:rsidRDefault="00FA4417" w:rsidP="00D527CF">
            <w:pPr>
              <w:spacing w:before="120"/>
              <w:jc w:val="center"/>
              <w:rPr>
                <w:rFonts w:eastAsia="MS Mincho" w:cs="Times New Roman"/>
                <w:b/>
                <w:noProof/>
                <w:sz w:val="18"/>
                <w:szCs w:val="18"/>
                <w:lang w:val="fr-FR"/>
              </w:rPr>
            </w:pPr>
          </w:p>
        </w:tc>
        <w:tc>
          <w:tcPr>
            <w:tcW w:w="1418" w:type="dxa"/>
            <w:gridSpan w:val="2"/>
            <w:vMerge w:val="restart"/>
            <w:vAlign w:val="center"/>
          </w:tcPr>
          <w:p w:rsidR="00FA4417" w:rsidRPr="00A54277" w:rsidRDefault="00FA4417" w:rsidP="00D527CF">
            <w:pPr>
              <w:spacing w:before="120"/>
              <w:jc w:val="center"/>
              <w:rPr>
                <w:rFonts w:eastAsia="MS Mincho" w:cs="Times New Roman"/>
                <w:b/>
                <w:noProof/>
                <w:sz w:val="18"/>
                <w:szCs w:val="18"/>
                <w:lang w:val="fr-FR"/>
              </w:rPr>
            </w:pPr>
            <w:r w:rsidRPr="00A54277">
              <w:rPr>
                <w:rFonts w:eastAsia="MS Mincho" w:cs="Times New Roman"/>
                <w:b/>
                <w:noProof/>
                <w:sz w:val="18"/>
                <w:szCs w:val="18"/>
                <w:lang w:val="fr-FR"/>
              </w:rPr>
              <w:t>Titres de capital</w:t>
            </w:r>
          </w:p>
        </w:tc>
        <w:tc>
          <w:tcPr>
            <w:tcW w:w="992" w:type="dxa"/>
            <w:gridSpan w:val="2"/>
          </w:tcPr>
          <w:p w:rsidR="00FA4417" w:rsidRPr="00A54277" w:rsidRDefault="00FA4417" w:rsidP="00D527CF">
            <w:pPr>
              <w:spacing w:before="120"/>
              <w:jc w:val="center"/>
              <w:rPr>
                <w:rFonts w:eastAsia="MS Mincho" w:cs="Times New Roman"/>
                <w:b/>
                <w:noProof/>
                <w:sz w:val="18"/>
                <w:szCs w:val="18"/>
                <w:lang w:val="fr-FR"/>
              </w:rPr>
            </w:pPr>
            <w:r w:rsidRPr="00A54277">
              <w:rPr>
                <w:rFonts w:eastAsia="MS Mincho" w:cs="Times New Roman"/>
                <w:b/>
                <w:noProof/>
                <w:sz w:val="18"/>
                <w:szCs w:val="18"/>
                <w:lang w:val="fr-FR"/>
              </w:rPr>
              <w:t>Market claim</w:t>
            </w:r>
          </w:p>
        </w:tc>
        <w:tc>
          <w:tcPr>
            <w:tcW w:w="2126" w:type="dxa"/>
            <w:gridSpan w:val="2"/>
          </w:tcPr>
          <w:p w:rsidR="00FA4417" w:rsidRPr="00A54277" w:rsidRDefault="00FA4417" w:rsidP="00D527CF">
            <w:pPr>
              <w:spacing w:before="120"/>
              <w:jc w:val="center"/>
              <w:rPr>
                <w:rFonts w:eastAsia="MS Mincho" w:cs="Times New Roman"/>
                <w:b/>
                <w:noProof/>
                <w:sz w:val="18"/>
                <w:szCs w:val="18"/>
                <w:lang w:val="fr-FR"/>
              </w:rPr>
            </w:pPr>
            <w:r>
              <w:rPr>
                <w:rFonts w:eastAsia="MS Mincho" w:cs="Times New Roman"/>
                <w:b/>
                <w:noProof/>
                <w:sz w:val="18"/>
                <w:szCs w:val="18"/>
                <w:lang w:val="fr-FR"/>
              </w:rPr>
              <w:t>Ost flux au profit   de l’acheteur</w:t>
            </w:r>
          </w:p>
        </w:tc>
        <w:tc>
          <w:tcPr>
            <w:tcW w:w="1985" w:type="dxa"/>
          </w:tcPr>
          <w:p w:rsidR="00FA4417" w:rsidRPr="00A54277" w:rsidRDefault="00FA4417" w:rsidP="00D527CF">
            <w:pPr>
              <w:spacing w:before="120"/>
              <w:jc w:val="center"/>
              <w:rPr>
                <w:rFonts w:eastAsia="MS Mincho" w:cs="Times New Roman"/>
                <w:b/>
                <w:noProof/>
                <w:sz w:val="18"/>
                <w:szCs w:val="18"/>
                <w:lang w:val="fr-FR"/>
              </w:rPr>
            </w:pPr>
            <w:r w:rsidRPr="00A54277">
              <w:rPr>
                <w:rFonts w:eastAsia="MS Mincho" w:cs="Times New Roman"/>
                <w:b/>
                <w:noProof/>
                <w:sz w:val="18"/>
                <w:szCs w:val="18"/>
                <w:lang w:val="fr-FR"/>
              </w:rPr>
              <w:t>Si TD &lt; EX date et ISD</w:t>
            </w:r>
            <w:r>
              <w:rPr>
                <w:rFonts w:eastAsia="MS Mincho" w:cs="Times New Roman"/>
                <w:b/>
                <w:noProof/>
                <w:sz w:val="18"/>
                <w:szCs w:val="18"/>
                <w:lang w:val="fr-FR"/>
              </w:rPr>
              <w:t xml:space="preserve"> &gt; Record date</w:t>
            </w:r>
          </w:p>
        </w:tc>
      </w:tr>
      <w:tr w:rsidR="00FA4417" w:rsidRPr="00BE55A2" w:rsidTr="00D527CF">
        <w:tc>
          <w:tcPr>
            <w:tcW w:w="1666" w:type="dxa"/>
            <w:vMerge/>
          </w:tcPr>
          <w:p w:rsidR="00FA4417" w:rsidRPr="00A54277" w:rsidRDefault="00FA4417" w:rsidP="00D527CF">
            <w:pPr>
              <w:spacing w:before="120"/>
              <w:jc w:val="center"/>
              <w:rPr>
                <w:rFonts w:eastAsia="MS Mincho" w:cs="Times New Roman"/>
                <w:b/>
                <w:noProof/>
                <w:sz w:val="18"/>
                <w:szCs w:val="18"/>
                <w:lang w:val="fr-FR"/>
              </w:rPr>
            </w:pPr>
          </w:p>
        </w:tc>
        <w:tc>
          <w:tcPr>
            <w:tcW w:w="1277" w:type="dxa"/>
            <w:gridSpan w:val="2"/>
            <w:vMerge/>
            <w:vAlign w:val="center"/>
          </w:tcPr>
          <w:p w:rsidR="00FA4417" w:rsidRPr="00A54277" w:rsidRDefault="00FA4417" w:rsidP="00D527CF">
            <w:pPr>
              <w:spacing w:before="120"/>
              <w:jc w:val="center"/>
              <w:rPr>
                <w:rFonts w:eastAsia="MS Mincho" w:cs="Times New Roman"/>
                <w:b/>
                <w:noProof/>
                <w:sz w:val="18"/>
                <w:szCs w:val="18"/>
                <w:lang w:val="fr-FR"/>
              </w:rPr>
            </w:pPr>
          </w:p>
        </w:tc>
        <w:tc>
          <w:tcPr>
            <w:tcW w:w="1418" w:type="dxa"/>
            <w:gridSpan w:val="2"/>
            <w:vMerge/>
            <w:vAlign w:val="center"/>
          </w:tcPr>
          <w:p w:rsidR="00FA4417" w:rsidRPr="00A54277" w:rsidRDefault="00FA4417" w:rsidP="00D527CF">
            <w:pPr>
              <w:spacing w:before="120"/>
              <w:jc w:val="center"/>
              <w:rPr>
                <w:rFonts w:eastAsia="MS Mincho" w:cs="Times New Roman"/>
                <w:b/>
                <w:noProof/>
                <w:sz w:val="18"/>
                <w:szCs w:val="18"/>
                <w:lang w:val="fr-FR"/>
              </w:rPr>
            </w:pPr>
          </w:p>
        </w:tc>
        <w:tc>
          <w:tcPr>
            <w:tcW w:w="992" w:type="dxa"/>
            <w:gridSpan w:val="2"/>
          </w:tcPr>
          <w:p w:rsidR="00FA4417" w:rsidRPr="00A54277" w:rsidRDefault="00FA4417" w:rsidP="00D527CF">
            <w:pPr>
              <w:spacing w:before="120"/>
              <w:jc w:val="center"/>
              <w:rPr>
                <w:rFonts w:eastAsia="MS Mincho" w:cs="Times New Roman"/>
                <w:b/>
                <w:noProof/>
                <w:sz w:val="18"/>
                <w:szCs w:val="18"/>
                <w:lang w:val="fr-FR"/>
              </w:rPr>
            </w:pPr>
            <w:r w:rsidRPr="00A54277">
              <w:rPr>
                <w:rFonts w:eastAsia="MS Mincho" w:cs="Times New Roman"/>
                <w:b/>
                <w:noProof/>
                <w:sz w:val="18"/>
                <w:szCs w:val="18"/>
                <w:lang w:val="fr-FR"/>
              </w:rPr>
              <w:t>Reverse Claim</w:t>
            </w:r>
          </w:p>
        </w:tc>
        <w:tc>
          <w:tcPr>
            <w:tcW w:w="2126" w:type="dxa"/>
            <w:gridSpan w:val="2"/>
          </w:tcPr>
          <w:p w:rsidR="00FA4417" w:rsidRPr="00A54277" w:rsidRDefault="00FA4417" w:rsidP="00D527CF">
            <w:pPr>
              <w:spacing w:before="120"/>
              <w:jc w:val="center"/>
              <w:rPr>
                <w:rFonts w:eastAsia="MS Mincho" w:cs="Times New Roman"/>
                <w:b/>
                <w:noProof/>
                <w:sz w:val="18"/>
                <w:szCs w:val="18"/>
                <w:lang w:val="fr-FR"/>
              </w:rPr>
            </w:pPr>
            <w:r>
              <w:rPr>
                <w:rFonts w:eastAsia="MS Mincho" w:cs="Times New Roman"/>
                <w:b/>
                <w:noProof/>
                <w:sz w:val="18"/>
                <w:szCs w:val="18"/>
                <w:lang w:val="fr-FR"/>
              </w:rPr>
              <w:t>Ost flux au profit  du vendeur</w:t>
            </w:r>
          </w:p>
        </w:tc>
        <w:tc>
          <w:tcPr>
            <w:tcW w:w="1985" w:type="dxa"/>
          </w:tcPr>
          <w:p w:rsidR="00FA4417" w:rsidRPr="00A54277" w:rsidRDefault="00FA4417" w:rsidP="00D527CF">
            <w:pPr>
              <w:spacing w:before="120"/>
              <w:jc w:val="center"/>
              <w:rPr>
                <w:rFonts w:eastAsia="MS Mincho" w:cs="Times New Roman"/>
                <w:b/>
                <w:noProof/>
                <w:sz w:val="18"/>
                <w:szCs w:val="18"/>
                <w:lang w:val="fr-FR"/>
              </w:rPr>
            </w:pPr>
            <w:r w:rsidRPr="00A54277">
              <w:rPr>
                <w:rFonts w:eastAsia="MS Mincho" w:cs="Times New Roman"/>
                <w:b/>
                <w:noProof/>
                <w:sz w:val="18"/>
                <w:szCs w:val="18"/>
                <w:lang w:val="fr-FR"/>
              </w:rPr>
              <w:t>Si TD &gt; à Ex date et &lt;= à Record date</w:t>
            </w:r>
          </w:p>
        </w:tc>
      </w:tr>
      <w:tr w:rsidR="00FA4417" w:rsidRPr="00BE55A2" w:rsidTr="00D527CF">
        <w:tc>
          <w:tcPr>
            <w:tcW w:w="9464" w:type="dxa"/>
            <w:gridSpan w:val="10"/>
          </w:tcPr>
          <w:p w:rsidR="00FA4417" w:rsidRPr="00A54277" w:rsidRDefault="00FA4417" w:rsidP="00D527CF">
            <w:pPr>
              <w:spacing w:before="120"/>
              <w:jc w:val="both"/>
              <w:rPr>
                <w:rFonts w:eastAsia="MS Mincho" w:cs="Times New Roman"/>
                <w:b/>
                <w:noProof/>
                <w:sz w:val="18"/>
                <w:szCs w:val="18"/>
                <w:lang w:val="fr-FR"/>
              </w:rPr>
            </w:pPr>
            <w:r w:rsidRPr="00A54277">
              <w:rPr>
                <w:rFonts w:eastAsia="MS Mincho" w:cs="Times New Roman"/>
                <w:b/>
                <w:noProof/>
                <w:sz w:val="18"/>
                <w:szCs w:val="18"/>
                <w:lang w:val="fr-FR"/>
              </w:rPr>
              <w:t xml:space="preserve">La </w:t>
            </w:r>
            <w:r>
              <w:rPr>
                <w:rFonts w:eastAsia="MS Mincho" w:cs="Times New Roman"/>
                <w:b/>
                <w:noProof/>
                <w:sz w:val="18"/>
                <w:szCs w:val="18"/>
                <w:lang w:val="fr-FR"/>
              </w:rPr>
              <w:t>trade date</w:t>
            </w:r>
            <w:r w:rsidRPr="00A54277">
              <w:rPr>
                <w:rFonts w:eastAsia="MS Mincho" w:cs="Times New Roman"/>
                <w:b/>
                <w:noProof/>
                <w:sz w:val="18"/>
                <w:szCs w:val="18"/>
                <w:lang w:val="fr-FR"/>
              </w:rPr>
              <w:t xml:space="preserve"> est égale à la date de dénouement de la restitution de la cession temporaire quelque soit le type de taux (variable EONIA, fixe , ou secs)  </w:t>
            </w:r>
          </w:p>
        </w:tc>
      </w:tr>
      <w:tr w:rsidR="00FA4417" w:rsidRPr="00A54277" w:rsidTr="00D527CF">
        <w:tc>
          <w:tcPr>
            <w:tcW w:w="1666" w:type="dxa"/>
            <w:vMerge w:val="restart"/>
            <w:vAlign w:val="center"/>
          </w:tcPr>
          <w:p w:rsidR="00FA4417" w:rsidRPr="00A54277" w:rsidRDefault="00FA4417" w:rsidP="00D527CF">
            <w:pPr>
              <w:spacing w:before="120"/>
              <w:jc w:val="center"/>
              <w:rPr>
                <w:rFonts w:eastAsia="MS Mincho" w:cs="Times New Roman"/>
                <w:b/>
                <w:noProof/>
                <w:sz w:val="18"/>
                <w:szCs w:val="18"/>
                <w:lang w:val="fr-FR"/>
              </w:rPr>
            </w:pPr>
            <w:r w:rsidRPr="00A54277">
              <w:rPr>
                <w:rFonts w:eastAsia="MS Mincho" w:cs="Times New Roman"/>
                <w:b/>
                <w:noProof/>
                <w:sz w:val="18"/>
                <w:szCs w:val="18"/>
                <w:lang w:val="fr-FR"/>
              </w:rPr>
              <w:t>Saisie par Slab Achat/Vente</w:t>
            </w:r>
          </w:p>
        </w:tc>
        <w:tc>
          <w:tcPr>
            <w:tcW w:w="1277" w:type="dxa"/>
            <w:gridSpan w:val="2"/>
            <w:vMerge w:val="restart"/>
            <w:vAlign w:val="center"/>
          </w:tcPr>
          <w:p w:rsidR="00FA4417" w:rsidRPr="00A54277" w:rsidRDefault="00FA4417" w:rsidP="00D527CF">
            <w:pPr>
              <w:spacing w:before="120"/>
              <w:jc w:val="center"/>
              <w:rPr>
                <w:rFonts w:eastAsia="MS Mincho" w:cs="Times New Roman"/>
                <w:b/>
                <w:noProof/>
                <w:sz w:val="18"/>
                <w:szCs w:val="18"/>
                <w:lang w:val="fr-FR"/>
              </w:rPr>
            </w:pPr>
            <w:r w:rsidRPr="00A54277">
              <w:rPr>
                <w:rFonts w:eastAsia="MS Mincho" w:cs="Times New Roman"/>
                <w:b/>
                <w:noProof/>
                <w:sz w:val="18"/>
                <w:szCs w:val="18"/>
                <w:lang w:val="fr-FR"/>
              </w:rPr>
              <w:t>Instruction de restitution</w:t>
            </w:r>
          </w:p>
        </w:tc>
        <w:tc>
          <w:tcPr>
            <w:tcW w:w="1418" w:type="dxa"/>
            <w:gridSpan w:val="2"/>
            <w:vMerge w:val="restart"/>
            <w:vAlign w:val="center"/>
          </w:tcPr>
          <w:p w:rsidR="00FA4417" w:rsidRPr="00A54277" w:rsidRDefault="00FA4417" w:rsidP="00D527CF">
            <w:pPr>
              <w:spacing w:before="120"/>
              <w:jc w:val="center"/>
              <w:rPr>
                <w:rFonts w:eastAsia="MS Mincho" w:cs="Times New Roman"/>
                <w:b/>
                <w:noProof/>
                <w:sz w:val="18"/>
                <w:szCs w:val="18"/>
                <w:lang w:val="fr-FR"/>
              </w:rPr>
            </w:pPr>
            <w:r w:rsidRPr="00A54277">
              <w:rPr>
                <w:rFonts w:eastAsia="MS Mincho" w:cs="Times New Roman"/>
                <w:b/>
                <w:noProof/>
                <w:sz w:val="18"/>
                <w:szCs w:val="18"/>
                <w:lang w:val="fr-FR"/>
              </w:rPr>
              <w:t>Titres de créances</w:t>
            </w:r>
          </w:p>
        </w:tc>
        <w:tc>
          <w:tcPr>
            <w:tcW w:w="992" w:type="dxa"/>
            <w:gridSpan w:val="2"/>
            <w:vMerge w:val="restart"/>
            <w:vAlign w:val="center"/>
          </w:tcPr>
          <w:p w:rsidR="00FA4417" w:rsidRPr="00A54277" w:rsidRDefault="00FA4417" w:rsidP="00D527CF">
            <w:pPr>
              <w:spacing w:before="120"/>
              <w:jc w:val="center"/>
              <w:rPr>
                <w:rFonts w:eastAsia="MS Mincho" w:cs="Times New Roman"/>
                <w:b/>
                <w:noProof/>
                <w:sz w:val="18"/>
                <w:szCs w:val="18"/>
                <w:lang w:val="fr-FR"/>
              </w:rPr>
            </w:pPr>
            <w:r w:rsidRPr="00A54277">
              <w:rPr>
                <w:rFonts w:eastAsia="MS Mincho" w:cs="Times New Roman"/>
                <w:b/>
                <w:noProof/>
                <w:sz w:val="18"/>
                <w:szCs w:val="18"/>
                <w:lang w:val="fr-FR"/>
              </w:rPr>
              <w:t>Market claim</w:t>
            </w:r>
          </w:p>
        </w:tc>
        <w:tc>
          <w:tcPr>
            <w:tcW w:w="2126" w:type="dxa"/>
            <w:gridSpan w:val="2"/>
          </w:tcPr>
          <w:p w:rsidR="00FA4417" w:rsidRPr="00A54277" w:rsidRDefault="00FA4417" w:rsidP="00D527CF">
            <w:pPr>
              <w:spacing w:before="120"/>
              <w:jc w:val="center"/>
              <w:rPr>
                <w:rFonts w:eastAsia="MS Mincho" w:cs="Times New Roman"/>
                <w:b/>
                <w:noProof/>
                <w:sz w:val="18"/>
                <w:szCs w:val="18"/>
                <w:lang w:val="fr-FR"/>
              </w:rPr>
            </w:pPr>
            <w:r>
              <w:rPr>
                <w:rFonts w:eastAsia="MS Mincho" w:cs="Times New Roman"/>
                <w:b/>
                <w:noProof/>
                <w:sz w:val="18"/>
                <w:szCs w:val="18"/>
                <w:lang w:val="fr-FR"/>
              </w:rPr>
              <w:t>Ost flux au profit  de l’acheteur</w:t>
            </w:r>
          </w:p>
        </w:tc>
        <w:tc>
          <w:tcPr>
            <w:tcW w:w="1985" w:type="dxa"/>
          </w:tcPr>
          <w:p w:rsidR="00FA4417" w:rsidRPr="00A54277" w:rsidRDefault="00FA4417" w:rsidP="00D527CF">
            <w:pPr>
              <w:spacing w:before="120"/>
              <w:jc w:val="center"/>
              <w:rPr>
                <w:rFonts w:eastAsia="MS Mincho" w:cs="Times New Roman"/>
                <w:b/>
                <w:noProof/>
                <w:sz w:val="18"/>
                <w:szCs w:val="18"/>
                <w:lang w:val="fr-FR"/>
              </w:rPr>
            </w:pPr>
            <w:r w:rsidRPr="00A54277">
              <w:rPr>
                <w:rFonts w:eastAsia="MS Mincho" w:cs="Times New Roman"/>
                <w:b/>
                <w:noProof/>
                <w:sz w:val="18"/>
                <w:szCs w:val="18"/>
                <w:lang w:val="fr-FR"/>
              </w:rPr>
              <w:t>si ASD &gt; ISD</w:t>
            </w:r>
          </w:p>
        </w:tc>
      </w:tr>
      <w:tr w:rsidR="00FA4417" w:rsidRPr="00A54277" w:rsidTr="00D527CF">
        <w:tc>
          <w:tcPr>
            <w:tcW w:w="1666" w:type="dxa"/>
            <w:vMerge/>
          </w:tcPr>
          <w:p w:rsidR="00FA4417" w:rsidRPr="00A54277" w:rsidRDefault="00FA4417" w:rsidP="00D527CF">
            <w:pPr>
              <w:spacing w:before="120"/>
              <w:jc w:val="center"/>
              <w:rPr>
                <w:rFonts w:eastAsia="MS Mincho" w:cs="Times New Roman"/>
                <w:b/>
                <w:noProof/>
                <w:sz w:val="18"/>
                <w:szCs w:val="18"/>
                <w:lang w:val="fr-FR"/>
              </w:rPr>
            </w:pPr>
          </w:p>
        </w:tc>
        <w:tc>
          <w:tcPr>
            <w:tcW w:w="1277" w:type="dxa"/>
            <w:gridSpan w:val="2"/>
            <w:vMerge/>
          </w:tcPr>
          <w:p w:rsidR="00FA4417" w:rsidRPr="00A54277" w:rsidRDefault="00FA4417" w:rsidP="00D527CF">
            <w:pPr>
              <w:spacing w:before="120"/>
              <w:jc w:val="center"/>
              <w:rPr>
                <w:rFonts w:eastAsia="MS Mincho" w:cs="Times New Roman"/>
                <w:b/>
                <w:noProof/>
                <w:sz w:val="18"/>
                <w:szCs w:val="18"/>
                <w:lang w:val="fr-FR"/>
              </w:rPr>
            </w:pPr>
          </w:p>
        </w:tc>
        <w:tc>
          <w:tcPr>
            <w:tcW w:w="1418" w:type="dxa"/>
            <w:gridSpan w:val="2"/>
            <w:vMerge/>
          </w:tcPr>
          <w:p w:rsidR="00FA4417" w:rsidRPr="00A54277" w:rsidRDefault="00FA4417" w:rsidP="00D527CF">
            <w:pPr>
              <w:spacing w:before="120"/>
              <w:jc w:val="center"/>
              <w:rPr>
                <w:rFonts w:eastAsia="MS Mincho" w:cs="Times New Roman"/>
                <w:b/>
                <w:noProof/>
                <w:sz w:val="18"/>
                <w:szCs w:val="18"/>
                <w:lang w:val="fr-FR"/>
              </w:rPr>
            </w:pPr>
          </w:p>
        </w:tc>
        <w:tc>
          <w:tcPr>
            <w:tcW w:w="992" w:type="dxa"/>
            <w:gridSpan w:val="2"/>
            <w:vMerge/>
          </w:tcPr>
          <w:p w:rsidR="00FA4417" w:rsidRPr="00A54277" w:rsidRDefault="00FA4417" w:rsidP="00D527CF">
            <w:pPr>
              <w:spacing w:before="120"/>
              <w:jc w:val="center"/>
              <w:rPr>
                <w:rFonts w:eastAsia="MS Mincho" w:cs="Times New Roman"/>
                <w:b/>
                <w:noProof/>
                <w:sz w:val="18"/>
                <w:szCs w:val="18"/>
                <w:lang w:val="fr-FR"/>
              </w:rPr>
            </w:pPr>
          </w:p>
        </w:tc>
        <w:tc>
          <w:tcPr>
            <w:tcW w:w="2126" w:type="dxa"/>
            <w:gridSpan w:val="2"/>
          </w:tcPr>
          <w:p w:rsidR="00FA4417" w:rsidRPr="00A54277" w:rsidRDefault="00FA4417" w:rsidP="00D527CF">
            <w:pPr>
              <w:spacing w:before="120"/>
              <w:jc w:val="both"/>
              <w:rPr>
                <w:rFonts w:eastAsia="MS Mincho" w:cs="Times New Roman"/>
                <w:b/>
                <w:noProof/>
                <w:sz w:val="18"/>
                <w:szCs w:val="18"/>
                <w:lang w:val="fr-FR"/>
              </w:rPr>
            </w:pPr>
            <w:r>
              <w:rPr>
                <w:rFonts w:eastAsia="MS Mincho" w:cs="Times New Roman"/>
                <w:b/>
                <w:noProof/>
                <w:sz w:val="18"/>
                <w:szCs w:val="18"/>
                <w:lang w:val="fr-FR"/>
              </w:rPr>
              <w:t xml:space="preserve">Détection </w:t>
            </w:r>
            <w:r w:rsidRPr="00A54277">
              <w:rPr>
                <w:rFonts w:eastAsia="MS Mincho" w:cs="Times New Roman"/>
                <w:b/>
                <w:noProof/>
                <w:sz w:val="18"/>
                <w:szCs w:val="18"/>
                <w:lang w:val="fr-FR"/>
              </w:rPr>
              <w:t xml:space="preserve">automatique sur la période de </w:t>
            </w:r>
            <w:r>
              <w:rPr>
                <w:rFonts w:eastAsia="MS Mincho" w:cs="Times New Roman"/>
                <w:b/>
                <w:noProof/>
                <w:sz w:val="18"/>
                <w:szCs w:val="18"/>
                <w:lang w:val="fr-FR"/>
              </w:rPr>
              <w:t>20</w:t>
            </w:r>
            <w:r w:rsidRPr="00A54277">
              <w:rPr>
                <w:rFonts w:eastAsia="MS Mincho" w:cs="Times New Roman"/>
                <w:b/>
                <w:noProof/>
                <w:sz w:val="18"/>
                <w:szCs w:val="18"/>
                <w:lang w:val="fr-FR"/>
              </w:rPr>
              <w:t xml:space="preserve"> jours</w:t>
            </w:r>
            <w:r>
              <w:rPr>
                <w:rFonts w:eastAsia="MS Mincho" w:cs="Times New Roman"/>
                <w:b/>
                <w:noProof/>
                <w:sz w:val="18"/>
                <w:szCs w:val="18"/>
                <w:lang w:val="fr-FR"/>
              </w:rPr>
              <w:t xml:space="preserve"> après RD.</w:t>
            </w:r>
          </w:p>
          <w:p w:rsidR="00FA4417" w:rsidRPr="00A54277" w:rsidRDefault="00FA4417" w:rsidP="00D527CF">
            <w:pPr>
              <w:spacing w:before="120"/>
              <w:jc w:val="center"/>
              <w:rPr>
                <w:rFonts w:eastAsia="MS Mincho" w:cs="Times New Roman"/>
                <w:b/>
                <w:noProof/>
                <w:sz w:val="18"/>
                <w:szCs w:val="18"/>
                <w:lang w:val="fr-FR"/>
              </w:rPr>
            </w:pPr>
            <w:r w:rsidRPr="00A54277">
              <w:rPr>
                <w:rFonts w:eastAsia="MS Mincho" w:cs="Times New Roman"/>
                <w:b/>
                <w:noProof/>
                <w:sz w:val="18"/>
                <w:szCs w:val="18"/>
                <w:lang w:val="fr-FR"/>
              </w:rPr>
              <w:t xml:space="preserve"> </w:t>
            </w:r>
            <w:r>
              <w:rPr>
                <w:rFonts w:eastAsia="MS Mincho" w:cs="Times New Roman"/>
                <w:b/>
                <w:noProof/>
                <w:sz w:val="18"/>
                <w:szCs w:val="18"/>
                <w:lang w:val="fr-FR"/>
              </w:rPr>
              <w:t>A</w:t>
            </w:r>
            <w:r w:rsidRPr="00A54277">
              <w:rPr>
                <w:rFonts w:eastAsia="MS Mincho" w:cs="Times New Roman"/>
                <w:b/>
                <w:noProof/>
                <w:sz w:val="18"/>
                <w:szCs w:val="18"/>
                <w:lang w:val="fr-FR"/>
              </w:rPr>
              <w:t xml:space="preserve">u-delà </w:t>
            </w:r>
            <w:r>
              <w:rPr>
                <w:rFonts w:eastAsia="MS Mincho" w:cs="Times New Roman"/>
                <w:b/>
                <w:noProof/>
                <w:sz w:val="18"/>
                <w:szCs w:val="18"/>
                <w:lang w:val="fr-FR"/>
              </w:rPr>
              <w:t xml:space="preserve">de 20 jours après la RD, </w:t>
            </w:r>
            <w:r w:rsidRPr="00A54277">
              <w:rPr>
                <w:rFonts w:eastAsia="MS Mincho" w:cs="Times New Roman"/>
                <w:b/>
                <w:noProof/>
                <w:sz w:val="18"/>
                <w:szCs w:val="18"/>
                <w:lang w:val="fr-FR"/>
              </w:rPr>
              <w:t>la détection est manuelle et bilatérale</w:t>
            </w:r>
          </w:p>
        </w:tc>
        <w:tc>
          <w:tcPr>
            <w:tcW w:w="1985" w:type="dxa"/>
          </w:tcPr>
          <w:p w:rsidR="00FA4417" w:rsidRPr="00A54277" w:rsidRDefault="00FA4417" w:rsidP="00D527CF">
            <w:pPr>
              <w:spacing w:before="120"/>
              <w:jc w:val="center"/>
              <w:rPr>
                <w:rFonts w:eastAsia="MS Mincho" w:cs="Times New Roman"/>
                <w:b/>
                <w:noProof/>
                <w:sz w:val="18"/>
                <w:szCs w:val="18"/>
                <w:lang w:val="fr-FR"/>
              </w:rPr>
            </w:pPr>
            <w:r w:rsidRPr="00A54277">
              <w:rPr>
                <w:rFonts w:eastAsia="MS Mincho" w:cs="Times New Roman"/>
                <w:b/>
                <w:noProof/>
                <w:sz w:val="18"/>
                <w:szCs w:val="18"/>
                <w:lang w:val="fr-FR"/>
              </w:rPr>
              <w:t>Quelque soit l’ISD/ASD</w:t>
            </w:r>
          </w:p>
        </w:tc>
      </w:tr>
      <w:tr w:rsidR="00FA4417" w:rsidRPr="00BE55A2" w:rsidTr="00D527CF">
        <w:tc>
          <w:tcPr>
            <w:tcW w:w="1666" w:type="dxa"/>
            <w:vMerge/>
          </w:tcPr>
          <w:p w:rsidR="00FA4417" w:rsidRPr="00A54277" w:rsidRDefault="00FA4417" w:rsidP="00D527CF">
            <w:pPr>
              <w:spacing w:before="120"/>
              <w:jc w:val="center"/>
              <w:rPr>
                <w:rFonts w:eastAsia="MS Mincho" w:cs="Times New Roman"/>
                <w:b/>
                <w:noProof/>
                <w:sz w:val="18"/>
                <w:szCs w:val="18"/>
                <w:lang w:val="fr-FR"/>
              </w:rPr>
            </w:pPr>
          </w:p>
        </w:tc>
        <w:tc>
          <w:tcPr>
            <w:tcW w:w="1277" w:type="dxa"/>
            <w:gridSpan w:val="2"/>
            <w:vMerge/>
          </w:tcPr>
          <w:p w:rsidR="00FA4417" w:rsidRPr="00A54277" w:rsidRDefault="00FA4417" w:rsidP="00D527CF">
            <w:pPr>
              <w:spacing w:before="120"/>
              <w:jc w:val="center"/>
              <w:rPr>
                <w:rFonts w:eastAsia="MS Mincho" w:cs="Times New Roman"/>
                <w:b/>
                <w:noProof/>
                <w:sz w:val="18"/>
                <w:szCs w:val="18"/>
                <w:lang w:val="fr-FR"/>
              </w:rPr>
            </w:pPr>
          </w:p>
        </w:tc>
        <w:tc>
          <w:tcPr>
            <w:tcW w:w="1418" w:type="dxa"/>
            <w:gridSpan w:val="2"/>
            <w:vMerge w:val="restart"/>
            <w:vAlign w:val="center"/>
          </w:tcPr>
          <w:p w:rsidR="00FA4417" w:rsidRPr="00A54277" w:rsidRDefault="00FA4417" w:rsidP="00D527CF">
            <w:pPr>
              <w:spacing w:before="120"/>
              <w:jc w:val="center"/>
              <w:rPr>
                <w:rFonts w:eastAsia="MS Mincho" w:cs="Times New Roman"/>
                <w:b/>
                <w:noProof/>
                <w:sz w:val="18"/>
                <w:szCs w:val="18"/>
                <w:lang w:val="fr-FR"/>
              </w:rPr>
            </w:pPr>
            <w:r w:rsidRPr="00A54277">
              <w:rPr>
                <w:rFonts w:eastAsia="MS Mincho" w:cs="Times New Roman"/>
                <w:b/>
                <w:noProof/>
                <w:sz w:val="18"/>
                <w:szCs w:val="18"/>
                <w:lang w:val="fr-FR"/>
              </w:rPr>
              <w:t>Titres de capital</w:t>
            </w:r>
          </w:p>
        </w:tc>
        <w:tc>
          <w:tcPr>
            <w:tcW w:w="992" w:type="dxa"/>
            <w:gridSpan w:val="2"/>
            <w:vAlign w:val="center"/>
          </w:tcPr>
          <w:p w:rsidR="00FA4417" w:rsidRPr="00A54277" w:rsidRDefault="00FA4417" w:rsidP="00D527CF">
            <w:pPr>
              <w:spacing w:before="120"/>
              <w:jc w:val="center"/>
              <w:rPr>
                <w:rFonts w:eastAsia="MS Mincho" w:cs="Times New Roman"/>
                <w:b/>
                <w:noProof/>
                <w:sz w:val="18"/>
                <w:szCs w:val="18"/>
                <w:lang w:val="fr-FR"/>
              </w:rPr>
            </w:pPr>
            <w:r w:rsidRPr="00A54277">
              <w:rPr>
                <w:rFonts w:eastAsia="MS Mincho" w:cs="Times New Roman"/>
                <w:b/>
                <w:noProof/>
                <w:sz w:val="18"/>
                <w:szCs w:val="18"/>
                <w:lang w:val="fr-FR"/>
              </w:rPr>
              <w:t>Market claim</w:t>
            </w:r>
          </w:p>
        </w:tc>
        <w:tc>
          <w:tcPr>
            <w:tcW w:w="2126" w:type="dxa"/>
            <w:gridSpan w:val="2"/>
          </w:tcPr>
          <w:p w:rsidR="00FA4417" w:rsidRPr="00A54277" w:rsidRDefault="00FA4417" w:rsidP="00D527CF">
            <w:pPr>
              <w:spacing w:before="120"/>
              <w:jc w:val="center"/>
              <w:rPr>
                <w:rFonts w:eastAsia="MS Mincho" w:cs="Times New Roman"/>
                <w:b/>
                <w:noProof/>
                <w:sz w:val="18"/>
                <w:szCs w:val="18"/>
                <w:lang w:val="fr-FR"/>
              </w:rPr>
            </w:pPr>
            <w:r>
              <w:rPr>
                <w:rFonts w:eastAsia="MS Mincho" w:cs="Times New Roman"/>
                <w:b/>
                <w:noProof/>
                <w:sz w:val="18"/>
                <w:szCs w:val="18"/>
                <w:lang w:val="fr-FR"/>
              </w:rPr>
              <w:t>Ost flux au profit  de l’acheteur</w:t>
            </w:r>
            <w:r w:rsidRPr="00A54277">
              <w:rPr>
                <w:rFonts w:eastAsia="MS Mincho" w:cs="Times New Roman"/>
                <w:b/>
                <w:noProof/>
                <w:sz w:val="18"/>
                <w:szCs w:val="18"/>
                <w:lang w:val="fr-FR"/>
              </w:rPr>
              <w:t>automatique sur la période de 20 jours</w:t>
            </w:r>
            <w:r>
              <w:rPr>
                <w:rFonts w:eastAsia="MS Mincho" w:cs="Times New Roman"/>
                <w:b/>
                <w:noProof/>
                <w:sz w:val="18"/>
                <w:szCs w:val="18"/>
                <w:lang w:val="fr-FR"/>
              </w:rPr>
              <w:t xml:space="preserve"> après RD</w:t>
            </w:r>
          </w:p>
          <w:p w:rsidR="00FA4417" w:rsidRPr="00A54277" w:rsidRDefault="00FA4417" w:rsidP="00D527CF">
            <w:pPr>
              <w:spacing w:before="120"/>
              <w:jc w:val="center"/>
              <w:rPr>
                <w:rFonts w:eastAsia="MS Mincho" w:cs="Times New Roman"/>
                <w:b/>
                <w:noProof/>
                <w:sz w:val="18"/>
                <w:szCs w:val="18"/>
                <w:lang w:val="fr-FR"/>
              </w:rPr>
            </w:pPr>
            <w:r w:rsidRPr="00A54277">
              <w:rPr>
                <w:rFonts w:eastAsia="MS Mincho" w:cs="Times New Roman"/>
                <w:b/>
                <w:noProof/>
                <w:sz w:val="18"/>
                <w:szCs w:val="18"/>
                <w:lang w:val="fr-FR"/>
              </w:rPr>
              <w:t>au-delà la détection est manuelle et bilatérale</w:t>
            </w:r>
          </w:p>
        </w:tc>
        <w:tc>
          <w:tcPr>
            <w:tcW w:w="1985" w:type="dxa"/>
          </w:tcPr>
          <w:p w:rsidR="00FA4417" w:rsidRPr="00A54277" w:rsidRDefault="00FA4417" w:rsidP="00D527CF">
            <w:pPr>
              <w:spacing w:before="120"/>
              <w:jc w:val="center"/>
              <w:rPr>
                <w:rFonts w:eastAsia="MS Mincho" w:cs="Times New Roman"/>
                <w:b/>
                <w:noProof/>
                <w:sz w:val="18"/>
                <w:szCs w:val="18"/>
                <w:lang w:val="fr-FR"/>
              </w:rPr>
            </w:pPr>
            <w:r w:rsidRPr="00A54277">
              <w:rPr>
                <w:rFonts w:eastAsia="MS Mincho" w:cs="Times New Roman"/>
                <w:b/>
                <w:noProof/>
                <w:sz w:val="18"/>
                <w:szCs w:val="18"/>
                <w:lang w:val="fr-FR"/>
              </w:rPr>
              <w:t>Si TD &lt; EX date et ISD</w:t>
            </w:r>
            <w:r>
              <w:rPr>
                <w:rFonts w:eastAsia="MS Mincho" w:cs="Times New Roman"/>
                <w:b/>
                <w:noProof/>
                <w:sz w:val="18"/>
                <w:szCs w:val="18"/>
                <w:lang w:val="fr-FR"/>
              </w:rPr>
              <w:t xml:space="preserve"> &gt; Record date</w:t>
            </w:r>
          </w:p>
        </w:tc>
      </w:tr>
      <w:tr w:rsidR="00FA4417" w:rsidRPr="00BE55A2" w:rsidTr="00D527CF">
        <w:tc>
          <w:tcPr>
            <w:tcW w:w="1666" w:type="dxa"/>
            <w:vMerge/>
          </w:tcPr>
          <w:p w:rsidR="00FA4417" w:rsidRPr="00A54277" w:rsidRDefault="00FA4417" w:rsidP="00D527CF">
            <w:pPr>
              <w:spacing w:before="120"/>
              <w:jc w:val="center"/>
              <w:rPr>
                <w:rFonts w:eastAsia="MS Mincho" w:cs="Times New Roman"/>
                <w:b/>
                <w:noProof/>
                <w:sz w:val="18"/>
                <w:szCs w:val="18"/>
                <w:lang w:val="fr-FR"/>
              </w:rPr>
            </w:pPr>
          </w:p>
        </w:tc>
        <w:tc>
          <w:tcPr>
            <w:tcW w:w="1277" w:type="dxa"/>
            <w:gridSpan w:val="2"/>
            <w:vMerge/>
          </w:tcPr>
          <w:p w:rsidR="00FA4417" w:rsidRPr="00A54277" w:rsidRDefault="00FA4417" w:rsidP="00D527CF">
            <w:pPr>
              <w:spacing w:before="120"/>
              <w:jc w:val="center"/>
              <w:rPr>
                <w:rFonts w:eastAsia="MS Mincho" w:cs="Times New Roman"/>
                <w:b/>
                <w:noProof/>
                <w:sz w:val="18"/>
                <w:szCs w:val="18"/>
                <w:lang w:val="fr-FR"/>
              </w:rPr>
            </w:pPr>
          </w:p>
        </w:tc>
        <w:tc>
          <w:tcPr>
            <w:tcW w:w="1418" w:type="dxa"/>
            <w:gridSpan w:val="2"/>
            <w:vMerge/>
            <w:vAlign w:val="center"/>
          </w:tcPr>
          <w:p w:rsidR="00FA4417" w:rsidRPr="00A54277" w:rsidRDefault="00FA4417" w:rsidP="00D527CF">
            <w:pPr>
              <w:spacing w:before="120"/>
              <w:jc w:val="center"/>
              <w:rPr>
                <w:rFonts w:eastAsia="MS Mincho" w:cs="Times New Roman"/>
                <w:b/>
                <w:noProof/>
                <w:sz w:val="18"/>
                <w:szCs w:val="18"/>
                <w:lang w:val="fr-FR"/>
              </w:rPr>
            </w:pPr>
          </w:p>
        </w:tc>
        <w:tc>
          <w:tcPr>
            <w:tcW w:w="992" w:type="dxa"/>
            <w:gridSpan w:val="2"/>
          </w:tcPr>
          <w:p w:rsidR="00FA4417" w:rsidRPr="00A54277" w:rsidRDefault="00FA4417" w:rsidP="00D527CF">
            <w:pPr>
              <w:spacing w:before="120"/>
              <w:jc w:val="center"/>
              <w:rPr>
                <w:rFonts w:eastAsia="MS Mincho" w:cs="Times New Roman"/>
                <w:b/>
                <w:noProof/>
                <w:sz w:val="18"/>
                <w:szCs w:val="18"/>
                <w:lang w:val="fr-FR"/>
              </w:rPr>
            </w:pPr>
            <w:r w:rsidRPr="00A54277">
              <w:rPr>
                <w:rFonts w:eastAsia="MS Mincho" w:cs="Times New Roman"/>
                <w:b/>
                <w:noProof/>
                <w:sz w:val="18"/>
                <w:szCs w:val="18"/>
                <w:lang w:val="fr-FR"/>
              </w:rPr>
              <w:t>Reverse Claim</w:t>
            </w:r>
          </w:p>
        </w:tc>
        <w:tc>
          <w:tcPr>
            <w:tcW w:w="2126" w:type="dxa"/>
            <w:gridSpan w:val="2"/>
          </w:tcPr>
          <w:p w:rsidR="00FA4417" w:rsidRPr="00A54277" w:rsidRDefault="00FA4417" w:rsidP="00D527CF">
            <w:pPr>
              <w:spacing w:before="120"/>
              <w:jc w:val="center"/>
              <w:rPr>
                <w:rFonts w:eastAsia="MS Mincho" w:cs="Times New Roman"/>
                <w:b/>
                <w:noProof/>
                <w:sz w:val="18"/>
                <w:szCs w:val="18"/>
                <w:lang w:val="fr-FR"/>
              </w:rPr>
            </w:pPr>
            <w:r>
              <w:rPr>
                <w:rFonts w:eastAsia="MS Mincho" w:cs="Times New Roman"/>
                <w:b/>
                <w:noProof/>
                <w:sz w:val="18"/>
                <w:szCs w:val="18"/>
                <w:lang w:val="fr-FR"/>
              </w:rPr>
              <w:t xml:space="preserve">Ost flux au profit  du vendeur </w:t>
            </w:r>
            <w:r w:rsidRPr="00A54277">
              <w:rPr>
                <w:rFonts w:eastAsia="MS Mincho" w:cs="Times New Roman"/>
                <w:b/>
                <w:noProof/>
                <w:sz w:val="18"/>
                <w:szCs w:val="18"/>
                <w:lang w:val="fr-FR"/>
              </w:rPr>
              <w:t>Automatique sur la période de 20 jours</w:t>
            </w:r>
            <w:r>
              <w:rPr>
                <w:rFonts w:eastAsia="MS Mincho" w:cs="Times New Roman"/>
                <w:b/>
                <w:noProof/>
                <w:sz w:val="18"/>
                <w:szCs w:val="18"/>
                <w:lang w:val="fr-FR"/>
              </w:rPr>
              <w:t xml:space="preserve"> après la RD.</w:t>
            </w:r>
          </w:p>
        </w:tc>
        <w:tc>
          <w:tcPr>
            <w:tcW w:w="1985" w:type="dxa"/>
          </w:tcPr>
          <w:p w:rsidR="00FA4417" w:rsidRPr="00A54277" w:rsidRDefault="00FA4417" w:rsidP="00D527CF">
            <w:pPr>
              <w:spacing w:before="120"/>
              <w:jc w:val="center"/>
              <w:rPr>
                <w:rFonts w:eastAsia="MS Mincho" w:cs="Times New Roman"/>
                <w:b/>
                <w:noProof/>
                <w:sz w:val="18"/>
                <w:szCs w:val="18"/>
                <w:lang w:val="fr-FR"/>
              </w:rPr>
            </w:pPr>
            <w:r w:rsidRPr="00A54277">
              <w:rPr>
                <w:rFonts w:eastAsia="MS Mincho" w:cs="Times New Roman"/>
                <w:b/>
                <w:noProof/>
                <w:sz w:val="18"/>
                <w:szCs w:val="18"/>
                <w:lang w:val="fr-FR"/>
              </w:rPr>
              <w:t>Si TD &gt; à Ex date et &lt;= à Record date</w:t>
            </w:r>
          </w:p>
        </w:tc>
      </w:tr>
    </w:tbl>
    <w:p w:rsidR="00FA4417" w:rsidRDefault="00FA4417" w:rsidP="00FA4417">
      <w:pPr>
        <w:spacing w:before="120"/>
        <w:jc w:val="both"/>
        <w:rPr>
          <w:rFonts w:eastAsia="MS Mincho" w:cs="Times New Roman"/>
          <w:noProof/>
          <w:szCs w:val="32"/>
          <w:lang w:val="fr-FR"/>
        </w:rPr>
      </w:pPr>
    </w:p>
    <w:p w:rsidR="00FA4417" w:rsidRDefault="00FA4417" w:rsidP="001E0D83">
      <w:pPr>
        <w:spacing w:after="0" w:line="240" w:lineRule="auto"/>
        <w:rPr>
          <w:rFonts w:eastAsia="MS Mincho" w:cs="Times New Roman"/>
          <w:noProof/>
          <w:szCs w:val="32"/>
          <w:lang w:val="fr-FR"/>
        </w:rPr>
      </w:pPr>
    </w:p>
    <w:p w:rsidR="00FA4417" w:rsidRDefault="00FA4417" w:rsidP="001E0D83">
      <w:pPr>
        <w:spacing w:after="0" w:line="240" w:lineRule="auto"/>
        <w:rPr>
          <w:rFonts w:eastAsia="MS Mincho" w:cs="Times New Roman"/>
          <w:noProof/>
          <w:szCs w:val="32"/>
          <w:lang w:val="fr-FR"/>
        </w:rPr>
      </w:pPr>
    </w:p>
    <w:sectPr w:rsidR="00FA4417" w:rsidSect="006D6846">
      <w:headerReference w:type="default" r:id="rId8"/>
      <w:footerReference w:type="default" r:id="rId9"/>
      <w:pgSz w:w="12240" w:h="15840"/>
      <w:pgMar w:top="14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70D2" w:rsidRDefault="00DC70D2" w:rsidP="006D6846">
      <w:pPr>
        <w:spacing w:after="0" w:line="240" w:lineRule="auto"/>
      </w:pPr>
      <w:r>
        <w:separator/>
      </w:r>
    </w:p>
  </w:endnote>
  <w:endnote w:type="continuationSeparator" w:id="0">
    <w:p w:rsidR="00DC70D2" w:rsidRDefault="00DC70D2" w:rsidP="006D6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MS Shell Dlg 2">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9825659"/>
      <w:docPartObj>
        <w:docPartGallery w:val="Page Numbers (Bottom of Page)"/>
        <w:docPartUnique/>
      </w:docPartObj>
    </w:sdtPr>
    <w:sdtEndPr>
      <w:rPr>
        <w:noProof/>
      </w:rPr>
    </w:sdtEndPr>
    <w:sdtContent>
      <w:p w:rsidR="00EC776F" w:rsidRDefault="00EC776F">
        <w:pPr>
          <w:pStyle w:val="Footer"/>
          <w:jc w:val="right"/>
        </w:pPr>
        <w:r>
          <w:fldChar w:fldCharType="begin"/>
        </w:r>
        <w:r>
          <w:instrText xml:space="preserve"> PAGE   \* MERGEFORMAT </w:instrText>
        </w:r>
        <w:r>
          <w:fldChar w:fldCharType="separate"/>
        </w:r>
        <w:r w:rsidR="00FA4417">
          <w:rPr>
            <w:noProof/>
          </w:rPr>
          <w:t>1</w:t>
        </w:r>
        <w:r>
          <w:rPr>
            <w:noProof/>
          </w:rPr>
          <w:fldChar w:fldCharType="end"/>
        </w:r>
      </w:p>
    </w:sdtContent>
  </w:sdt>
  <w:p w:rsidR="00EC776F" w:rsidRDefault="00EC77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70D2" w:rsidRDefault="00DC70D2" w:rsidP="006D6846">
      <w:pPr>
        <w:spacing w:after="0" w:line="240" w:lineRule="auto"/>
      </w:pPr>
      <w:r>
        <w:separator/>
      </w:r>
    </w:p>
  </w:footnote>
  <w:footnote w:type="continuationSeparator" w:id="0">
    <w:p w:rsidR="00DC70D2" w:rsidRDefault="00DC70D2" w:rsidP="006D68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39"/>
      <w:gridCol w:w="3798"/>
    </w:tblGrid>
    <w:tr w:rsidR="00EC776F" w:rsidTr="00FA4417">
      <w:tc>
        <w:tcPr>
          <w:tcW w:w="5839" w:type="dxa"/>
          <w:vAlign w:val="center"/>
        </w:tcPr>
        <w:p w:rsidR="00EC776F" w:rsidRDefault="00EC776F" w:rsidP="00EC776F">
          <w:pPr>
            <w:pStyle w:val="Header"/>
            <w:jc w:val="center"/>
            <w:rPr>
              <w:b/>
              <w:lang w:val="fr-FR"/>
            </w:rPr>
          </w:pPr>
          <w:r w:rsidRPr="007F6CFC">
            <w:rPr>
              <w:b/>
              <w:lang w:val="fr-FR"/>
            </w:rPr>
            <w:t>Groupe d’Adaptation des Pratiques de Marché T2S</w:t>
          </w:r>
        </w:p>
        <w:p w:rsidR="00EC776F" w:rsidRDefault="00EC776F" w:rsidP="00EC776F">
          <w:pPr>
            <w:pStyle w:val="Header"/>
            <w:jc w:val="center"/>
            <w:rPr>
              <w:b/>
              <w:lang w:val="fr-FR"/>
            </w:rPr>
          </w:pPr>
          <w:r>
            <w:rPr>
              <w:b/>
              <w:lang w:val="fr-FR"/>
            </w:rPr>
            <w:t>Fiche Pratique de marché</w:t>
          </w:r>
        </w:p>
      </w:tc>
      <w:tc>
        <w:tcPr>
          <w:tcW w:w="3798" w:type="dxa"/>
          <w:vAlign w:val="center"/>
        </w:tcPr>
        <w:p w:rsidR="00EC776F" w:rsidRDefault="00EC776F" w:rsidP="00EC776F">
          <w:pPr>
            <w:pStyle w:val="Header"/>
            <w:jc w:val="center"/>
            <w:rPr>
              <w:b/>
              <w:lang w:val="fr-FR"/>
            </w:rPr>
          </w:pPr>
          <w:r>
            <w:rPr>
              <w:noProof/>
            </w:rPr>
            <w:drawing>
              <wp:inline distT="0" distB="0" distL="0" distR="0" wp14:anchorId="4FE60DA3" wp14:editId="47A614BC">
                <wp:extent cx="1032931" cy="516467"/>
                <wp:effectExtent l="0" t="0" r="0" b="0"/>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4228" cy="517116"/>
                        </a:xfrm>
                        <a:prstGeom prst="rect">
                          <a:avLst/>
                        </a:prstGeom>
                      </pic:spPr>
                    </pic:pic>
                  </a:graphicData>
                </a:graphic>
              </wp:inline>
            </w:drawing>
          </w:r>
        </w:p>
      </w:tc>
    </w:tr>
    <w:tr w:rsidR="00EC776F" w:rsidRPr="00FA4417" w:rsidTr="00FA4417">
      <w:tc>
        <w:tcPr>
          <w:tcW w:w="5839" w:type="dxa"/>
          <w:vAlign w:val="center"/>
        </w:tcPr>
        <w:p w:rsidR="00EC776F" w:rsidRPr="00EC776F" w:rsidRDefault="00EC776F" w:rsidP="00113071">
          <w:pPr>
            <w:pStyle w:val="Header"/>
            <w:rPr>
              <w:i/>
              <w:lang w:val="fr-FR"/>
            </w:rPr>
          </w:pPr>
          <w:r>
            <w:rPr>
              <w:i/>
              <w:lang w:val="fr-FR"/>
            </w:rPr>
            <w:t xml:space="preserve">Référence de la pratique : </w:t>
          </w:r>
          <w:r w:rsidR="00FA4417" w:rsidRPr="00FA4417">
            <w:rPr>
              <w:i/>
              <w:lang w:val="fr-FR"/>
            </w:rPr>
            <w:t>OF-FLUX-CESSIONSTEMPORAIRES-01</w:t>
          </w:r>
        </w:p>
      </w:tc>
      <w:tc>
        <w:tcPr>
          <w:tcW w:w="3798" w:type="dxa"/>
          <w:vAlign w:val="center"/>
        </w:tcPr>
        <w:p w:rsidR="00EC776F" w:rsidRPr="00EC776F" w:rsidRDefault="00EC776F" w:rsidP="00EC776F">
          <w:pPr>
            <w:pStyle w:val="Header"/>
            <w:jc w:val="center"/>
            <w:rPr>
              <w:noProof/>
              <w:lang w:val="fr-FR"/>
            </w:rPr>
          </w:pPr>
        </w:p>
      </w:tc>
    </w:tr>
  </w:tbl>
  <w:p w:rsidR="00EC776F" w:rsidRPr="00C221EA" w:rsidRDefault="00EC776F">
    <w:pPr>
      <w:pStyle w:val="Header"/>
      <w:rPr>
        <w:b/>
        <w:sz w:val="20"/>
        <w:szCs w:val="20"/>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44BC6"/>
    <w:multiLevelType w:val="hybridMultilevel"/>
    <w:tmpl w:val="2C0049D2"/>
    <w:lvl w:ilvl="0" w:tplc="A162A862">
      <w:start w:val="1"/>
      <w:numFmt w:val="bullet"/>
      <w:lvlText w:val=""/>
      <w:lvlJc w:val="left"/>
      <w:pPr>
        <w:ind w:left="1140" w:hanging="360"/>
      </w:pPr>
      <w:rPr>
        <w:rFonts w:ascii="Wingdings" w:eastAsia="MS Mincho" w:hAnsi="Wingdings" w:cs="Times New Roman"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
    <w:nsid w:val="02662CAD"/>
    <w:multiLevelType w:val="multilevel"/>
    <w:tmpl w:val="3E522DD0"/>
    <w:lvl w:ilvl="0">
      <w:start w:val="1"/>
      <w:numFmt w:val="lowerLetter"/>
      <w:lvlText w:val="%1)"/>
      <w:lvlJc w:val="left"/>
      <w:pPr>
        <w:ind w:left="720" w:hanging="360"/>
      </w:pPr>
      <w:rPr>
        <w:rFonts w:asciiTheme="minorHAnsi" w:eastAsia="MS Mincho" w:hAnsiTheme="minorHAnsi" w:cs="Times New Roman"/>
        <w:b/>
      </w:rPr>
    </w:lvl>
    <w:lvl w:ilvl="1">
      <w:start w:val="1"/>
      <w:numFmt w:val="lowerRoman"/>
      <w:lvlText w:val="%2)"/>
      <w:lvlJc w:val="left"/>
      <w:pPr>
        <w:ind w:left="1080" w:hanging="360"/>
      </w:pPr>
      <w:rPr>
        <w:rFonts w:asciiTheme="minorHAnsi" w:eastAsia="MS Mincho" w:hAnsiTheme="minorHAnsi" w:cs="Times New Roman"/>
      </w:r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
    <w:nsid w:val="049741B3"/>
    <w:multiLevelType w:val="hybridMultilevel"/>
    <w:tmpl w:val="1B20EB06"/>
    <w:lvl w:ilvl="0" w:tplc="437E9AEE">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24E79DC"/>
    <w:multiLevelType w:val="hybridMultilevel"/>
    <w:tmpl w:val="FF563AE0"/>
    <w:lvl w:ilvl="0" w:tplc="040C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D7101850">
      <w:start w:val="30"/>
      <w:numFmt w:val="bullet"/>
      <w:lvlText w:val=""/>
      <w:lvlJc w:val="left"/>
      <w:pPr>
        <w:ind w:left="2520" w:hanging="360"/>
      </w:pPr>
      <w:rPr>
        <w:rFonts w:ascii="Wingdings" w:eastAsia="MS Mincho" w:hAnsi="Wingdings" w:cs="Tahoma"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175A7E25"/>
    <w:multiLevelType w:val="hybridMultilevel"/>
    <w:tmpl w:val="B692A802"/>
    <w:lvl w:ilvl="0" w:tplc="0C880406">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A3E0530"/>
    <w:multiLevelType w:val="hybridMultilevel"/>
    <w:tmpl w:val="5404B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FB1103"/>
    <w:multiLevelType w:val="hybridMultilevel"/>
    <w:tmpl w:val="D144B88A"/>
    <w:lvl w:ilvl="0" w:tplc="040C000F">
      <w:start w:val="1"/>
      <w:numFmt w:val="decimal"/>
      <w:lvlText w:val="%1."/>
      <w:lvlJc w:val="left"/>
      <w:pPr>
        <w:ind w:left="770" w:hanging="360"/>
      </w:pPr>
      <w:rPr>
        <w:rFonts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7">
    <w:nsid w:val="248D7B9F"/>
    <w:multiLevelType w:val="hybridMultilevel"/>
    <w:tmpl w:val="90741E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B7B0E1E"/>
    <w:multiLevelType w:val="hybridMultilevel"/>
    <w:tmpl w:val="43EAEF10"/>
    <w:lvl w:ilvl="0" w:tplc="934663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D1B029E"/>
    <w:multiLevelType w:val="hybridMultilevel"/>
    <w:tmpl w:val="DFD0EA76"/>
    <w:lvl w:ilvl="0" w:tplc="980A614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42685906"/>
    <w:multiLevelType w:val="hybridMultilevel"/>
    <w:tmpl w:val="B170918E"/>
    <w:lvl w:ilvl="0" w:tplc="1546A4E6">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5B73F30"/>
    <w:multiLevelType w:val="hybridMultilevel"/>
    <w:tmpl w:val="AF28FF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4DD7AE7"/>
    <w:multiLevelType w:val="hybridMultilevel"/>
    <w:tmpl w:val="6E4A8CDE"/>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3">
    <w:nsid w:val="631D23D7"/>
    <w:multiLevelType w:val="hybridMultilevel"/>
    <w:tmpl w:val="2BF6F8D8"/>
    <w:lvl w:ilvl="0" w:tplc="57FA741E">
      <w:start w:val="1"/>
      <w:numFmt w:val="bullet"/>
      <w:lvlText w:val=""/>
      <w:lvlJc w:val="left"/>
      <w:pPr>
        <w:ind w:left="360" w:hanging="360"/>
      </w:pPr>
      <w:rPr>
        <w:rFonts w:ascii="Wingdings" w:hAnsi="Wingdings"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nsid w:val="6C001547"/>
    <w:multiLevelType w:val="hybridMultilevel"/>
    <w:tmpl w:val="D32607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74786FCF"/>
    <w:multiLevelType w:val="hybridMultilevel"/>
    <w:tmpl w:val="5F9A1742"/>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nsid w:val="765323E3"/>
    <w:multiLevelType w:val="hybridMultilevel"/>
    <w:tmpl w:val="92625E74"/>
    <w:lvl w:ilvl="0" w:tplc="1A349598">
      <w:start w:val="1"/>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D8479E7"/>
    <w:multiLevelType w:val="hybridMultilevel"/>
    <w:tmpl w:val="E1226E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E2F2BC6"/>
    <w:multiLevelType w:val="hybridMultilevel"/>
    <w:tmpl w:val="1C8C7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8"/>
  </w:num>
  <w:num w:numId="3">
    <w:abstractNumId w:val="17"/>
  </w:num>
  <w:num w:numId="4">
    <w:abstractNumId w:val="16"/>
  </w:num>
  <w:num w:numId="5">
    <w:abstractNumId w:val="2"/>
  </w:num>
  <w:num w:numId="6">
    <w:abstractNumId w:val="0"/>
  </w:num>
  <w:num w:numId="7">
    <w:abstractNumId w:val="4"/>
  </w:num>
  <w:num w:numId="8">
    <w:abstractNumId w:val="3"/>
  </w:num>
  <w:num w:numId="9">
    <w:abstractNumId w:val="5"/>
  </w:num>
  <w:num w:numId="10">
    <w:abstractNumId w:val="10"/>
  </w:num>
  <w:num w:numId="11">
    <w:abstractNumId w:val="13"/>
  </w:num>
  <w:num w:numId="12">
    <w:abstractNumId w:val="15"/>
  </w:num>
  <w:num w:numId="13">
    <w:abstractNumId w:val="6"/>
  </w:num>
  <w:num w:numId="14">
    <w:abstractNumId w:val="9"/>
  </w:num>
  <w:num w:numId="15">
    <w:abstractNumId w:val="1"/>
  </w:num>
  <w:num w:numId="16">
    <w:abstractNumId w:val="12"/>
  </w:num>
  <w:num w:numId="17">
    <w:abstractNumId w:val="11"/>
  </w:num>
  <w:num w:numId="18">
    <w:abstractNumId w:val="14"/>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846"/>
    <w:rsid w:val="00020084"/>
    <w:rsid w:val="000706A3"/>
    <w:rsid w:val="00075355"/>
    <w:rsid w:val="000A6C94"/>
    <w:rsid w:val="000C1C9B"/>
    <w:rsid w:val="000D11DB"/>
    <w:rsid w:val="000D6F4D"/>
    <w:rsid w:val="000F3C24"/>
    <w:rsid w:val="00113071"/>
    <w:rsid w:val="00140482"/>
    <w:rsid w:val="00145ADA"/>
    <w:rsid w:val="001522A5"/>
    <w:rsid w:val="00162BBA"/>
    <w:rsid w:val="00183F7A"/>
    <w:rsid w:val="001A26CA"/>
    <w:rsid w:val="001B0416"/>
    <w:rsid w:val="001B1E38"/>
    <w:rsid w:val="001C4C4C"/>
    <w:rsid w:val="001C7BAF"/>
    <w:rsid w:val="001D7830"/>
    <w:rsid w:val="001E0D83"/>
    <w:rsid w:val="00211814"/>
    <w:rsid w:val="00217510"/>
    <w:rsid w:val="00283DDE"/>
    <w:rsid w:val="0028538B"/>
    <w:rsid w:val="00291B60"/>
    <w:rsid w:val="00343829"/>
    <w:rsid w:val="00343B9E"/>
    <w:rsid w:val="003631EA"/>
    <w:rsid w:val="00363E89"/>
    <w:rsid w:val="003929BA"/>
    <w:rsid w:val="003A4E76"/>
    <w:rsid w:val="003B3DA4"/>
    <w:rsid w:val="003D5E9F"/>
    <w:rsid w:val="003D7060"/>
    <w:rsid w:val="00464015"/>
    <w:rsid w:val="004818D8"/>
    <w:rsid w:val="00482296"/>
    <w:rsid w:val="004F6025"/>
    <w:rsid w:val="005061BA"/>
    <w:rsid w:val="0051485E"/>
    <w:rsid w:val="00567B1D"/>
    <w:rsid w:val="00575F36"/>
    <w:rsid w:val="005C2ACA"/>
    <w:rsid w:val="00602096"/>
    <w:rsid w:val="00622E8A"/>
    <w:rsid w:val="00625541"/>
    <w:rsid w:val="00652C13"/>
    <w:rsid w:val="00674204"/>
    <w:rsid w:val="00694503"/>
    <w:rsid w:val="0069580E"/>
    <w:rsid w:val="006D6846"/>
    <w:rsid w:val="00701AE2"/>
    <w:rsid w:val="00714CE6"/>
    <w:rsid w:val="00727BF7"/>
    <w:rsid w:val="0074709E"/>
    <w:rsid w:val="00765664"/>
    <w:rsid w:val="00776CD9"/>
    <w:rsid w:val="007B7B10"/>
    <w:rsid w:val="007C7303"/>
    <w:rsid w:val="007F6CFC"/>
    <w:rsid w:val="0080446B"/>
    <w:rsid w:val="0081511D"/>
    <w:rsid w:val="00830B7B"/>
    <w:rsid w:val="00837334"/>
    <w:rsid w:val="00841E84"/>
    <w:rsid w:val="0085743B"/>
    <w:rsid w:val="008800A4"/>
    <w:rsid w:val="00893912"/>
    <w:rsid w:val="008A30A6"/>
    <w:rsid w:val="008B1A1E"/>
    <w:rsid w:val="008C734C"/>
    <w:rsid w:val="008E4A8A"/>
    <w:rsid w:val="0091257E"/>
    <w:rsid w:val="0092276F"/>
    <w:rsid w:val="00922A8E"/>
    <w:rsid w:val="00922B9C"/>
    <w:rsid w:val="00933237"/>
    <w:rsid w:val="009606C4"/>
    <w:rsid w:val="00982218"/>
    <w:rsid w:val="00995F65"/>
    <w:rsid w:val="009978DE"/>
    <w:rsid w:val="009A24A6"/>
    <w:rsid w:val="009A2F1A"/>
    <w:rsid w:val="009A64D1"/>
    <w:rsid w:val="00A133A7"/>
    <w:rsid w:val="00A20577"/>
    <w:rsid w:val="00A21489"/>
    <w:rsid w:val="00A40ED4"/>
    <w:rsid w:val="00A45A45"/>
    <w:rsid w:val="00A678C0"/>
    <w:rsid w:val="00A746A0"/>
    <w:rsid w:val="00A90EEC"/>
    <w:rsid w:val="00AA1FDB"/>
    <w:rsid w:val="00AA62D7"/>
    <w:rsid w:val="00AC134F"/>
    <w:rsid w:val="00B26098"/>
    <w:rsid w:val="00B31057"/>
    <w:rsid w:val="00B44E11"/>
    <w:rsid w:val="00B540C8"/>
    <w:rsid w:val="00B62B1E"/>
    <w:rsid w:val="00B727D8"/>
    <w:rsid w:val="00B9491F"/>
    <w:rsid w:val="00BA66D3"/>
    <w:rsid w:val="00BA6B0A"/>
    <w:rsid w:val="00BC7577"/>
    <w:rsid w:val="00BE4C60"/>
    <w:rsid w:val="00C070B0"/>
    <w:rsid w:val="00C1000A"/>
    <w:rsid w:val="00C221EA"/>
    <w:rsid w:val="00C33595"/>
    <w:rsid w:val="00C3423B"/>
    <w:rsid w:val="00C43D15"/>
    <w:rsid w:val="00C57689"/>
    <w:rsid w:val="00C60EC8"/>
    <w:rsid w:val="00C65EB2"/>
    <w:rsid w:val="00C77C0A"/>
    <w:rsid w:val="00CB0F41"/>
    <w:rsid w:val="00CC7462"/>
    <w:rsid w:val="00CE6DA3"/>
    <w:rsid w:val="00CF605A"/>
    <w:rsid w:val="00D103DA"/>
    <w:rsid w:val="00D12DE8"/>
    <w:rsid w:val="00D252A7"/>
    <w:rsid w:val="00D50DB6"/>
    <w:rsid w:val="00D529B3"/>
    <w:rsid w:val="00D53037"/>
    <w:rsid w:val="00D5515F"/>
    <w:rsid w:val="00DB106F"/>
    <w:rsid w:val="00DC70D2"/>
    <w:rsid w:val="00DD071C"/>
    <w:rsid w:val="00E351C1"/>
    <w:rsid w:val="00E35B86"/>
    <w:rsid w:val="00E438E3"/>
    <w:rsid w:val="00E52109"/>
    <w:rsid w:val="00E62EAE"/>
    <w:rsid w:val="00EA5560"/>
    <w:rsid w:val="00EB44AB"/>
    <w:rsid w:val="00EC776F"/>
    <w:rsid w:val="00EF2D14"/>
    <w:rsid w:val="00F00BF4"/>
    <w:rsid w:val="00F358FF"/>
    <w:rsid w:val="00F35CCA"/>
    <w:rsid w:val="00F84B2D"/>
    <w:rsid w:val="00F904C9"/>
    <w:rsid w:val="00FA4417"/>
    <w:rsid w:val="00FC06B7"/>
    <w:rsid w:val="00FC4F18"/>
    <w:rsid w:val="00FE19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 w:type="paragraph" w:styleId="CommentText">
    <w:name w:val="annotation text"/>
    <w:basedOn w:val="Normal"/>
    <w:link w:val="CommentTextChar"/>
    <w:uiPriority w:val="99"/>
    <w:semiHidden/>
    <w:unhideWhenUsed/>
    <w:rsid w:val="00FA4417"/>
    <w:pPr>
      <w:spacing w:line="240" w:lineRule="auto"/>
    </w:pPr>
    <w:rPr>
      <w:sz w:val="20"/>
      <w:szCs w:val="20"/>
    </w:rPr>
  </w:style>
  <w:style w:type="character" w:customStyle="1" w:styleId="CommentTextChar">
    <w:name w:val="Comment Text Char"/>
    <w:basedOn w:val="DefaultParagraphFont"/>
    <w:link w:val="CommentText"/>
    <w:uiPriority w:val="99"/>
    <w:semiHidden/>
    <w:rsid w:val="00FA4417"/>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 w:type="paragraph" w:styleId="CommentText">
    <w:name w:val="annotation text"/>
    <w:basedOn w:val="Normal"/>
    <w:link w:val="CommentTextChar"/>
    <w:uiPriority w:val="99"/>
    <w:semiHidden/>
    <w:unhideWhenUsed/>
    <w:rsid w:val="00FA4417"/>
    <w:pPr>
      <w:spacing w:line="240" w:lineRule="auto"/>
    </w:pPr>
    <w:rPr>
      <w:sz w:val="20"/>
      <w:szCs w:val="20"/>
    </w:rPr>
  </w:style>
  <w:style w:type="character" w:customStyle="1" w:styleId="CommentTextChar">
    <w:name w:val="Comment Text Char"/>
    <w:basedOn w:val="DefaultParagraphFont"/>
    <w:link w:val="CommentText"/>
    <w:uiPriority w:val="99"/>
    <w:semiHidden/>
    <w:rsid w:val="00FA441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10</Pages>
  <Words>2348</Words>
  <Characters>13390</Characters>
  <Application>Microsoft Office Word</Application>
  <DocSecurity>0</DocSecurity>
  <Lines>111</Lines>
  <Paragraphs>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Cognizant Technology Solutions</Company>
  <LinksUpToDate>false</LinksUpToDate>
  <CharactersWithSpaces>15707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Cognizant Technology Solutions</dc:creator>
  <cp:lastModifiedBy>François DUBRAU</cp:lastModifiedBy>
  <cp:revision>20</cp:revision>
  <cp:lastPrinted>2015-10-09T10:36:00Z</cp:lastPrinted>
  <dcterms:created xsi:type="dcterms:W3CDTF">2016-01-07T06:52:00Z</dcterms:created>
  <dcterms:modified xsi:type="dcterms:W3CDTF">2016-09-02T04:43:00Z</dcterms:modified>
</cp:coreProperties>
</file>