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5664" w:rsidRDefault="00765664" w:rsidP="006D6846">
      <w:pPr>
        <w:tabs>
          <w:tab w:val="left" w:pos="9356"/>
        </w:tabs>
        <w:ind w:right="-279"/>
        <w:jc w:val="center"/>
        <w:rPr>
          <w:sz w:val="36"/>
          <w:lang w:val="fr-FR"/>
        </w:rPr>
      </w:pPr>
      <w:bookmarkStart w:id="0" w:name="_GoBack"/>
      <w:bookmarkEnd w:id="0"/>
    </w:p>
    <w:p w:rsidR="00575F36" w:rsidRPr="00EC776F" w:rsidRDefault="00140482" w:rsidP="00AA1FDB">
      <w:pPr>
        <w:pBdr>
          <w:top w:val="single" w:sz="4" w:space="0" w:color="auto"/>
          <w:left w:val="single" w:sz="4" w:space="4" w:color="auto"/>
          <w:bottom w:val="single" w:sz="4" w:space="1" w:color="auto"/>
          <w:right w:val="single" w:sz="4" w:space="4" w:color="auto"/>
        </w:pBdr>
        <w:shd w:val="pct12" w:color="000000" w:fill="FFFFFF"/>
        <w:jc w:val="center"/>
        <w:rPr>
          <w:b/>
          <w:noProof/>
          <w:sz w:val="36"/>
          <w:lang w:val="fr-FR"/>
        </w:rPr>
      </w:pPr>
      <w:r w:rsidRPr="00140482">
        <w:rPr>
          <w:b/>
          <w:noProof/>
          <w:sz w:val="36"/>
          <w:lang w:val="fr-FR"/>
        </w:rPr>
        <w:t>Bascule du mode d’instruction des cessions temporaires en mode Achat / Vente et traitement en période transitoire</w:t>
      </w:r>
    </w:p>
    <w:p w:rsidR="001B1E38" w:rsidRDefault="001B1E38" w:rsidP="006D6846">
      <w:pPr>
        <w:tabs>
          <w:tab w:val="left" w:pos="9356"/>
        </w:tabs>
        <w:ind w:right="-279"/>
        <w:rPr>
          <w:lang w:val="fr-FR"/>
        </w:rPr>
      </w:pPr>
    </w:p>
    <w:tbl>
      <w:tblPr>
        <w:tblStyle w:val="TableGrid"/>
        <w:tblW w:w="0" w:type="auto"/>
        <w:tblLook w:val="04A0" w:firstRow="1" w:lastRow="0" w:firstColumn="1" w:lastColumn="0" w:noHBand="0" w:noVBand="1"/>
      </w:tblPr>
      <w:tblGrid>
        <w:gridCol w:w="2093"/>
        <w:gridCol w:w="2551"/>
        <w:gridCol w:w="4932"/>
      </w:tblGrid>
      <w:tr w:rsidR="004F6025" w:rsidTr="0091257E">
        <w:tc>
          <w:tcPr>
            <w:tcW w:w="2093" w:type="dxa"/>
            <w:vMerge w:val="restart"/>
            <w:shd w:val="clear" w:color="auto" w:fill="BFBFBF" w:themeFill="background1" w:themeFillShade="BF"/>
          </w:tcPr>
          <w:p w:rsidR="004F6025" w:rsidRPr="004F6025" w:rsidRDefault="004F6025" w:rsidP="006D6846">
            <w:pPr>
              <w:tabs>
                <w:tab w:val="left" w:pos="9356"/>
              </w:tabs>
              <w:ind w:right="-279"/>
              <w:rPr>
                <w:b/>
                <w:lang w:val="fr-FR"/>
              </w:rPr>
            </w:pPr>
            <w:proofErr w:type="spellStart"/>
            <w:r w:rsidRPr="004F6025">
              <w:rPr>
                <w:b/>
                <w:lang w:val="fr-FR"/>
              </w:rPr>
              <w:t>Versioning</w:t>
            </w:r>
            <w:proofErr w:type="spellEnd"/>
          </w:p>
        </w:tc>
        <w:tc>
          <w:tcPr>
            <w:tcW w:w="2551" w:type="dxa"/>
            <w:shd w:val="clear" w:color="auto" w:fill="F2F2F2" w:themeFill="background1" w:themeFillShade="F2"/>
          </w:tcPr>
          <w:p w:rsidR="004F6025" w:rsidRDefault="004F6025" w:rsidP="006D6846">
            <w:pPr>
              <w:tabs>
                <w:tab w:val="left" w:pos="9356"/>
              </w:tabs>
              <w:ind w:right="-279"/>
              <w:rPr>
                <w:lang w:val="fr-FR"/>
              </w:rPr>
            </w:pPr>
            <w:r>
              <w:rPr>
                <w:lang w:val="fr-FR"/>
              </w:rPr>
              <w:t>Version</w:t>
            </w:r>
          </w:p>
        </w:tc>
        <w:tc>
          <w:tcPr>
            <w:tcW w:w="4932" w:type="dxa"/>
          </w:tcPr>
          <w:p w:rsidR="004F6025" w:rsidRDefault="00140482" w:rsidP="005F17ED">
            <w:pPr>
              <w:tabs>
                <w:tab w:val="left" w:pos="9356"/>
              </w:tabs>
              <w:ind w:right="-279"/>
              <w:rPr>
                <w:lang w:val="fr-FR"/>
              </w:rPr>
            </w:pPr>
            <w:r>
              <w:rPr>
                <w:lang w:val="fr-FR"/>
              </w:rPr>
              <w:t>1.</w:t>
            </w:r>
            <w:r w:rsidR="005F17ED">
              <w:rPr>
                <w:lang w:val="fr-FR"/>
              </w:rPr>
              <w:t>2</w:t>
            </w:r>
          </w:p>
        </w:tc>
      </w:tr>
      <w:tr w:rsidR="004F6025" w:rsidRPr="00AA1FDB" w:rsidTr="0091257E">
        <w:tc>
          <w:tcPr>
            <w:tcW w:w="2093" w:type="dxa"/>
            <w:vMerge/>
            <w:shd w:val="clear" w:color="auto" w:fill="BFBFBF" w:themeFill="background1" w:themeFillShade="BF"/>
          </w:tcPr>
          <w:p w:rsidR="004F6025" w:rsidRPr="004F6025" w:rsidRDefault="004F6025" w:rsidP="006D6846">
            <w:pPr>
              <w:tabs>
                <w:tab w:val="left" w:pos="9356"/>
              </w:tabs>
              <w:ind w:right="-279"/>
              <w:rPr>
                <w:b/>
                <w:lang w:val="fr-FR"/>
              </w:rPr>
            </w:pPr>
          </w:p>
        </w:tc>
        <w:tc>
          <w:tcPr>
            <w:tcW w:w="2551" w:type="dxa"/>
            <w:shd w:val="clear" w:color="auto" w:fill="F2F2F2" w:themeFill="background1" w:themeFillShade="F2"/>
          </w:tcPr>
          <w:p w:rsidR="004F6025" w:rsidRDefault="004F6025" w:rsidP="00EC776F">
            <w:pPr>
              <w:tabs>
                <w:tab w:val="left" w:pos="9356"/>
              </w:tabs>
              <w:ind w:right="-279"/>
              <w:rPr>
                <w:lang w:val="fr-FR"/>
              </w:rPr>
            </w:pPr>
            <w:r>
              <w:rPr>
                <w:lang w:val="fr-FR"/>
              </w:rPr>
              <w:t xml:space="preserve">Date </w:t>
            </w:r>
            <w:r w:rsidR="00EC776F">
              <w:rPr>
                <w:lang w:val="fr-FR"/>
              </w:rPr>
              <w:t>de publication</w:t>
            </w:r>
          </w:p>
        </w:tc>
        <w:tc>
          <w:tcPr>
            <w:tcW w:w="4932" w:type="dxa"/>
          </w:tcPr>
          <w:p w:rsidR="004F6025" w:rsidRDefault="005F17ED" w:rsidP="006D6846">
            <w:pPr>
              <w:tabs>
                <w:tab w:val="left" w:pos="9356"/>
              </w:tabs>
              <w:ind w:right="-279"/>
              <w:rPr>
                <w:lang w:val="fr-FR"/>
              </w:rPr>
            </w:pPr>
            <w:r>
              <w:rPr>
                <w:lang w:val="fr-FR"/>
              </w:rPr>
              <w:t xml:space="preserve">29 août </w:t>
            </w:r>
            <w:r w:rsidR="00140482">
              <w:rPr>
                <w:lang w:val="fr-FR"/>
              </w:rPr>
              <w:t>2016</w:t>
            </w:r>
          </w:p>
        </w:tc>
      </w:tr>
    </w:tbl>
    <w:p w:rsidR="00B26098" w:rsidRDefault="00B26098" w:rsidP="00B26098">
      <w:pPr>
        <w:spacing w:after="0" w:line="240" w:lineRule="auto"/>
        <w:rPr>
          <w:rFonts w:eastAsia="MS Mincho" w:cs="Times New Roman"/>
          <w:noProof/>
          <w:szCs w:val="32"/>
          <w:lang w:val="fr-FR"/>
        </w:rPr>
      </w:pPr>
    </w:p>
    <w:p w:rsidR="00EC776F" w:rsidRDefault="00EC776F" w:rsidP="00B26098">
      <w:pPr>
        <w:spacing w:after="0" w:line="240" w:lineRule="auto"/>
        <w:rPr>
          <w:rFonts w:eastAsia="MS Mincho" w:cs="Times New Roman"/>
          <w:noProof/>
          <w:szCs w:val="32"/>
          <w:lang w:val="fr-FR"/>
        </w:rPr>
      </w:pPr>
    </w:p>
    <w:p w:rsidR="0081511D" w:rsidRPr="004F6025" w:rsidRDefault="0081511D" w:rsidP="0081511D">
      <w:pPr>
        <w:pStyle w:val="ListParagraph"/>
        <w:numPr>
          <w:ilvl w:val="0"/>
          <w:numId w:val="1"/>
        </w:numPr>
        <w:spacing w:after="0" w:line="240" w:lineRule="auto"/>
        <w:ind w:left="284" w:hanging="284"/>
        <w:rPr>
          <w:rFonts w:eastAsia="MS Mincho" w:cs="Times New Roman"/>
          <w:b/>
          <w:caps/>
          <w:noProof/>
          <w:sz w:val="32"/>
          <w:szCs w:val="32"/>
          <w:lang w:val="fr-FR"/>
        </w:rPr>
      </w:pPr>
      <w:r>
        <w:rPr>
          <w:rFonts w:eastAsia="MS Mincho" w:cs="Times New Roman"/>
          <w:b/>
          <w:caps/>
          <w:noProof/>
          <w:sz w:val="32"/>
          <w:szCs w:val="32"/>
          <w:lang w:val="fr-FR"/>
        </w:rPr>
        <w:t>PRESENTATION DE LA PRATIQUE EXISTANTE &amp; description des Impacts</w:t>
      </w:r>
    </w:p>
    <w:p w:rsidR="0081511D" w:rsidRPr="004F6025" w:rsidRDefault="0081511D" w:rsidP="00B26098">
      <w:pPr>
        <w:spacing w:after="0" w:line="240" w:lineRule="auto"/>
        <w:rPr>
          <w:rFonts w:eastAsia="MS Mincho" w:cs="Times New Roman"/>
          <w:noProof/>
          <w:szCs w:val="32"/>
          <w:lang w:val="fr-FR"/>
        </w:rPr>
      </w:pPr>
    </w:p>
    <w:tbl>
      <w:tblPr>
        <w:tblStyle w:val="TableGrid"/>
        <w:tblW w:w="9606" w:type="dxa"/>
        <w:tblLayout w:type="fixed"/>
        <w:tblLook w:val="04A0" w:firstRow="1" w:lastRow="0" w:firstColumn="1" w:lastColumn="0" w:noHBand="0" w:noVBand="1"/>
      </w:tblPr>
      <w:tblGrid>
        <w:gridCol w:w="2093"/>
        <w:gridCol w:w="7513"/>
      </w:tblGrid>
      <w:tr w:rsidR="00D103DA" w:rsidRPr="005F17ED" w:rsidTr="0091257E">
        <w:tc>
          <w:tcPr>
            <w:tcW w:w="2093" w:type="dxa"/>
            <w:tcBorders>
              <w:bottom w:val="single" w:sz="4" w:space="0" w:color="auto"/>
            </w:tcBorders>
            <w:shd w:val="clear" w:color="auto" w:fill="BFBFBF" w:themeFill="background1" w:themeFillShade="BF"/>
          </w:tcPr>
          <w:p w:rsidR="00D103DA" w:rsidRPr="00D103DA" w:rsidRDefault="00D103DA" w:rsidP="00893912">
            <w:pPr>
              <w:rPr>
                <w:rFonts w:eastAsia="MS Mincho" w:cs="Times New Roman"/>
                <w:b/>
                <w:noProof/>
                <w:szCs w:val="32"/>
                <w:lang w:val="fr-FR"/>
              </w:rPr>
            </w:pPr>
            <w:r w:rsidRPr="00D103DA">
              <w:rPr>
                <w:rFonts w:eastAsia="MS Mincho" w:cs="Times New Roman"/>
                <w:b/>
                <w:noProof/>
                <w:szCs w:val="32"/>
                <w:lang w:val="fr-FR"/>
              </w:rPr>
              <w:t xml:space="preserve">Description </w:t>
            </w:r>
            <w:r w:rsidR="00893912">
              <w:rPr>
                <w:rFonts w:eastAsia="MS Mincho" w:cs="Times New Roman"/>
                <w:b/>
                <w:noProof/>
                <w:szCs w:val="32"/>
                <w:lang w:val="fr-FR"/>
              </w:rPr>
              <w:t>de la pratique existante</w:t>
            </w:r>
          </w:p>
        </w:tc>
        <w:tc>
          <w:tcPr>
            <w:tcW w:w="7513" w:type="dxa"/>
            <w:tcBorders>
              <w:bottom w:val="single" w:sz="4" w:space="0" w:color="auto"/>
            </w:tcBorders>
          </w:tcPr>
          <w:p w:rsidR="00140482" w:rsidRDefault="00140482" w:rsidP="00140482">
            <w:pPr>
              <w:spacing w:before="120"/>
              <w:rPr>
                <w:rFonts w:eastAsia="MS Mincho" w:cs="Times New Roman"/>
                <w:noProof/>
                <w:szCs w:val="32"/>
                <w:lang w:val="fr-FR"/>
              </w:rPr>
            </w:pPr>
            <w:r>
              <w:rPr>
                <w:rFonts w:eastAsia="MS Mincho" w:cs="Times New Roman"/>
                <w:noProof/>
                <w:szCs w:val="32"/>
                <w:lang w:val="fr-FR"/>
              </w:rPr>
              <w:t xml:space="preserve">Euroclear </w:t>
            </w:r>
            <w:r w:rsidR="00732EE3">
              <w:rPr>
                <w:rFonts w:eastAsia="MS Mincho" w:cs="Times New Roman"/>
                <w:noProof/>
                <w:szCs w:val="32"/>
                <w:lang w:val="fr-FR"/>
              </w:rPr>
              <w:t xml:space="preserve">France </w:t>
            </w:r>
            <w:r>
              <w:rPr>
                <w:rFonts w:eastAsia="MS Mincho" w:cs="Times New Roman"/>
                <w:noProof/>
                <w:szCs w:val="32"/>
                <w:lang w:val="fr-FR"/>
              </w:rPr>
              <w:t xml:space="preserve">propose aujourd’hui </w:t>
            </w:r>
            <w:r w:rsidRPr="004B3BDA">
              <w:rPr>
                <w:rFonts w:eastAsia="MS Mincho" w:cs="Times New Roman"/>
                <w:noProof/>
                <w:szCs w:val="32"/>
                <w:lang w:val="fr-FR"/>
              </w:rPr>
              <w:t xml:space="preserve">un </w:t>
            </w:r>
            <w:r>
              <w:rPr>
                <w:rFonts w:eastAsia="MS Mincho" w:cs="Times New Roman"/>
                <w:noProof/>
                <w:szCs w:val="32"/>
                <w:lang w:val="fr-FR"/>
              </w:rPr>
              <w:t>module « pension livrée » pour traiter les contrats de cessions temporaires, permettant à ses participants d’instruire une seule fois le contrat, et non deux instructions séparées.</w:t>
            </w:r>
          </w:p>
          <w:p w:rsidR="00140482" w:rsidRDefault="00140482" w:rsidP="00140482">
            <w:pPr>
              <w:spacing w:before="120"/>
              <w:rPr>
                <w:rFonts w:eastAsia="MS Mincho" w:cs="Times New Roman"/>
                <w:noProof/>
                <w:szCs w:val="32"/>
                <w:lang w:val="fr-FR"/>
              </w:rPr>
            </w:pPr>
            <w:r>
              <w:rPr>
                <w:rFonts w:eastAsia="MS Mincho" w:cs="Times New Roman"/>
                <w:noProof/>
                <w:szCs w:val="32"/>
                <w:lang w:val="fr-FR"/>
              </w:rPr>
              <w:t>Ce module permet notamment :</w:t>
            </w:r>
          </w:p>
          <w:p w:rsidR="00140482" w:rsidRDefault="00140482" w:rsidP="00140482">
            <w:pPr>
              <w:pStyle w:val="ListParagraph"/>
              <w:numPr>
                <w:ilvl w:val="0"/>
                <w:numId w:val="3"/>
              </w:numPr>
              <w:spacing w:before="120"/>
              <w:ind w:left="318" w:hanging="284"/>
              <w:contextualSpacing w:val="0"/>
              <w:jc w:val="both"/>
              <w:rPr>
                <w:rFonts w:eastAsia="MS Mincho" w:cs="Times New Roman"/>
                <w:noProof/>
                <w:szCs w:val="32"/>
                <w:lang w:val="fr-FR"/>
              </w:rPr>
            </w:pPr>
            <w:r>
              <w:rPr>
                <w:rFonts w:eastAsia="MS Mincho" w:cs="Times New Roman"/>
                <w:noProof/>
                <w:szCs w:val="32"/>
                <w:lang w:val="fr-FR"/>
              </w:rPr>
              <w:t xml:space="preserve">de </w:t>
            </w:r>
            <w:r w:rsidRPr="001A225A">
              <w:rPr>
                <w:rFonts w:eastAsia="MS Mincho" w:cs="Times New Roman"/>
                <w:noProof/>
                <w:szCs w:val="32"/>
                <w:lang w:val="fr-FR"/>
              </w:rPr>
              <w:t>générer la 2ème jambe des cessions temporaires et de la lier à la première</w:t>
            </w:r>
            <w:r>
              <w:rPr>
                <w:rFonts w:eastAsia="MS Mincho" w:cs="Times New Roman"/>
                <w:noProof/>
                <w:szCs w:val="32"/>
                <w:lang w:val="fr-FR"/>
              </w:rPr>
              <w:t> ;</w:t>
            </w:r>
          </w:p>
          <w:p w:rsidR="00140482" w:rsidRDefault="00140482" w:rsidP="00140482">
            <w:pPr>
              <w:pStyle w:val="ListParagraph"/>
              <w:numPr>
                <w:ilvl w:val="0"/>
                <w:numId w:val="3"/>
              </w:numPr>
              <w:spacing w:before="120"/>
              <w:ind w:left="318" w:hanging="284"/>
              <w:contextualSpacing w:val="0"/>
              <w:jc w:val="both"/>
              <w:rPr>
                <w:rFonts w:eastAsia="MS Mincho" w:cs="Times New Roman"/>
                <w:noProof/>
                <w:szCs w:val="32"/>
                <w:lang w:val="fr-FR"/>
              </w:rPr>
            </w:pPr>
            <w:r>
              <w:rPr>
                <w:rFonts w:eastAsia="MS Mincho" w:cs="Times New Roman"/>
                <w:noProof/>
                <w:szCs w:val="32"/>
                <w:lang w:val="fr-FR"/>
              </w:rPr>
              <w:t>d’alimenter toutes les données nécessaires au règlement-livraison de la 2</w:t>
            </w:r>
            <w:r w:rsidRPr="001A225A">
              <w:rPr>
                <w:rFonts w:eastAsia="MS Mincho" w:cs="Times New Roman"/>
                <w:noProof/>
                <w:szCs w:val="32"/>
                <w:vertAlign w:val="superscript"/>
                <w:lang w:val="fr-FR"/>
              </w:rPr>
              <w:t>ème</w:t>
            </w:r>
            <w:r>
              <w:rPr>
                <w:rFonts w:eastAsia="MS Mincho" w:cs="Times New Roman"/>
                <w:noProof/>
                <w:szCs w:val="32"/>
                <w:lang w:val="fr-FR"/>
              </w:rPr>
              <w:t xml:space="preserve"> jambe, notamment la date de négociation (trade date) ;</w:t>
            </w:r>
          </w:p>
          <w:p w:rsidR="00140482" w:rsidRPr="001B34D3" w:rsidRDefault="00140482" w:rsidP="00140482">
            <w:pPr>
              <w:pStyle w:val="ListParagraph"/>
              <w:numPr>
                <w:ilvl w:val="0"/>
                <w:numId w:val="3"/>
              </w:numPr>
              <w:spacing w:before="120"/>
              <w:ind w:left="318" w:hanging="284"/>
              <w:contextualSpacing w:val="0"/>
              <w:jc w:val="both"/>
              <w:rPr>
                <w:rFonts w:eastAsia="MS Mincho" w:cs="Times New Roman"/>
                <w:noProof/>
                <w:szCs w:val="32"/>
                <w:lang w:val="fr-FR"/>
              </w:rPr>
            </w:pPr>
            <w:r w:rsidRPr="001B34D3">
              <w:rPr>
                <w:rFonts w:eastAsia="MS Mincho" w:cs="Times New Roman"/>
                <w:noProof/>
                <w:szCs w:val="32"/>
                <w:lang w:val="fr-FR"/>
              </w:rPr>
              <w:t>pour les contrats de repo</w:t>
            </w:r>
            <w:r w:rsidR="00BF4B2C">
              <w:rPr>
                <w:rFonts w:eastAsia="MS Mincho" w:cs="Times New Roman"/>
                <w:noProof/>
                <w:szCs w:val="32"/>
                <w:lang w:val="fr-FR"/>
              </w:rPr>
              <w:t>s à taux variable, d’assurer un</w:t>
            </w:r>
            <w:r w:rsidRPr="001B34D3">
              <w:rPr>
                <w:rFonts w:eastAsia="MS Mincho" w:cs="Times New Roman"/>
                <w:noProof/>
                <w:szCs w:val="32"/>
                <w:lang w:val="fr-FR"/>
              </w:rPr>
              <w:t xml:space="preserve"> </w:t>
            </w:r>
            <w:r w:rsidR="00BF4B2C">
              <w:rPr>
                <w:rFonts w:eastAsia="MS Mincho" w:cs="Times New Roman"/>
                <w:noProof/>
                <w:szCs w:val="32"/>
                <w:lang w:val="fr-FR"/>
              </w:rPr>
              <w:t xml:space="preserve">fixing </w:t>
            </w:r>
            <w:r w:rsidRPr="001B34D3">
              <w:rPr>
                <w:rFonts w:eastAsia="MS Mincho" w:cs="Times New Roman"/>
                <w:noProof/>
                <w:szCs w:val="32"/>
                <w:lang w:val="fr-FR"/>
              </w:rPr>
              <w:t>à J-1, par Euroclear et non par les participants. A noter que : Les instructions compensées par</w:t>
            </w:r>
            <w:r w:rsidR="00BF4B2C">
              <w:rPr>
                <w:rFonts w:eastAsia="MS Mincho" w:cs="Times New Roman"/>
                <w:noProof/>
                <w:szCs w:val="32"/>
                <w:lang w:val="fr-FR"/>
              </w:rPr>
              <w:t xml:space="preserve"> LCH.Clearnet font l’objet d’un</w:t>
            </w:r>
            <w:r w:rsidRPr="001B34D3">
              <w:rPr>
                <w:rFonts w:eastAsia="MS Mincho" w:cs="Times New Roman"/>
                <w:noProof/>
                <w:szCs w:val="32"/>
                <w:lang w:val="fr-FR"/>
              </w:rPr>
              <w:t xml:space="preserve"> </w:t>
            </w:r>
            <w:r w:rsidR="00BF4B2C">
              <w:rPr>
                <w:rFonts w:eastAsia="MS Mincho" w:cs="Times New Roman"/>
                <w:noProof/>
                <w:szCs w:val="32"/>
                <w:lang w:val="fr-FR"/>
              </w:rPr>
              <w:t xml:space="preserve">fixing </w:t>
            </w:r>
            <w:r w:rsidRPr="001B34D3">
              <w:rPr>
                <w:rFonts w:eastAsia="MS Mincho" w:cs="Times New Roman"/>
                <w:noProof/>
                <w:szCs w:val="32"/>
                <w:lang w:val="fr-FR"/>
              </w:rPr>
              <w:t>à J-1, opérée par LCH.Clearnet.</w:t>
            </w:r>
          </w:p>
          <w:p w:rsidR="00140482" w:rsidRDefault="00140482" w:rsidP="0091257E">
            <w:pPr>
              <w:spacing w:before="60" w:after="60"/>
              <w:rPr>
                <w:rFonts w:eastAsia="MS Mincho" w:cs="Times New Roman"/>
                <w:noProof/>
                <w:szCs w:val="32"/>
                <w:lang w:val="fr-FR"/>
              </w:rPr>
            </w:pPr>
            <w:r w:rsidRPr="001B34D3">
              <w:rPr>
                <w:rFonts w:eastAsia="MS Mincho" w:cs="Times New Roman"/>
                <w:i/>
                <w:noProof/>
                <w:szCs w:val="32"/>
                <w:lang w:val="fr-FR"/>
              </w:rPr>
              <w:t>NB : Dans les contrats de repurchase agreements (ou repos) à taux variable, le calcul de la rémunération s’appuie sur une moyenne arithmétique de taux au jour le jour sur toute la période du contrat. La détermination du dernier taux à intégrer dans le calcul de cette moyenne, soit le taux à appliquer au titre de la veille de la date de maturité, est appelé dans ce processus « cristallisation »</w:t>
            </w:r>
            <w:r w:rsidR="00BF4B2C">
              <w:rPr>
                <w:rFonts w:eastAsia="MS Mincho" w:cs="Times New Roman"/>
                <w:i/>
                <w:noProof/>
                <w:szCs w:val="32"/>
                <w:lang w:val="fr-FR"/>
              </w:rPr>
              <w:t xml:space="preserve"> ou fixing</w:t>
            </w:r>
            <w:r w:rsidRPr="001B34D3">
              <w:rPr>
                <w:rFonts w:eastAsia="MS Mincho" w:cs="Times New Roman"/>
                <w:i/>
                <w:noProof/>
                <w:szCs w:val="32"/>
                <w:lang w:val="fr-FR"/>
              </w:rPr>
              <w:t>.</w:t>
            </w:r>
            <w:r w:rsidR="00020084">
              <w:rPr>
                <w:rFonts w:eastAsia="MS Mincho" w:cs="Times New Roman"/>
                <w:noProof/>
                <w:szCs w:val="32"/>
                <w:lang w:val="fr-FR"/>
              </w:rPr>
              <w:t xml:space="preserve"> </w:t>
            </w:r>
          </w:p>
        </w:tc>
      </w:tr>
      <w:tr w:rsidR="00D103DA" w:rsidRPr="005F17ED" w:rsidTr="0091257E">
        <w:tc>
          <w:tcPr>
            <w:tcW w:w="2093" w:type="dxa"/>
            <w:tcBorders>
              <w:left w:val="nil"/>
              <w:right w:val="nil"/>
            </w:tcBorders>
          </w:tcPr>
          <w:p w:rsidR="00EC776F" w:rsidRPr="00D103DA" w:rsidRDefault="00EC776F" w:rsidP="00B26098">
            <w:pPr>
              <w:rPr>
                <w:rFonts w:eastAsia="MS Mincho" w:cs="Times New Roman"/>
                <w:b/>
                <w:noProof/>
                <w:szCs w:val="32"/>
                <w:lang w:val="fr-FR"/>
              </w:rPr>
            </w:pPr>
          </w:p>
        </w:tc>
        <w:tc>
          <w:tcPr>
            <w:tcW w:w="7513" w:type="dxa"/>
            <w:tcBorders>
              <w:left w:val="nil"/>
              <w:right w:val="nil"/>
            </w:tcBorders>
          </w:tcPr>
          <w:p w:rsidR="00D103DA" w:rsidRDefault="00D103DA" w:rsidP="00B26098">
            <w:pPr>
              <w:rPr>
                <w:rFonts w:eastAsia="MS Mincho" w:cs="Times New Roman"/>
                <w:noProof/>
                <w:szCs w:val="32"/>
                <w:lang w:val="fr-FR"/>
              </w:rPr>
            </w:pPr>
          </w:p>
        </w:tc>
      </w:tr>
      <w:tr w:rsidR="00893912" w:rsidRPr="005F17ED" w:rsidTr="0081511D">
        <w:tc>
          <w:tcPr>
            <w:tcW w:w="2093" w:type="dxa"/>
            <w:tcBorders>
              <w:bottom w:val="single" w:sz="4" w:space="0" w:color="auto"/>
            </w:tcBorders>
            <w:shd w:val="clear" w:color="auto" w:fill="BFBFBF" w:themeFill="background1" w:themeFillShade="BF"/>
          </w:tcPr>
          <w:p w:rsidR="00893912" w:rsidRPr="00D103DA" w:rsidRDefault="00893912" w:rsidP="00EC776F">
            <w:pPr>
              <w:rPr>
                <w:rFonts w:eastAsia="MS Mincho" w:cs="Times New Roman"/>
                <w:b/>
                <w:noProof/>
                <w:szCs w:val="32"/>
                <w:lang w:val="fr-FR"/>
              </w:rPr>
            </w:pPr>
            <w:r>
              <w:rPr>
                <w:rFonts w:eastAsia="MS Mincho" w:cs="Times New Roman"/>
                <w:b/>
                <w:noProof/>
                <w:szCs w:val="32"/>
                <w:lang w:val="fr-FR"/>
              </w:rPr>
              <w:t>Description de l’impact de T2S</w:t>
            </w:r>
          </w:p>
        </w:tc>
        <w:tc>
          <w:tcPr>
            <w:tcW w:w="7513" w:type="dxa"/>
            <w:tcBorders>
              <w:bottom w:val="single" w:sz="4" w:space="0" w:color="auto"/>
            </w:tcBorders>
          </w:tcPr>
          <w:p w:rsidR="00140482" w:rsidRDefault="00140482" w:rsidP="00140482">
            <w:pPr>
              <w:spacing w:before="120"/>
              <w:rPr>
                <w:rFonts w:eastAsia="MS Mincho" w:cs="Times New Roman"/>
                <w:noProof/>
                <w:szCs w:val="32"/>
                <w:lang w:val="fr-FR"/>
              </w:rPr>
            </w:pPr>
            <w:r>
              <w:rPr>
                <w:rFonts w:eastAsia="MS Mincho" w:cs="Times New Roman"/>
                <w:noProof/>
                <w:szCs w:val="32"/>
                <w:lang w:val="fr-FR"/>
              </w:rPr>
              <w:t>Le module Pension Livrée disparaît au profit d’un traitement en mode achat/vente.</w:t>
            </w:r>
          </w:p>
          <w:p w:rsidR="00140482" w:rsidRDefault="00140482" w:rsidP="00140482">
            <w:pPr>
              <w:spacing w:before="120"/>
              <w:rPr>
                <w:rFonts w:eastAsia="MS Mincho" w:cs="Times New Roman"/>
                <w:noProof/>
                <w:szCs w:val="32"/>
                <w:lang w:val="fr-FR"/>
              </w:rPr>
            </w:pPr>
            <w:r>
              <w:rPr>
                <w:rFonts w:eastAsia="MS Mincho" w:cs="Times New Roman"/>
                <w:noProof/>
                <w:szCs w:val="32"/>
                <w:lang w:val="fr-FR"/>
              </w:rPr>
              <w:t>A ce titre :</w:t>
            </w:r>
          </w:p>
          <w:p w:rsidR="00140482" w:rsidRDefault="00140482" w:rsidP="00140482">
            <w:pPr>
              <w:pStyle w:val="ListParagraph"/>
              <w:numPr>
                <w:ilvl w:val="0"/>
                <w:numId w:val="3"/>
              </w:numPr>
              <w:spacing w:before="120"/>
              <w:ind w:left="318" w:hanging="284"/>
              <w:contextualSpacing w:val="0"/>
              <w:jc w:val="both"/>
              <w:rPr>
                <w:rFonts w:eastAsia="MS Mincho" w:cs="Times New Roman"/>
                <w:noProof/>
                <w:szCs w:val="32"/>
                <w:lang w:val="fr-FR"/>
              </w:rPr>
            </w:pPr>
            <w:r>
              <w:rPr>
                <w:rFonts w:eastAsia="MS Mincho" w:cs="Times New Roman"/>
                <w:noProof/>
                <w:szCs w:val="32"/>
                <w:lang w:val="fr-FR"/>
              </w:rPr>
              <w:t>La 2</w:t>
            </w:r>
            <w:r w:rsidRPr="001A225A">
              <w:rPr>
                <w:rFonts w:eastAsia="MS Mincho" w:cs="Times New Roman"/>
                <w:noProof/>
                <w:szCs w:val="32"/>
                <w:vertAlign w:val="superscript"/>
                <w:lang w:val="fr-FR"/>
              </w:rPr>
              <w:t>ème</w:t>
            </w:r>
            <w:r>
              <w:rPr>
                <w:rFonts w:eastAsia="MS Mincho" w:cs="Times New Roman"/>
                <w:noProof/>
                <w:szCs w:val="32"/>
                <w:lang w:val="fr-FR"/>
              </w:rPr>
              <w:t xml:space="preserve"> jambe ne sera plus générée automatiquement ;</w:t>
            </w:r>
          </w:p>
          <w:p w:rsidR="00140482" w:rsidRDefault="00140482" w:rsidP="00140482">
            <w:pPr>
              <w:pStyle w:val="ListParagraph"/>
              <w:numPr>
                <w:ilvl w:val="0"/>
                <w:numId w:val="3"/>
              </w:numPr>
              <w:spacing w:before="120"/>
              <w:ind w:left="318" w:hanging="284"/>
              <w:contextualSpacing w:val="0"/>
              <w:jc w:val="both"/>
              <w:rPr>
                <w:rFonts w:eastAsia="MS Mincho" w:cs="Times New Roman"/>
                <w:noProof/>
                <w:szCs w:val="32"/>
                <w:lang w:val="fr-FR"/>
              </w:rPr>
            </w:pPr>
            <w:r>
              <w:rPr>
                <w:rFonts w:eastAsia="MS Mincho" w:cs="Times New Roman"/>
                <w:noProof/>
                <w:szCs w:val="32"/>
                <w:lang w:val="fr-FR"/>
              </w:rPr>
              <w:t>La date de négociation (trade date) de la 2</w:t>
            </w:r>
            <w:r w:rsidRPr="001B34D3">
              <w:rPr>
                <w:rFonts w:eastAsia="MS Mincho" w:cs="Times New Roman"/>
                <w:noProof/>
                <w:szCs w:val="32"/>
                <w:vertAlign w:val="superscript"/>
                <w:lang w:val="fr-FR"/>
              </w:rPr>
              <w:t>ème</w:t>
            </w:r>
            <w:r>
              <w:rPr>
                <w:rFonts w:eastAsia="MS Mincho" w:cs="Times New Roman"/>
                <w:noProof/>
                <w:szCs w:val="32"/>
                <w:lang w:val="fr-FR"/>
              </w:rPr>
              <w:t xml:space="preserve"> jambe ne sera plus alimentée </w:t>
            </w:r>
            <w:r>
              <w:rPr>
                <w:rFonts w:eastAsia="MS Mincho" w:cs="Times New Roman"/>
                <w:noProof/>
                <w:szCs w:val="32"/>
                <w:lang w:val="fr-FR"/>
              </w:rPr>
              <w:lastRenderedPageBreak/>
              <w:t>par Euroclear</w:t>
            </w:r>
            <w:r w:rsidR="00732EE3">
              <w:rPr>
                <w:rFonts w:eastAsia="MS Mincho" w:cs="Times New Roman"/>
                <w:noProof/>
                <w:szCs w:val="32"/>
                <w:lang w:val="fr-FR"/>
              </w:rPr>
              <w:t xml:space="preserve"> France</w:t>
            </w:r>
            <w:r>
              <w:rPr>
                <w:rFonts w:eastAsia="MS Mincho" w:cs="Times New Roman"/>
                <w:noProof/>
                <w:szCs w:val="32"/>
                <w:lang w:val="fr-FR"/>
              </w:rPr>
              <w:t> ;</w:t>
            </w:r>
          </w:p>
          <w:p w:rsidR="00140482" w:rsidRPr="00140482" w:rsidRDefault="00BF4B2C" w:rsidP="00BF4B2C">
            <w:pPr>
              <w:pStyle w:val="ListParagraph"/>
              <w:numPr>
                <w:ilvl w:val="0"/>
                <w:numId w:val="3"/>
              </w:numPr>
              <w:spacing w:before="120"/>
              <w:ind w:left="318" w:hanging="284"/>
              <w:contextualSpacing w:val="0"/>
              <w:jc w:val="both"/>
              <w:rPr>
                <w:rFonts w:eastAsia="MS Mincho" w:cs="Times New Roman"/>
                <w:noProof/>
                <w:szCs w:val="32"/>
                <w:lang w:val="fr-FR"/>
              </w:rPr>
            </w:pPr>
            <w:r>
              <w:rPr>
                <w:rFonts w:eastAsia="MS Mincho" w:cs="Times New Roman"/>
                <w:noProof/>
                <w:szCs w:val="32"/>
                <w:lang w:val="fr-FR"/>
              </w:rPr>
              <w:t>Le</w:t>
            </w:r>
            <w:r w:rsidR="00140482" w:rsidRPr="00140482">
              <w:rPr>
                <w:rFonts w:eastAsia="MS Mincho" w:cs="Times New Roman"/>
                <w:noProof/>
                <w:szCs w:val="32"/>
                <w:lang w:val="fr-FR"/>
              </w:rPr>
              <w:t xml:space="preserve"> </w:t>
            </w:r>
            <w:r>
              <w:rPr>
                <w:rFonts w:eastAsia="MS Mincho" w:cs="Times New Roman"/>
                <w:noProof/>
                <w:szCs w:val="32"/>
                <w:lang w:val="fr-FR"/>
              </w:rPr>
              <w:t>fixing ne sera plus opéré</w:t>
            </w:r>
            <w:r w:rsidR="00140482" w:rsidRPr="00140482">
              <w:rPr>
                <w:rFonts w:eastAsia="MS Mincho" w:cs="Times New Roman"/>
                <w:noProof/>
                <w:szCs w:val="32"/>
                <w:lang w:val="fr-FR"/>
              </w:rPr>
              <w:t xml:space="preserve"> par Euroclear</w:t>
            </w:r>
            <w:r w:rsidR="00732EE3">
              <w:rPr>
                <w:rFonts w:eastAsia="MS Mincho" w:cs="Times New Roman"/>
                <w:noProof/>
                <w:szCs w:val="32"/>
                <w:lang w:val="fr-FR"/>
              </w:rPr>
              <w:t xml:space="preserve"> France</w:t>
            </w:r>
            <w:r w:rsidR="00140482" w:rsidRPr="00140482">
              <w:rPr>
                <w:rFonts w:eastAsia="MS Mincho" w:cs="Times New Roman"/>
                <w:noProof/>
                <w:szCs w:val="32"/>
                <w:lang w:val="fr-FR"/>
              </w:rPr>
              <w:t>.</w:t>
            </w:r>
          </w:p>
        </w:tc>
      </w:tr>
      <w:tr w:rsidR="0081511D" w:rsidRPr="005F17ED" w:rsidTr="0081511D">
        <w:tc>
          <w:tcPr>
            <w:tcW w:w="2093" w:type="dxa"/>
            <w:tcBorders>
              <w:left w:val="nil"/>
              <w:right w:val="nil"/>
            </w:tcBorders>
            <w:shd w:val="clear" w:color="auto" w:fill="auto"/>
          </w:tcPr>
          <w:p w:rsidR="0081511D" w:rsidRDefault="0081511D" w:rsidP="00EC776F">
            <w:pPr>
              <w:rPr>
                <w:rFonts w:eastAsia="MS Mincho" w:cs="Times New Roman"/>
                <w:b/>
                <w:noProof/>
                <w:szCs w:val="32"/>
                <w:lang w:val="fr-FR"/>
              </w:rPr>
            </w:pPr>
          </w:p>
        </w:tc>
        <w:tc>
          <w:tcPr>
            <w:tcW w:w="7513" w:type="dxa"/>
            <w:tcBorders>
              <w:left w:val="nil"/>
              <w:right w:val="nil"/>
            </w:tcBorders>
            <w:shd w:val="clear" w:color="auto" w:fill="auto"/>
          </w:tcPr>
          <w:p w:rsidR="0081511D" w:rsidRPr="0081511D" w:rsidRDefault="0081511D" w:rsidP="0081511D">
            <w:pPr>
              <w:rPr>
                <w:rFonts w:eastAsia="MS Mincho" w:cs="Times New Roman"/>
                <w:b/>
                <w:noProof/>
                <w:szCs w:val="32"/>
                <w:lang w:val="fr-FR"/>
              </w:rPr>
            </w:pPr>
          </w:p>
        </w:tc>
      </w:tr>
      <w:tr w:rsidR="0081511D" w:rsidRPr="005F17ED" w:rsidTr="0081511D">
        <w:tc>
          <w:tcPr>
            <w:tcW w:w="2093" w:type="dxa"/>
            <w:shd w:val="clear" w:color="auto" w:fill="BFBFBF" w:themeFill="background1" w:themeFillShade="BF"/>
          </w:tcPr>
          <w:p w:rsidR="0081511D" w:rsidRDefault="0081511D" w:rsidP="00EC776F">
            <w:pPr>
              <w:rPr>
                <w:rFonts w:eastAsia="MS Mincho" w:cs="Times New Roman"/>
                <w:b/>
                <w:noProof/>
                <w:szCs w:val="32"/>
                <w:lang w:val="fr-FR"/>
              </w:rPr>
            </w:pPr>
            <w:r>
              <w:rPr>
                <w:rFonts w:eastAsia="MS Mincho" w:cs="Times New Roman"/>
                <w:b/>
                <w:noProof/>
                <w:szCs w:val="32"/>
                <w:lang w:val="fr-FR"/>
              </w:rPr>
              <w:t>Description de la problématique majeure</w:t>
            </w:r>
          </w:p>
        </w:tc>
        <w:tc>
          <w:tcPr>
            <w:tcW w:w="7513" w:type="dxa"/>
          </w:tcPr>
          <w:p w:rsidR="00140482" w:rsidRDefault="00140482" w:rsidP="00140482">
            <w:pPr>
              <w:spacing w:before="120"/>
              <w:jc w:val="both"/>
              <w:rPr>
                <w:rFonts w:eastAsia="MS Mincho" w:cs="Times New Roman"/>
                <w:noProof/>
                <w:szCs w:val="32"/>
                <w:lang w:val="fr-FR"/>
              </w:rPr>
            </w:pPr>
            <w:r>
              <w:rPr>
                <w:rFonts w:eastAsia="MS Mincho" w:cs="Times New Roman"/>
                <w:noProof/>
                <w:szCs w:val="32"/>
                <w:lang w:val="fr-FR"/>
              </w:rPr>
              <w:t>Le traitement des opérations de cessions temporaires en Euroclear France (notamment les pension livrées) à cheval sur la migration doit être adressé. Plusieurs établissements on</w:t>
            </w:r>
            <w:r w:rsidR="00732EE3">
              <w:rPr>
                <w:rFonts w:eastAsia="MS Mincho" w:cs="Times New Roman"/>
                <w:noProof/>
                <w:szCs w:val="32"/>
                <w:lang w:val="fr-FR"/>
              </w:rPr>
              <w:t>t</w:t>
            </w:r>
            <w:r>
              <w:rPr>
                <w:rFonts w:eastAsia="MS Mincho" w:cs="Times New Roman"/>
                <w:noProof/>
                <w:szCs w:val="32"/>
                <w:lang w:val="fr-FR"/>
              </w:rPr>
              <w:t xml:space="preserve"> signalé leur souhait que cette migration, sensible du fait de la nature des opérations concernées, gagnerait à être effectuée séparément de la migration d’Euroclear France vers T2S.</w:t>
            </w:r>
          </w:p>
          <w:p w:rsidR="00140482" w:rsidRDefault="00140482" w:rsidP="00140482">
            <w:pPr>
              <w:spacing w:before="120"/>
              <w:jc w:val="both"/>
              <w:rPr>
                <w:rFonts w:eastAsia="MS Mincho" w:cs="Times New Roman"/>
                <w:noProof/>
                <w:szCs w:val="32"/>
                <w:lang w:val="fr-FR"/>
              </w:rPr>
            </w:pPr>
            <w:r>
              <w:rPr>
                <w:rFonts w:eastAsia="MS Mincho" w:cs="Times New Roman"/>
                <w:noProof/>
                <w:szCs w:val="32"/>
                <w:lang w:val="fr-FR"/>
              </w:rPr>
              <w:t>Néanmoins, le module Pensions Livrées pourra continuer à être utilisé par les établissements, Euroclear France ne pouvant empêcher ses participants de l’utiliser jusqu’à la migration vers T2S.</w:t>
            </w:r>
          </w:p>
          <w:p w:rsidR="00140482" w:rsidRDefault="00140482" w:rsidP="00140482">
            <w:pPr>
              <w:spacing w:before="120"/>
              <w:jc w:val="both"/>
              <w:rPr>
                <w:rFonts w:eastAsia="MS Mincho" w:cs="Times New Roman"/>
                <w:noProof/>
                <w:szCs w:val="32"/>
                <w:lang w:val="fr-FR"/>
              </w:rPr>
            </w:pPr>
            <w:r>
              <w:rPr>
                <w:rFonts w:eastAsia="MS Mincho" w:cs="Times New Roman"/>
                <w:noProof/>
                <w:szCs w:val="32"/>
                <w:lang w:val="fr-FR"/>
              </w:rPr>
              <w:t>Concernant</w:t>
            </w:r>
            <w:r w:rsidR="00BF4B2C">
              <w:rPr>
                <w:rFonts w:eastAsia="MS Mincho" w:cs="Times New Roman"/>
                <w:noProof/>
                <w:szCs w:val="32"/>
                <w:lang w:val="fr-FR"/>
              </w:rPr>
              <w:t xml:space="preserve"> les repos à taux variable et le</w:t>
            </w:r>
            <w:r>
              <w:rPr>
                <w:rFonts w:eastAsia="MS Mincho" w:cs="Times New Roman"/>
                <w:noProof/>
                <w:szCs w:val="32"/>
                <w:lang w:val="fr-FR"/>
              </w:rPr>
              <w:t xml:space="preserve"> </w:t>
            </w:r>
            <w:r w:rsidR="00BF4B2C">
              <w:rPr>
                <w:rFonts w:eastAsia="MS Mincho" w:cs="Times New Roman"/>
                <w:noProof/>
                <w:szCs w:val="32"/>
                <w:lang w:val="fr-FR"/>
              </w:rPr>
              <w:t>fixing</w:t>
            </w:r>
            <w:r>
              <w:rPr>
                <w:rFonts w:eastAsia="MS Mincho" w:cs="Times New Roman"/>
                <w:noProof/>
                <w:szCs w:val="32"/>
                <w:lang w:val="fr-FR"/>
              </w:rPr>
              <w:t> :</w:t>
            </w:r>
          </w:p>
          <w:p w:rsidR="00140482" w:rsidRDefault="00140482" w:rsidP="00140482">
            <w:pPr>
              <w:pStyle w:val="ListParagraph"/>
              <w:numPr>
                <w:ilvl w:val="0"/>
                <w:numId w:val="3"/>
              </w:numPr>
              <w:spacing w:before="120"/>
              <w:ind w:left="318" w:hanging="284"/>
              <w:contextualSpacing w:val="0"/>
              <w:jc w:val="both"/>
              <w:rPr>
                <w:rFonts w:eastAsia="MS Mincho" w:cs="Times New Roman"/>
                <w:noProof/>
                <w:szCs w:val="32"/>
                <w:lang w:val="fr-FR"/>
              </w:rPr>
            </w:pPr>
            <w:r w:rsidRPr="00056190">
              <w:rPr>
                <w:rFonts w:eastAsia="MS Mincho" w:cs="Times New Roman"/>
                <w:noProof/>
                <w:szCs w:val="32"/>
                <w:lang w:val="fr-FR"/>
              </w:rPr>
              <w:t>L’instruction de retour de repos est une instruction de livraison contre paiement, le montant cash renseigné sur l’instruction intègrant le calcul de la rémunération.</w:t>
            </w:r>
          </w:p>
          <w:p w:rsidR="0081511D" w:rsidRPr="00140482" w:rsidRDefault="00140482" w:rsidP="00140482">
            <w:pPr>
              <w:pStyle w:val="ListParagraph"/>
              <w:numPr>
                <w:ilvl w:val="0"/>
                <w:numId w:val="3"/>
              </w:numPr>
              <w:spacing w:before="120"/>
              <w:ind w:left="318" w:hanging="284"/>
              <w:contextualSpacing w:val="0"/>
              <w:jc w:val="both"/>
              <w:rPr>
                <w:rFonts w:eastAsia="MS Mincho" w:cs="Times New Roman"/>
                <w:noProof/>
                <w:szCs w:val="32"/>
                <w:lang w:val="fr-FR"/>
              </w:rPr>
            </w:pPr>
            <w:r w:rsidRPr="00140482">
              <w:rPr>
                <w:rFonts w:eastAsia="MS Mincho" w:cs="Times New Roman"/>
                <w:noProof/>
                <w:szCs w:val="32"/>
                <w:lang w:val="fr-FR"/>
              </w:rPr>
              <w:t>Le montant cash sur une instruction de livraison contre paiement étant un critère de matching obligatoire, le risque lié à l’absence de pratique de marché commune à toutes les contreparties, est que les montants cash soient renseignés de façon différente par les deux contreparties et que l’instruction ne matche pas, entraînant un risque de suspens.</w:t>
            </w:r>
          </w:p>
        </w:tc>
      </w:tr>
      <w:tr w:rsidR="0081511D" w:rsidRPr="005F17ED" w:rsidTr="006542ED">
        <w:tc>
          <w:tcPr>
            <w:tcW w:w="2093" w:type="dxa"/>
            <w:tcBorders>
              <w:left w:val="nil"/>
              <w:right w:val="nil"/>
            </w:tcBorders>
            <w:shd w:val="clear" w:color="auto" w:fill="auto"/>
          </w:tcPr>
          <w:p w:rsidR="0081511D" w:rsidRDefault="0081511D" w:rsidP="006542ED">
            <w:pPr>
              <w:rPr>
                <w:rFonts w:eastAsia="MS Mincho" w:cs="Times New Roman"/>
                <w:b/>
                <w:noProof/>
                <w:szCs w:val="32"/>
                <w:lang w:val="fr-FR"/>
              </w:rPr>
            </w:pPr>
          </w:p>
        </w:tc>
        <w:tc>
          <w:tcPr>
            <w:tcW w:w="7513" w:type="dxa"/>
            <w:tcBorders>
              <w:left w:val="nil"/>
              <w:right w:val="nil"/>
            </w:tcBorders>
            <w:shd w:val="clear" w:color="auto" w:fill="auto"/>
          </w:tcPr>
          <w:p w:rsidR="0081511D" w:rsidRPr="0081511D" w:rsidRDefault="0081511D" w:rsidP="006542ED">
            <w:pPr>
              <w:rPr>
                <w:rFonts w:eastAsia="MS Mincho" w:cs="Times New Roman"/>
                <w:b/>
                <w:noProof/>
                <w:szCs w:val="32"/>
                <w:lang w:val="fr-FR"/>
              </w:rPr>
            </w:pPr>
          </w:p>
        </w:tc>
      </w:tr>
      <w:tr w:rsidR="0081511D" w:rsidRPr="0081511D" w:rsidTr="0081511D">
        <w:tc>
          <w:tcPr>
            <w:tcW w:w="2093" w:type="dxa"/>
            <w:shd w:val="clear" w:color="auto" w:fill="BFBFBF" w:themeFill="background1" w:themeFillShade="BF"/>
          </w:tcPr>
          <w:p w:rsidR="0081511D" w:rsidRDefault="0081511D" w:rsidP="006542ED">
            <w:pPr>
              <w:rPr>
                <w:rFonts w:eastAsia="MS Mincho" w:cs="Times New Roman"/>
                <w:b/>
                <w:noProof/>
                <w:szCs w:val="32"/>
                <w:lang w:val="fr-FR"/>
              </w:rPr>
            </w:pPr>
            <w:r>
              <w:rPr>
                <w:rFonts w:eastAsia="MS Mincho" w:cs="Times New Roman"/>
                <w:b/>
                <w:noProof/>
                <w:szCs w:val="32"/>
                <w:lang w:val="fr-FR"/>
              </w:rPr>
              <w:t xml:space="preserve">Description des rôles de toutes les parties prenantes </w:t>
            </w:r>
          </w:p>
          <w:p w:rsidR="0081511D" w:rsidRPr="00D103DA" w:rsidRDefault="0081511D" w:rsidP="006542ED">
            <w:pPr>
              <w:rPr>
                <w:rFonts w:eastAsia="MS Mincho" w:cs="Times New Roman"/>
                <w:b/>
                <w:noProof/>
                <w:szCs w:val="32"/>
                <w:lang w:val="fr-FR"/>
              </w:rPr>
            </w:pPr>
            <w:r>
              <w:rPr>
                <w:rFonts w:eastAsia="MS Mincho" w:cs="Times New Roman"/>
                <w:b/>
                <w:noProof/>
                <w:szCs w:val="32"/>
                <w:lang w:val="fr-FR"/>
              </w:rPr>
              <w:t>(FACULTATIF)</w:t>
            </w:r>
          </w:p>
        </w:tc>
        <w:tc>
          <w:tcPr>
            <w:tcW w:w="7513" w:type="dxa"/>
          </w:tcPr>
          <w:p w:rsidR="0081511D" w:rsidRDefault="0081511D" w:rsidP="006542ED">
            <w:pPr>
              <w:rPr>
                <w:rFonts w:eastAsia="MS Mincho" w:cs="Times New Roman"/>
                <w:noProof/>
                <w:szCs w:val="32"/>
                <w:lang w:val="fr-FR"/>
              </w:rPr>
            </w:pPr>
          </w:p>
          <w:p w:rsidR="0081511D" w:rsidRDefault="0081511D" w:rsidP="006542ED">
            <w:pPr>
              <w:rPr>
                <w:rFonts w:eastAsia="MS Mincho" w:cs="Times New Roman"/>
                <w:noProof/>
                <w:szCs w:val="32"/>
                <w:lang w:val="fr-FR"/>
              </w:rPr>
            </w:pPr>
          </w:p>
          <w:p w:rsidR="0081511D" w:rsidRDefault="0081511D" w:rsidP="006542ED">
            <w:pPr>
              <w:rPr>
                <w:rFonts w:eastAsia="MS Mincho" w:cs="Times New Roman"/>
                <w:noProof/>
                <w:szCs w:val="32"/>
                <w:lang w:val="fr-FR"/>
              </w:rPr>
            </w:pPr>
          </w:p>
          <w:p w:rsidR="0081511D" w:rsidRDefault="0081511D" w:rsidP="006542ED">
            <w:pPr>
              <w:rPr>
                <w:rFonts w:eastAsia="MS Mincho" w:cs="Times New Roman"/>
                <w:noProof/>
                <w:szCs w:val="32"/>
                <w:lang w:val="fr-FR"/>
              </w:rPr>
            </w:pPr>
          </w:p>
          <w:p w:rsidR="0081511D" w:rsidRDefault="0081511D" w:rsidP="006542ED">
            <w:pPr>
              <w:rPr>
                <w:rFonts w:eastAsia="MS Mincho" w:cs="Times New Roman"/>
                <w:noProof/>
                <w:szCs w:val="32"/>
                <w:lang w:val="fr-FR"/>
              </w:rPr>
            </w:pPr>
          </w:p>
        </w:tc>
      </w:tr>
      <w:tr w:rsidR="0081511D" w:rsidRPr="0081511D" w:rsidTr="006542ED">
        <w:tc>
          <w:tcPr>
            <w:tcW w:w="2093" w:type="dxa"/>
            <w:tcBorders>
              <w:left w:val="nil"/>
              <w:right w:val="nil"/>
            </w:tcBorders>
            <w:shd w:val="clear" w:color="auto" w:fill="auto"/>
          </w:tcPr>
          <w:p w:rsidR="0081511D" w:rsidRDefault="0081511D" w:rsidP="006542ED">
            <w:pPr>
              <w:rPr>
                <w:rFonts w:eastAsia="MS Mincho" w:cs="Times New Roman"/>
                <w:b/>
                <w:noProof/>
                <w:szCs w:val="32"/>
                <w:lang w:val="fr-FR"/>
              </w:rPr>
            </w:pPr>
          </w:p>
        </w:tc>
        <w:tc>
          <w:tcPr>
            <w:tcW w:w="7513" w:type="dxa"/>
            <w:tcBorders>
              <w:left w:val="nil"/>
              <w:right w:val="nil"/>
            </w:tcBorders>
            <w:shd w:val="clear" w:color="auto" w:fill="auto"/>
          </w:tcPr>
          <w:p w:rsidR="0081511D" w:rsidRPr="0081511D" w:rsidRDefault="0081511D" w:rsidP="006542ED">
            <w:pPr>
              <w:rPr>
                <w:rFonts w:eastAsia="MS Mincho" w:cs="Times New Roman"/>
                <w:b/>
                <w:noProof/>
                <w:szCs w:val="32"/>
                <w:lang w:val="fr-FR"/>
              </w:rPr>
            </w:pPr>
          </w:p>
        </w:tc>
      </w:tr>
      <w:tr w:rsidR="0081511D" w:rsidRPr="0081511D" w:rsidTr="0081511D">
        <w:tc>
          <w:tcPr>
            <w:tcW w:w="2093" w:type="dxa"/>
            <w:shd w:val="clear" w:color="auto" w:fill="BFBFBF" w:themeFill="background1" w:themeFillShade="BF"/>
          </w:tcPr>
          <w:p w:rsidR="0081511D" w:rsidRDefault="0081511D" w:rsidP="006542ED">
            <w:pPr>
              <w:rPr>
                <w:rFonts w:eastAsia="MS Mincho" w:cs="Times New Roman"/>
                <w:b/>
                <w:noProof/>
                <w:szCs w:val="32"/>
                <w:lang w:val="fr-FR"/>
              </w:rPr>
            </w:pPr>
            <w:r>
              <w:rPr>
                <w:rFonts w:eastAsia="MS Mincho" w:cs="Times New Roman"/>
                <w:b/>
                <w:noProof/>
                <w:szCs w:val="32"/>
                <w:lang w:val="fr-FR"/>
              </w:rPr>
              <w:t>Schéma des flux</w:t>
            </w:r>
          </w:p>
          <w:p w:rsidR="0081511D" w:rsidRDefault="0081511D" w:rsidP="006542ED">
            <w:pPr>
              <w:rPr>
                <w:rFonts w:eastAsia="MS Mincho" w:cs="Times New Roman"/>
                <w:b/>
                <w:noProof/>
                <w:szCs w:val="32"/>
                <w:lang w:val="fr-FR"/>
              </w:rPr>
            </w:pPr>
            <w:r>
              <w:rPr>
                <w:rFonts w:eastAsia="MS Mincho" w:cs="Times New Roman"/>
                <w:b/>
                <w:noProof/>
                <w:szCs w:val="32"/>
                <w:lang w:val="fr-FR"/>
              </w:rPr>
              <w:t>(FACULTATIF)</w:t>
            </w:r>
          </w:p>
        </w:tc>
        <w:tc>
          <w:tcPr>
            <w:tcW w:w="7513" w:type="dxa"/>
          </w:tcPr>
          <w:p w:rsidR="0081511D" w:rsidRPr="00FD2FD6" w:rsidRDefault="0081511D" w:rsidP="0081511D">
            <w:pPr>
              <w:rPr>
                <w:rFonts w:eastAsia="MS Mincho" w:cs="Times New Roman"/>
                <w:noProof/>
                <w:szCs w:val="32"/>
                <w:lang w:val="fr-FR"/>
              </w:rPr>
            </w:pPr>
          </w:p>
        </w:tc>
      </w:tr>
      <w:tr w:rsidR="0081511D" w:rsidRPr="0081511D" w:rsidTr="006542ED">
        <w:tc>
          <w:tcPr>
            <w:tcW w:w="2093" w:type="dxa"/>
            <w:tcBorders>
              <w:left w:val="nil"/>
              <w:right w:val="nil"/>
            </w:tcBorders>
            <w:shd w:val="clear" w:color="auto" w:fill="auto"/>
          </w:tcPr>
          <w:p w:rsidR="0081511D" w:rsidRDefault="0081511D" w:rsidP="006542ED">
            <w:pPr>
              <w:rPr>
                <w:rFonts w:eastAsia="MS Mincho" w:cs="Times New Roman"/>
                <w:b/>
                <w:noProof/>
                <w:szCs w:val="32"/>
                <w:lang w:val="fr-FR"/>
              </w:rPr>
            </w:pPr>
          </w:p>
        </w:tc>
        <w:tc>
          <w:tcPr>
            <w:tcW w:w="7513" w:type="dxa"/>
            <w:tcBorders>
              <w:left w:val="nil"/>
              <w:right w:val="nil"/>
            </w:tcBorders>
            <w:shd w:val="clear" w:color="auto" w:fill="auto"/>
          </w:tcPr>
          <w:p w:rsidR="0081511D" w:rsidRPr="0081511D" w:rsidRDefault="0081511D" w:rsidP="006542ED">
            <w:pPr>
              <w:rPr>
                <w:rFonts w:eastAsia="MS Mincho" w:cs="Times New Roman"/>
                <w:b/>
                <w:noProof/>
                <w:szCs w:val="32"/>
                <w:lang w:val="fr-FR"/>
              </w:rPr>
            </w:pPr>
          </w:p>
        </w:tc>
      </w:tr>
      <w:tr w:rsidR="0081511D" w:rsidRPr="005F17ED" w:rsidTr="0091257E">
        <w:tc>
          <w:tcPr>
            <w:tcW w:w="2093" w:type="dxa"/>
            <w:tcBorders>
              <w:bottom w:val="single" w:sz="4" w:space="0" w:color="auto"/>
            </w:tcBorders>
            <w:shd w:val="clear" w:color="auto" w:fill="BFBFBF" w:themeFill="background1" w:themeFillShade="BF"/>
          </w:tcPr>
          <w:p w:rsidR="0081511D" w:rsidRDefault="0081511D" w:rsidP="00EC776F">
            <w:pPr>
              <w:rPr>
                <w:rFonts w:eastAsia="MS Mincho" w:cs="Times New Roman"/>
                <w:b/>
                <w:noProof/>
                <w:szCs w:val="32"/>
                <w:lang w:val="fr-FR"/>
              </w:rPr>
            </w:pPr>
            <w:r>
              <w:rPr>
                <w:rFonts w:eastAsia="MS Mincho" w:cs="Times New Roman"/>
                <w:b/>
                <w:noProof/>
                <w:szCs w:val="32"/>
                <w:lang w:val="fr-FR"/>
              </w:rPr>
              <w:t>Liens avec d’autres pratiques</w:t>
            </w:r>
          </w:p>
        </w:tc>
        <w:tc>
          <w:tcPr>
            <w:tcW w:w="7513" w:type="dxa"/>
            <w:tcBorders>
              <w:bottom w:val="single" w:sz="4" w:space="0" w:color="auto"/>
            </w:tcBorders>
          </w:tcPr>
          <w:p w:rsidR="0081511D" w:rsidRDefault="00140482" w:rsidP="0091257E">
            <w:pPr>
              <w:spacing w:before="60" w:after="60"/>
              <w:jc w:val="both"/>
              <w:rPr>
                <w:rFonts w:eastAsia="MS Mincho" w:cs="Times New Roman"/>
                <w:noProof/>
                <w:szCs w:val="32"/>
                <w:lang w:val="fr-FR"/>
              </w:rPr>
            </w:pPr>
            <w:r w:rsidRPr="00FE1BB5">
              <w:rPr>
                <w:rFonts w:eastAsia="MS Mincho" w:cs="Times New Roman"/>
                <w:noProof/>
                <w:szCs w:val="32"/>
                <w:lang w:val="fr-FR"/>
              </w:rPr>
              <w:t>MS-SETTL-</w:t>
            </w:r>
            <w:r>
              <w:rPr>
                <w:rFonts w:eastAsia="MS Mincho" w:cs="Times New Roman"/>
                <w:noProof/>
                <w:szCs w:val="32"/>
                <w:lang w:val="fr-FR"/>
              </w:rPr>
              <w:t>CESSIONSTEMP</w:t>
            </w:r>
            <w:r w:rsidRPr="00FE1BB5">
              <w:rPr>
                <w:rFonts w:eastAsia="MS Mincho" w:cs="Times New Roman"/>
                <w:noProof/>
                <w:szCs w:val="32"/>
                <w:lang w:val="fr-FR"/>
              </w:rPr>
              <w:t>-02</w:t>
            </w:r>
            <w:r w:rsidR="00F75B7B">
              <w:rPr>
                <w:rFonts w:eastAsia="MS Mincho" w:cs="Times New Roman"/>
                <w:noProof/>
                <w:szCs w:val="32"/>
                <w:lang w:val="fr-FR"/>
              </w:rPr>
              <w:t> : Traitement post-T2S des cessions temporaires</w:t>
            </w:r>
          </w:p>
        </w:tc>
      </w:tr>
    </w:tbl>
    <w:p w:rsidR="001E0D83" w:rsidRDefault="001E0D83" w:rsidP="00D103DA">
      <w:pPr>
        <w:spacing w:after="0" w:line="240" w:lineRule="auto"/>
        <w:rPr>
          <w:rFonts w:eastAsia="MS Mincho" w:cs="Times New Roman"/>
          <w:noProof/>
          <w:szCs w:val="32"/>
          <w:lang w:val="fr-FR"/>
        </w:rPr>
      </w:pPr>
    </w:p>
    <w:p w:rsidR="0081511D" w:rsidRDefault="0081511D" w:rsidP="00D103DA">
      <w:pPr>
        <w:spacing w:after="0" w:line="240" w:lineRule="auto"/>
        <w:rPr>
          <w:rFonts w:eastAsia="MS Mincho" w:cs="Times New Roman"/>
          <w:noProof/>
          <w:szCs w:val="32"/>
          <w:lang w:val="fr-FR"/>
        </w:rPr>
      </w:pPr>
    </w:p>
    <w:p w:rsidR="0081511D" w:rsidRPr="004F6025" w:rsidRDefault="0081511D" w:rsidP="0081511D">
      <w:pPr>
        <w:pStyle w:val="ListParagraph"/>
        <w:numPr>
          <w:ilvl w:val="0"/>
          <w:numId w:val="1"/>
        </w:numPr>
        <w:spacing w:after="0" w:line="240" w:lineRule="auto"/>
        <w:ind w:left="284" w:hanging="284"/>
        <w:rPr>
          <w:rFonts w:eastAsia="MS Mincho" w:cs="Times New Roman"/>
          <w:b/>
          <w:caps/>
          <w:noProof/>
          <w:sz w:val="32"/>
          <w:szCs w:val="32"/>
          <w:lang w:val="fr-FR"/>
        </w:rPr>
      </w:pPr>
      <w:r>
        <w:rPr>
          <w:rFonts w:eastAsia="MS Mincho" w:cs="Times New Roman"/>
          <w:b/>
          <w:caps/>
          <w:noProof/>
          <w:sz w:val="32"/>
          <w:szCs w:val="32"/>
          <w:lang w:val="fr-FR"/>
        </w:rPr>
        <w:t>proposition de pratique de marché</w:t>
      </w:r>
    </w:p>
    <w:p w:rsidR="0081511D" w:rsidRDefault="0081511D" w:rsidP="00D103DA">
      <w:pPr>
        <w:spacing w:after="0" w:line="240" w:lineRule="auto"/>
        <w:rPr>
          <w:rFonts w:eastAsia="MS Mincho" w:cs="Times New Roman"/>
          <w:noProof/>
          <w:szCs w:val="32"/>
          <w:lang w:val="fr-FR"/>
        </w:rPr>
      </w:pPr>
    </w:p>
    <w:tbl>
      <w:tblPr>
        <w:tblStyle w:val="TableGrid"/>
        <w:tblW w:w="9606" w:type="dxa"/>
        <w:tblLook w:val="04A0" w:firstRow="1" w:lastRow="0" w:firstColumn="1" w:lastColumn="0" w:noHBand="0" w:noVBand="1"/>
      </w:tblPr>
      <w:tblGrid>
        <w:gridCol w:w="2093"/>
        <w:gridCol w:w="7483"/>
        <w:gridCol w:w="30"/>
      </w:tblGrid>
      <w:tr w:rsidR="001E0D83" w:rsidRPr="005F17ED" w:rsidTr="0081511D">
        <w:trPr>
          <w:gridAfter w:val="1"/>
          <w:wAfter w:w="30" w:type="dxa"/>
        </w:trPr>
        <w:tc>
          <w:tcPr>
            <w:tcW w:w="2093" w:type="dxa"/>
            <w:shd w:val="clear" w:color="auto" w:fill="BFBFBF" w:themeFill="background1" w:themeFillShade="BF"/>
          </w:tcPr>
          <w:p w:rsidR="001E0D83" w:rsidRPr="00D103DA" w:rsidRDefault="0091257E" w:rsidP="00EC776F">
            <w:pPr>
              <w:rPr>
                <w:rFonts w:eastAsia="MS Mincho" w:cs="Times New Roman"/>
                <w:b/>
                <w:noProof/>
                <w:szCs w:val="32"/>
                <w:lang w:val="fr-FR"/>
              </w:rPr>
            </w:pPr>
            <w:r>
              <w:rPr>
                <w:rFonts w:eastAsia="MS Mincho" w:cs="Times New Roman"/>
                <w:b/>
                <w:noProof/>
                <w:szCs w:val="32"/>
                <w:lang w:val="fr-FR"/>
              </w:rPr>
              <w:t>Pratique</w:t>
            </w:r>
            <w:r w:rsidR="00BA66D3">
              <w:rPr>
                <w:rFonts w:eastAsia="MS Mincho" w:cs="Times New Roman"/>
                <w:b/>
                <w:noProof/>
                <w:szCs w:val="32"/>
                <w:lang w:val="fr-FR"/>
              </w:rPr>
              <w:t xml:space="preserve"> </w:t>
            </w:r>
            <w:r w:rsidR="001E0D83">
              <w:rPr>
                <w:rFonts w:eastAsia="MS Mincho" w:cs="Times New Roman"/>
                <w:b/>
                <w:noProof/>
                <w:szCs w:val="32"/>
                <w:lang w:val="fr-FR"/>
              </w:rPr>
              <w:t>recommandé</w:t>
            </w:r>
            <w:r w:rsidR="00BA66D3">
              <w:rPr>
                <w:rFonts w:eastAsia="MS Mincho" w:cs="Times New Roman"/>
                <w:b/>
                <w:noProof/>
                <w:szCs w:val="32"/>
                <w:lang w:val="fr-FR"/>
              </w:rPr>
              <w:t>e</w:t>
            </w:r>
          </w:p>
        </w:tc>
        <w:tc>
          <w:tcPr>
            <w:tcW w:w="7483" w:type="dxa"/>
          </w:tcPr>
          <w:p w:rsidR="00140482" w:rsidRDefault="00732EE3" w:rsidP="00140482">
            <w:pPr>
              <w:spacing w:before="120"/>
              <w:jc w:val="both"/>
              <w:rPr>
                <w:rFonts w:eastAsia="MS Mincho" w:cs="Times New Roman"/>
                <w:i/>
                <w:noProof/>
                <w:szCs w:val="32"/>
                <w:lang w:val="fr-FR"/>
              </w:rPr>
            </w:pPr>
            <w:r w:rsidRPr="00EF1203">
              <w:rPr>
                <w:rFonts w:eastAsia="MS Mincho" w:cs="Times New Roman"/>
                <w:i/>
                <w:noProof/>
                <w:szCs w:val="32"/>
                <w:lang w:val="fr-FR"/>
              </w:rPr>
              <w:t>NB</w:t>
            </w:r>
            <w:r>
              <w:rPr>
                <w:rFonts w:eastAsia="MS Mincho" w:cs="Times New Roman"/>
                <w:i/>
                <w:noProof/>
                <w:szCs w:val="32"/>
                <w:lang w:val="fr-FR"/>
              </w:rPr>
              <w:t>1</w:t>
            </w:r>
            <w:r w:rsidR="00140482" w:rsidRPr="00EF1203">
              <w:rPr>
                <w:rFonts w:eastAsia="MS Mincho" w:cs="Times New Roman"/>
                <w:i/>
                <w:noProof/>
                <w:szCs w:val="32"/>
                <w:lang w:val="fr-FR"/>
              </w:rPr>
              <w:t xml:space="preserve">: Pour des facilités de présentation, la notion de ‘bascule’ dans la présente fiche fait référence au passage des </w:t>
            </w:r>
            <w:r w:rsidR="00140482">
              <w:rPr>
                <w:rFonts w:eastAsia="MS Mincho" w:cs="Times New Roman"/>
                <w:i/>
                <w:noProof/>
                <w:szCs w:val="32"/>
                <w:lang w:val="fr-FR"/>
              </w:rPr>
              <w:t xml:space="preserve">cessions temporaires </w:t>
            </w:r>
            <w:r w:rsidR="00140482" w:rsidRPr="00EF1203">
              <w:rPr>
                <w:rFonts w:eastAsia="MS Mincho" w:cs="Times New Roman"/>
                <w:i/>
                <w:noProof/>
                <w:szCs w:val="32"/>
                <w:lang w:val="fr-FR"/>
              </w:rPr>
              <w:t xml:space="preserve">en mode </w:t>
            </w:r>
            <w:r w:rsidR="00140482">
              <w:rPr>
                <w:rFonts w:eastAsia="MS Mincho" w:cs="Times New Roman"/>
                <w:i/>
                <w:noProof/>
                <w:szCs w:val="32"/>
                <w:lang w:val="fr-FR"/>
              </w:rPr>
              <w:t>achat / vente</w:t>
            </w:r>
            <w:r w:rsidR="00140482" w:rsidRPr="00EF1203">
              <w:rPr>
                <w:rFonts w:eastAsia="MS Mincho" w:cs="Times New Roman"/>
                <w:i/>
                <w:noProof/>
                <w:szCs w:val="32"/>
                <w:lang w:val="fr-FR"/>
              </w:rPr>
              <w:t xml:space="preserve">, et la notion de ‘migration’ fait référence à la migration d’Euroclear France </w:t>
            </w:r>
            <w:r w:rsidR="00140482">
              <w:rPr>
                <w:rFonts w:eastAsia="MS Mincho" w:cs="Times New Roman"/>
                <w:i/>
                <w:noProof/>
                <w:szCs w:val="32"/>
                <w:lang w:val="fr-FR"/>
              </w:rPr>
              <w:t>ve</w:t>
            </w:r>
            <w:r w:rsidR="00140482" w:rsidRPr="00EF1203">
              <w:rPr>
                <w:rFonts w:eastAsia="MS Mincho" w:cs="Times New Roman"/>
                <w:i/>
                <w:noProof/>
                <w:szCs w:val="32"/>
                <w:lang w:val="fr-FR"/>
              </w:rPr>
              <w:t>r</w:t>
            </w:r>
            <w:r w:rsidR="00140482">
              <w:rPr>
                <w:rFonts w:eastAsia="MS Mincho" w:cs="Times New Roman"/>
                <w:i/>
                <w:noProof/>
                <w:szCs w:val="32"/>
                <w:lang w:val="fr-FR"/>
              </w:rPr>
              <w:t>s</w:t>
            </w:r>
            <w:r w:rsidR="00140482" w:rsidRPr="00EF1203">
              <w:rPr>
                <w:rFonts w:eastAsia="MS Mincho" w:cs="Times New Roman"/>
                <w:i/>
                <w:noProof/>
                <w:szCs w:val="32"/>
                <w:lang w:val="fr-FR"/>
              </w:rPr>
              <w:t xml:space="preserve"> T2S.</w:t>
            </w:r>
          </w:p>
          <w:p w:rsidR="00320A0A" w:rsidRDefault="00320A0A" w:rsidP="00140482">
            <w:pPr>
              <w:spacing w:before="120"/>
              <w:jc w:val="both"/>
              <w:rPr>
                <w:rFonts w:eastAsia="MS Mincho" w:cs="Times New Roman"/>
                <w:i/>
                <w:noProof/>
                <w:szCs w:val="32"/>
                <w:lang w:val="fr-FR"/>
              </w:rPr>
            </w:pPr>
            <w:r>
              <w:rPr>
                <w:rFonts w:eastAsia="MS Mincho" w:cs="Times New Roman"/>
                <w:i/>
                <w:noProof/>
                <w:szCs w:val="32"/>
                <w:lang w:val="fr-FR"/>
              </w:rPr>
              <w:t xml:space="preserve">NB2 : La présente version de la pratique ne traite pas des contrats négociés en </w:t>
            </w:r>
            <w:r>
              <w:rPr>
                <w:rFonts w:eastAsia="MS Mincho" w:cs="Times New Roman"/>
                <w:i/>
                <w:noProof/>
                <w:szCs w:val="32"/>
                <w:lang w:val="fr-FR"/>
              </w:rPr>
              <w:lastRenderedPageBreak/>
              <w:t>Buy &amp; Sell-Back, dont le cas est à l’étude.</w:t>
            </w:r>
          </w:p>
          <w:p w:rsidR="00140482" w:rsidRPr="00EF1203" w:rsidRDefault="00140482" w:rsidP="00140482">
            <w:pPr>
              <w:spacing w:before="120"/>
              <w:jc w:val="both"/>
              <w:rPr>
                <w:rFonts w:eastAsia="MS Mincho" w:cs="Times New Roman"/>
                <w:i/>
                <w:noProof/>
                <w:szCs w:val="32"/>
                <w:lang w:val="fr-FR"/>
              </w:rPr>
            </w:pPr>
          </w:p>
          <w:p w:rsidR="00140482" w:rsidRDefault="00140482" w:rsidP="00140482">
            <w:pPr>
              <w:spacing w:before="120"/>
              <w:jc w:val="both"/>
              <w:rPr>
                <w:rFonts w:eastAsia="MS Mincho" w:cs="Times New Roman"/>
                <w:noProof/>
                <w:szCs w:val="32"/>
                <w:lang w:val="fr-FR"/>
              </w:rPr>
            </w:pPr>
            <w:r w:rsidRPr="003211A7">
              <w:rPr>
                <w:rFonts w:eastAsia="MS Mincho" w:cs="Times New Roman"/>
                <w:noProof/>
                <w:szCs w:val="32"/>
                <w:lang w:val="fr-FR"/>
              </w:rPr>
              <w:t xml:space="preserve">Les établissements de la </w:t>
            </w:r>
            <w:r w:rsidR="00732EE3">
              <w:rPr>
                <w:rFonts w:eastAsia="MS Mincho" w:cs="Times New Roman"/>
                <w:noProof/>
                <w:szCs w:val="32"/>
                <w:lang w:val="fr-FR"/>
              </w:rPr>
              <w:t>P</w:t>
            </w:r>
            <w:r w:rsidRPr="003211A7">
              <w:rPr>
                <w:rFonts w:eastAsia="MS Mincho" w:cs="Times New Roman"/>
                <w:noProof/>
                <w:szCs w:val="32"/>
                <w:lang w:val="fr-FR"/>
              </w:rPr>
              <w:t xml:space="preserve">lace française proposent que les contrats de </w:t>
            </w:r>
            <w:r>
              <w:rPr>
                <w:rFonts w:eastAsia="MS Mincho" w:cs="Times New Roman"/>
                <w:noProof/>
                <w:szCs w:val="32"/>
                <w:lang w:val="fr-FR"/>
              </w:rPr>
              <w:t xml:space="preserve">cessions temporaires </w:t>
            </w:r>
            <w:r w:rsidRPr="003211A7">
              <w:rPr>
                <w:rFonts w:eastAsia="MS Mincho" w:cs="Times New Roman"/>
                <w:noProof/>
                <w:szCs w:val="32"/>
                <w:lang w:val="fr-FR"/>
              </w:rPr>
              <w:t xml:space="preserve">aujourd’hui instruits dans le module Pensions Livrées d’Euroclear France soient instruits en mode </w:t>
            </w:r>
            <w:r>
              <w:rPr>
                <w:rFonts w:eastAsia="MS Mincho" w:cs="Times New Roman"/>
                <w:noProof/>
                <w:szCs w:val="32"/>
                <w:lang w:val="fr-FR"/>
              </w:rPr>
              <w:t>achat / vente</w:t>
            </w:r>
            <w:r w:rsidRPr="003211A7">
              <w:rPr>
                <w:rFonts w:eastAsia="MS Mincho" w:cs="Times New Roman"/>
                <w:noProof/>
                <w:szCs w:val="32"/>
                <w:lang w:val="fr-FR"/>
              </w:rPr>
              <w:t xml:space="preserve"> (2 instructions) en amont de la </w:t>
            </w:r>
            <w:r>
              <w:rPr>
                <w:rFonts w:eastAsia="MS Mincho" w:cs="Times New Roman"/>
                <w:noProof/>
                <w:szCs w:val="32"/>
                <w:lang w:val="fr-FR"/>
              </w:rPr>
              <w:t xml:space="preserve">migration vers </w:t>
            </w:r>
            <w:r w:rsidRPr="003211A7">
              <w:rPr>
                <w:rFonts w:eastAsia="MS Mincho" w:cs="Times New Roman"/>
                <w:noProof/>
                <w:szCs w:val="32"/>
                <w:lang w:val="fr-FR"/>
              </w:rPr>
              <w:t xml:space="preserve">T2S, soit </w:t>
            </w:r>
            <w:r w:rsidRPr="00372842">
              <w:rPr>
                <w:rFonts w:eastAsia="MS Mincho" w:cs="Times New Roman"/>
                <w:noProof/>
                <w:szCs w:val="32"/>
                <w:lang w:val="fr-FR"/>
              </w:rPr>
              <w:t xml:space="preserve">le </w:t>
            </w:r>
            <w:r w:rsidRPr="00EF1203">
              <w:rPr>
                <w:rFonts w:eastAsia="MS Mincho" w:cs="Times New Roman"/>
                <w:b/>
                <w:noProof/>
                <w:szCs w:val="32"/>
                <w:lang w:val="fr-FR"/>
              </w:rPr>
              <w:t>9 mai 2016</w:t>
            </w:r>
            <w:r w:rsidRPr="003211A7">
              <w:rPr>
                <w:rFonts w:eastAsia="MS Mincho" w:cs="Times New Roman"/>
                <w:noProof/>
                <w:szCs w:val="32"/>
                <w:lang w:val="fr-FR"/>
              </w:rPr>
              <w:t xml:space="preserve">. Cette pratique permettrait de réduire le stock de contrats impactés, la plupart des contrats devant arriver à maturité ou tomber avant terme préalablement à la </w:t>
            </w:r>
            <w:r>
              <w:rPr>
                <w:rFonts w:eastAsia="MS Mincho" w:cs="Times New Roman"/>
                <w:noProof/>
                <w:szCs w:val="32"/>
                <w:lang w:val="fr-FR"/>
              </w:rPr>
              <w:t xml:space="preserve">migration </w:t>
            </w:r>
            <w:r w:rsidRPr="003211A7">
              <w:rPr>
                <w:rFonts w:eastAsia="MS Mincho" w:cs="Times New Roman"/>
                <w:noProof/>
                <w:szCs w:val="32"/>
                <w:lang w:val="fr-FR"/>
              </w:rPr>
              <w:t>vers T2S.</w:t>
            </w:r>
          </w:p>
          <w:p w:rsidR="00140482" w:rsidRDefault="00140482" w:rsidP="00140482">
            <w:pPr>
              <w:spacing w:before="120"/>
              <w:jc w:val="both"/>
              <w:rPr>
                <w:rFonts w:eastAsia="MS Mincho" w:cs="Times New Roman"/>
                <w:noProof/>
                <w:szCs w:val="32"/>
                <w:lang w:val="fr-FR"/>
              </w:rPr>
            </w:pPr>
            <w:r>
              <w:rPr>
                <w:rFonts w:eastAsia="MS Mincho" w:cs="Times New Roman"/>
                <w:noProof/>
                <w:szCs w:val="32"/>
                <w:lang w:val="fr-FR"/>
              </w:rPr>
              <w:t>Les instructions  de cessions temporaires compensées par LCH.Clearnet, du fait du netting, ne sont pas concernées.</w:t>
            </w:r>
          </w:p>
          <w:p w:rsidR="00140482" w:rsidRPr="00EF1203" w:rsidRDefault="00140482" w:rsidP="00140482">
            <w:pPr>
              <w:spacing w:before="120"/>
              <w:jc w:val="both"/>
              <w:rPr>
                <w:rFonts w:eastAsia="MS Mincho" w:cs="Times New Roman"/>
                <w:i/>
                <w:noProof/>
                <w:szCs w:val="32"/>
                <w:lang w:val="fr-FR"/>
              </w:rPr>
            </w:pPr>
            <w:r w:rsidRPr="00EF1203">
              <w:rPr>
                <w:rFonts w:eastAsia="MS Mincho" w:cs="Times New Roman"/>
                <w:i/>
                <w:noProof/>
                <w:szCs w:val="32"/>
                <w:lang w:val="fr-FR"/>
              </w:rPr>
              <w:t xml:space="preserve">A noter : la pratique cible les modalités d’instruction des contrats de </w:t>
            </w:r>
            <w:r>
              <w:rPr>
                <w:rFonts w:eastAsia="MS Mincho" w:cs="Times New Roman"/>
                <w:i/>
                <w:noProof/>
                <w:szCs w:val="32"/>
                <w:lang w:val="fr-FR"/>
              </w:rPr>
              <w:t>cessions temopraire</w:t>
            </w:r>
            <w:r w:rsidRPr="00EF1203">
              <w:rPr>
                <w:rFonts w:eastAsia="MS Mincho" w:cs="Times New Roman"/>
                <w:i/>
                <w:noProof/>
                <w:szCs w:val="32"/>
                <w:lang w:val="fr-FR"/>
              </w:rPr>
              <w:t>, mais n’affecte à aucun moment la façon dont les contrats sont négociés entre les contreparties de marché.</w:t>
            </w:r>
          </w:p>
          <w:p w:rsidR="00140482" w:rsidRDefault="00140482" w:rsidP="00140482">
            <w:pPr>
              <w:spacing w:before="120"/>
              <w:jc w:val="both"/>
              <w:rPr>
                <w:rFonts w:eastAsia="MS Mincho" w:cs="Times New Roman"/>
                <w:i/>
                <w:noProof/>
                <w:szCs w:val="32"/>
                <w:lang w:val="fr-FR"/>
              </w:rPr>
            </w:pPr>
          </w:p>
          <w:p w:rsidR="00140482" w:rsidRPr="00EF1203" w:rsidRDefault="00140482" w:rsidP="00140482">
            <w:pPr>
              <w:spacing w:before="120"/>
              <w:jc w:val="both"/>
              <w:rPr>
                <w:rFonts w:eastAsia="MS Mincho" w:cs="Times New Roman"/>
                <w:b/>
                <w:noProof/>
                <w:szCs w:val="32"/>
                <w:lang w:val="fr-FR"/>
              </w:rPr>
            </w:pPr>
            <w:r w:rsidRPr="00EF1203">
              <w:rPr>
                <w:rFonts w:eastAsia="MS Mincho" w:cs="Times New Roman"/>
                <w:b/>
                <w:noProof/>
                <w:szCs w:val="32"/>
                <w:lang w:val="fr-FR"/>
              </w:rPr>
              <w:t xml:space="preserve">Modalités de traitement de la bascule en </w:t>
            </w:r>
            <w:r>
              <w:rPr>
                <w:rFonts w:eastAsia="MS Mincho" w:cs="Times New Roman"/>
                <w:b/>
                <w:noProof/>
                <w:szCs w:val="32"/>
                <w:lang w:val="fr-FR"/>
              </w:rPr>
              <w:t>mode achat / vente</w:t>
            </w:r>
            <w:r w:rsidRPr="00EF1203">
              <w:rPr>
                <w:rFonts w:eastAsia="MS Mincho" w:cs="Times New Roman"/>
                <w:b/>
                <w:noProof/>
                <w:szCs w:val="32"/>
                <w:lang w:val="fr-FR"/>
              </w:rPr>
              <w:t> :</w:t>
            </w:r>
          </w:p>
          <w:p w:rsidR="00140482" w:rsidRDefault="00140482" w:rsidP="00140482">
            <w:pPr>
              <w:pStyle w:val="ListParagraph"/>
              <w:numPr>
                <w:ilvl w:val="0"/>
                <w:numId w:val="3"/>
              </w:numPr>
              <w:spacing w:before="120"/>
              <w:contextualSpacing w:val="0"/>
              <w:jc w:val="both"/>
              <w:rPr>
                <w:rFonts w:eastAsia="MS Mincho" w:cs="Times New Roman"/>
                <w:noProof/>
                <w:szCs w:val="32"/>
                <w:lang w:val="fr-FR"/>
              </w:rPr>
            </w:pPr>
            <w:r>
              <w:rPr>
                <w:rFonts w:eastAsia="MS Mincho" w:cs="Times New Roman"/>
                <w:noProof/>
                <w:szCs w:val="32"/>
                <w:lang w:val="fr-FR"/>
              </w:rPr>
              <w:t>Aucune reprise d’historique n’est opérée par Euroclear France ;</w:t>
            </w:r>
          </w:p>
          <w:p w:rsidR="00140482" w:rsidRDefault="00140482" w:rsidP="00140482">
            <w:pPr>
              <w:pStyle w:val="ListParagraph"/>
              <w:numPr>
                <w:ilvl w:val="0"/>
                <w:numId w:val="3"/>
              </w:numPr>
              <w:spacing w:before="120"/>
              <w:contextualSpacing w:val="0"/>
              <w:jc w:val="both"/>
              <w:rPr>
                <w:rFonts w:eastAsia="MS Mincho" w:cs="Times New Roman"/>
                <w:noProof/>
                <w:szCs w:val="32"/>
                <w:lang w:val="fr-FR"/>
              </w:rPr>
            </w:pPr>
            <w:r>
              <w:rPr>
                <w:rFonts w:eastAsia="MS Mincho" w:cs="Times New Roman"/>
                <w:noProof/>
                <w:szCs w:val="32"/>
                <w:lang w:val="fr-FR"/>
              </w:rPr>
              <w:t>Les opérations dont la première jambe aura été émise avant la date de la bascule en mode achat / vente, sauf à ce qu’elles soient annulées bilatéralement, pourront être maintenues dans le module Pensions Livrées.</w:t>
            </w:r>
          </w:p>
          <w:p w:rsidR="00140482" w:rsidRDefault="00140482" w:rsidP="00140482">
            <w:pPr>
              <w:pStyle w:val="ListParagraph"/>
              <w:numPr>
                <w:ilvl w:val="0"/>
                <w:numId w:val="3"/>
              </w:numPr>
              <w:spacing w:before="120"/>
              <w:contextualSpacing w:val="0"/>
              <w:jc w:val="both"/>
              <w:rPr>
                <w:rFonts w:eastAsia="MS Mincho" w:cs="Times New Roman"/>
                <w:noProof/>
                <w:szCs w:val="32"/>
                <w:lang w:val="fr-FR"/>
              </w:rPr>
            </w:pPr>
            <w:r>
              <w:rPr>
                <w:rFonts w:eastAsia="MS Mincho" w:cs="Times New Roman"/>
                <w:noProof/>
                <w:szCs w:val="32"/>
                <w:lang w:val="fr-FR"/>
              </w:rPr>
              <w:t xml:space="preserve">Bien que cette pratique constitue une recommandation de la </w:t>
            </w:r>
            <w:r w:rsidR="00732EE3">
              <w:rPr>
                <w:rFonts w:eastAsia="MS Mincho" w:cs="Times New Roman"/>
                <w:noProof/>
                <w:szCs w:val="32"/>
                <w:lang w:val="fr-FR"/>
              </w:rPr>
              <w:t>P</w:t>
            </w:r>
            <w:r>
              <w:rPr>
                <w:rFonts w:eastAsia="MS Mincho" w:cs="Times New Roman"/>
                <w:noProof/>
                <w:szCs w:val="32"/>
                <w:lang w:val="fr-FR"/>
              </w:rPr>
              <w:t xml:space="preserve">lace, elle ne revêt aucun caractère obligatoire, les établissements de la </w:t>
            </w:r>
            <w:r w:rsidR="00732EE3">
              <w:rPr>
                <w:rFonts w:eastAsia="MS Mincho" w:cs="Times New Roman"/>
                <w:noProof/>
                <w:szCs w:val="32"/>
                <w:lang w:val="fr-FR"/>
              </w:rPr>
              <w:t>P</w:t>
            </w:r>
            <w:r>
              <w:rPr>
                <w:rFonts w:eastAsia="MS Mincho" w:cs="Times New Roman"/>
                <w:noProof/>
                <w:szCs w:val="32"/>
                <w:lang w:val="fr-FR"/>
              </w:rPr>
              <w:t>lace française étant libres de continuer à utiliser le module Pensions Livrées jusqu’à la migration d’Euroclear France vers T2S. Les deux modalités cohabiteront en pratique jusqu’à la migration vers T2S. C’est seulement le 12 septembre 2016 que le module Pensions Livrées sera désactivé techniquement par Euroclear France.</w:t>
            </w:r>
          </w:p>
          <w:p w:rsidR="00140482" w:rsidRDefault="00140482" w:rsidP="00140482">
            <w:pPr>
              <w:spacing w:before="120"/>
              <w:jc w:val="both"/>
              <w:rPr>
                <w:rFonts w:eastAsia="MS Mincho" w:cs="Times New Roman"/>
                <w:b/>
                <w:noProof/>
                <w:szCs w:val="32"/>
                <w:lang w:val="fr-FR"/>
              </w:rPr>
            </w:pPr>
          </w:p>
          <w:p w:rsidR="00140482" w:rsidRDefault="00140482" w:rsidP="00140482">
            <w:pPr>
              <w:spacing w:before="120"/>
              <w:jc w:val="both"/>
              <w:rPr>
                <w:rFonts w:eastAsia="MS Mincho" w:cs="Times New Roman"/>
                <w:b/>
                <w:noProof/>
                <w:szCs w:val="32"/>
                <w:lang w:val="fr-FR"/>
              </w:rPr>
            </w:pPr>
            <w:r w:rsidRPr="00B9646C">
              <w:rPr>
                <w:rFonts w:eastAsia="MS Mincho" w:cs="Times New Roman"/>
                <w:b/>
                <w:noProof/>
                <w:szCs w:val="32"/>
                <w:lang w:val="fr-FR"/>
              </w:rPr>
              <w:t xml:space="preserve">Modalités d’instructions </w:t>
            </w:r>
            <w:r>
              <w:rPr>
                <w:rFonts w:eastAsia="MS Mincho" w:cs="Times New Roman"/>
                <w:b/>
                <w:noProof/>
                <w:szCs w:val="32"/>
                <w:lang w:val="fr-FR"/>
              </w:rPr>
              <w:t xml:space="preserve">pour les contrats négociés entre la </w:t>
            </w:r>
            <w:r w:rsidRPr="00B9646C">
              <w:rPr>
                <w:rFonts w:eastAsia="MS Mincho" w:cs="Times New Roman"/>
                <w:b/>
                <w:noProof/>
                <w:szCs w:val="32"/>
                <w:lang w:val="fr-FR"/>
              </w:rPr>
              <w:t>bascule</w:t>
            </w:r>
            <w:r>
              <w:rPr>
                <w:rFonts w:eastAsia="MS Mincho" w:cs="Times New Roman"/>
                <w:b/>
                <w:noProof/>
                <w:szCs w:val="32"/>
                <w:lang w:val="fr-FR"/>
              </w:rPr>
              <w:t xml:space="preserve"> en mode achat / vente, soit à partir des instructions en trade date du 9 mai </w:t>
            </w:r>
            <w:r w:rsidR="00732EE3">
              <w:rPr>
                <w:rFonts w:eastAsia="MS Mincho" w:cs="Times New Roman"/>
                <w:b/>
                <w:noProof/>
                <w:szCs w:val="32"/>
                <w:lang w:val="fr-FR"/>
              </w:rPr>
              <w:t xml:space="preserve">2016 </w:t>
            </w:r>
            <w:r>
              <w:rPr>
                <w:rFonts w:eastAsia="MS Mincho" w:cs="Times New Roman"/>
                <w:b/>
                <w:noProof/>
                <w:szCs w:val="32"/>
                <w:lang w:val="fr-FR"/>
              </w:rPr>
              <w:t>et la migration vers T2S (instruction client comme instruction marché)</w:t>
            </w:r>
            <w:r w:rsidRPr="00B9646C">
              <w:rPr>
                <w:rFonts w:eastAsia="MS Mincho" w:cs="Times New Roman"/>
                <w:b/>
                <w:noProof/>
                <w:szCs w:val="32"/>
                <w:lang w:val="fr-FR"/>
              </w:rPr>
              <w:t> :</w:t>
            </w:r>
          </w:p>
          <w:p w:rsidR="00140482" w:rsidRDefault="00140482" w:rsidP="00140482">
            <w:pPr>
              <w:pStyle w:val="ListParagraph"/>
              <w:numPr>
                <w:ilvl w:val="0"/>
                <w:numId w:val="3"/>
              </w:numPr>
              <w:spacing w:before="120"/>
              <w:contextualSpacing w:val="0"/>
              <w:jc w:val="both"/>
              <w:rPr>
                <w:rFonts w:eastAsia="MS Mincho" w:cs="Times New Roman"/>
                <w:noProof/>
                <w:szCs w:val="32"/>
                <w:lang w:val="fr-FR"/>
              </w:rPr>
            </w:pPr>
            <w:r w:rsidRPr="002A1489">
              <w:rPr>
                <w:rFonts w:eastAsia="MS Mincho" w:cs="Times New Roman"/>
                <w:noProof/>
                <w:szCs w:val="32"/>
                <w:lang w:val="fr-FR"/>
              </w:rPr>
              <w:t>Les instructions aller et retour du contrat sont instruites comme des achats ou des ventes de titres classiques – pas de spécificité, ni en termes de type d’instruction, ni en termes de garnissage des champs</w:t>
            </w:r>
            <w:r>
              <w:rPr>
                <w:rFonts w:eastAsia="MS Mincho" w:cs="Times New Roman"/>
                <w:noProof/>
                <w:szCs w:val="32"/>
                <w:lang w:val="fr-FR"/>
              </w:rPr>
              <w:t>, à l’exception des modalités d’alimentation de la date de négociation</w:t>
            </w:r>
            <w:r w:rsidRPr="002A1489">
              <w:rPr>
                <w:rFonts w:eastAsia="MS Mincho" w:cs="Times New Roman"/>
                <w:noProof/>
                <w:szCs w:val="32"/>
                <w:lang w:val="fr-FR"/>
              </w:rPr>
              <w:t>.</w:t>
            </w:r>
          </w:p>
          <w:p w:rsidR="00140482" w:rsidRDefault="00140482" w:rsidP="00140482">
            <w:pPr>
              <w:pStyle w:val="ListParagraph"/>
              <w:numPr>
                <w:ilvl w:val="0"/>
                <w:numId w:val="3"/>
              </w:numPr>
              <w:spacing w:before="120"/>
              <w:contextualSpacing w:val="0"/>
              <w:jc w:val="both"/>
              <w:rPr>
                <w:rFonts w:eastAsia="MS Mincho" w:cs="Times New Roman"/>
                <w:noProof/>
                <w:szCs w:val="32"/>
                <w:lang w:val="fr-FR"/>
              </w:rPr>
            </w:pPr>
            <w:r>
              <w:rPr>
                <w:rFonts w:eastAsia="MS Mincho" w:cs="Times New Roman"/>
                <w:noProof/>
                <w:szCs w:val="32"/>
                <w:lang w:val="fr-FR"/>
              </w:rPr>
              <w:t>L’alimentation de la date de négociation doit être opérée comme suit :</w:t>
            </w:r>
          </w:p>
          <w:p w:rsidR="00140482" w:rsidRDefault="00140482" w:rsidP="005842D3">
            <w:pPr>
              <w:pStyle w:val="ListParagraph"/>
              <w:numPr>
                <w:ilvl w:val="1"/>
                <w:numId w:val="8"/>
              </w:numPr>
              <w:spacing w:before="120"/>
              <w:contextualSpacing w:val="0"/>
              <w:jc w:val="both"/>
              <w:rPr>
                <w:rFonts w:eastAsia="MS Mincho" w:cs="Times New Roman"/>
                <w:noProof/>
                <w:szCs w:val="32"/>
                <w:lang w:val="fr-FR"/>
              </w:rPr>
            </w:pPr>
            <w:r w:rsidRPr="00DB2A50">
              <w:rPr>
                <w:rFonts w:eastAsia="MS Mincho" w:cs="Times New Roman"/>
                <w:noProof/>
                <w:szCs w:val="32"/>
                <w:lang w:val="fr-FR"/>
              </w:rPr>
              <w:t>Si l’échéance du contrat est</w:t>
            </w:r>
            <w:r>
              <w:rPr>
                <w:rFonts w:eastAsia="MS Mincho" w:cs="Times New Roman"/>
                <w:noProof/>
                <w:szCs w:val="32"/>
                <w:lang w:val="fr-FR"/>
              </w:rPr>
              <w:t> :</w:t>
            </w:r>
          </w:p>
          <w:p w:rsidR="00140482" w:rsidRDefault="00140482" w:rsidP="00140482">
            <w:pPr>
              <w:pStyle w:val="ListParagraph"/>
              <w:numPr>
                <w:ilvl w:val="2"/>
                <w:numId w:val="3"/>
              </w:numPr>
              <w:spacing w:before="120"/>
              <w:contextualSpacing w:val="0"/>
              <w:jc w:val="both"/>
              <w:rPr>
                <w:rFonts w:eastAsia="MS Mincho" w:cs="Times New Roman"/>
                <w:noProof/>
                <w:szCs w:val="32"/>
                <w:lang w:val="fr-FR"/>
              </w:rPr>
            </w:pPr>
            <w:r w:rsidRPr="00DB2A50">
              <w:rPr>
                <w:rFonts w:eastAsia="MS Mincho" w:cs="Times New Roman"/>
                <w:noProof/>
                <w:szCs w:val="32"/>
                <w:lang w:val="fr-FR"/>
              </w:rPr>
              <w:t xml:space="preserve">antérieure à la </w:t>
            </w:r>
            <w:r>
              <w:rPr>
                <w:rFonts w:eastAsia="MS Mincho" w:cs="Times New Roman"/>
                <w:noProof/>
                <w:szCs w:val="32"/>
                <w:lang w:val="fr-FR"/>
              </w:rPr>
              <w:t xml:space="preserve">migration </w:t>
            </w:r>
            <w:r w:rsidRPr="00DB2A50">
              <w:rPr>
                <w:rFonts w:eastAsia="MS Mincho" w:cs="Times New Roman"/>
                <w:noProof/>
                <w:szCs w:val="32"/>
                <w:lang w:val="fr-FR"/>
              </w:rPr>
              <w:t>vers T2S</w:t>
            </w:r>
            <w:r>
              <w:rPr>
                <w:rFonts w:eastAsia="MS Mincho" w:cs="Times New Roman"/>
                <w:noProof/>
                <w:szCs w:val="32"/>
                <w:lang w:val="fr-FR"/>
              </w:rPr>
              <w:t>, ou</w:t>
            </w:r>
          </w:p>
          <w:p w:rsidR="00140482" w:rsidRPr="000F6BC5" w:rsidRDefault="00140482" w:rsidP="00140482">
            <w:pPr>
              <w:pStyle w:val="ListParagraph"/>
              <w:numPr>
                <w:ilvl w:val="2"/>
                <w:numId w:val="3"/>
              </w:numPr>
              <w:spacing w:before="120"/>
              <w:contextualSpacing w:val="0"/>
              <w:jc w:val="both"/>
              <w:rPr>
                <w:rFonts w:eastAsia="MS Mincho" w:cs="Times New Roman"/>
                <w:noProof/>
                <w:szCs w:val="32"/>
                <w:lang w:val="fr-FR"/>
              </w:rPr>
            </w:pPr>
            <w:r w:rsidRPr="00DB2A50">
              <w:rPr>
                <w:rFonts w:eastAsia="MS Mincho" w:cs="Times New Roman"/>
                <w:noProof/>
                <w:szCs w:val="32"/>
                <w:lang w:val="fr-FR"/>
              </w:rPr>
              <w:lastRenderedPageBreak/>
              <w:t xml:space="preserve">postérieure à la </w:t>
            </w:r>
            <w:r>
              <w:rPr>
                <w:rFonts w:eastAsia="MS Mincho" w:cs="Times New Roman"/>
                <w:noProof/>
                <w:szCs w:val="32"/>
                <w:lang w:val="fr-FR"/>
              </w:rPr>
              <w:t xml:space="preserve">migration </w:t>
            </w:r>
            <w:r w:rsidRPr="00DB2A50">
              <w:rPr>
                <w:rFonts w:eastAsia="MS Mincho" w:cs="Times New Roman"/>
                <w:noProof/>
                <w:szCs w:val="32"/>
                <w:lang w:val="fr-FR"/>
              </w:rPr>
              <w:t xml:space="preserve">vers T2S, et que les instructions sont ré-émises avant le point de non-retour prononcé lors du week-end de </w:t>
            </w:r>
            <w:r>
              <w:rPr>
                <w:rFonts w:eastAsia="MS Mincho" w:cs="Times New Roman"/>
                <w:noProof/>
                <w:szCs w:val="32"/>
                <w:lang w:val="fr-FR"/>
              </w:rPr>
              <w:t xml:space="preserve">migration </w:t>
            </w:r>
            <w:r w:rsidRPr="00DB2A50">
              <w:rPr>
                <w:rFonts w:eastAsia="MS Mincho" w:cs="Times New Roman"/>
                <w:noProof/>
                <w:szCs w:val="32"/>
                <w:lang w:val="fr-FR"/>
              </w:rPr>
              <w:t xml:space="preserve">par Euroclear </w:t>
            </w:r>
            <w:r>
              <w:rPr>
                <w:rFonts w:eastAsia="MS Mincho" w:cs="Times New Roman"/>
                <w:noProof/>
                <w:szCs w:val="32"/>
                <w:lang w:val="fr-FR"/>
              </w:rPr>
              <w:t>France,</w:t>
            </w:r>
          </w:p>
          <w:p w:rsidR="00140482" w:rsidRDefault="00140482" w:rsidP="00140482">
            <w:pPr>
              <w:spacing w:before="120"/>
              <w:ind w:left="1451"/>
              <w:jc w:val="both"/>
              <w:rPr>
                <w:rFonts w:eastAsia="MS Mincho" w:cs="Times New Roman"/>
                <w:noProof/>
                <w:szCs w:val="32"/>
                <w:lang w:val="fr-FR"/>
              </w:rPr>
            </w:pPr>
            <w:r>
              <w:rPr>
                <w:rFonts w:eastAsia="MS Mincho" w:cs="Times New Roman"/>
                <w:noProof/>
                <w:szCs w:val="32"/>
                <w:lang w:val="fr-FR"/>
              </w:rPr>
              <w:t>la trade date de l’instruction doit être alimentée de la façon suivante :</w:t>
            </w:r>
          </w:p>
          <w:p w:rsidR="00140482" w:rsidRDefault="00140482" w:rsidP="00140482">
            <w:pPr>
              <w:pStyle w:val="ListParagraph"/>
              <w:numPr>
                <w:ilvl w:val="2"/>
                <w:numId w:val="3"/>
              </w:numPr>
              <w:spacing w:before="120"/>
              <w:contextualSpacing w:val="0"/>
              <w:jc w:val="both"/>
              <w:rPr>
                <w:rFonts w:eastAsia="MS Mincho" w:cs="Times New Roman"/>
                <w:noProof/>
                <w:szCs w:val="32"/>
                <w:lang w:val="fr-FR"/>
              </w:rPr>
            </w:pPr>
            <w:r>
              <w:rPr>
                <w:rFonts w:eastAsia="MS Mincho" w:cs="Times New Roman"/>
                <w:noProof/>
                <w:szCs w:val="32"/>
                <w:lang w:val="fr-FR"/>
              </w:rPr>
              <w:t>T</w:t>
            </w:r>
            <w:r w:rsidRPr="00DB2A50">
              <w:rPr>
                <w:rFonts w:eastAsia="MS Mincho" w:cs="Times New Roman"/>
                <w:noProof/>
                <w:szCs w:val="32"/>
                <w:lang w:val="fr-FR"/>
              </w:rPr>
              <w:t>rade date originelle du contrat tel que négocié</w:t>
            </w:r>
            <w:r>
              <w:rPr>
                <w:rFonts w:eastAsia="MS Mincho" w:cs="Times New Roman"/>
                <w:noProof/>
                <w:szCs w:val="32"/>
                <w:lang w:val="fr-FR"/>
              </w:rPr>
              <w:t> ;</w:t>
            </w:r>
          </w:p>
          <w:p w:rsidR="00140482" w:rsidRPr="000F6BC5" w:rsidRDefault="00140482" w:rsidP="00140482">
            <w:pPr>
              <w:pStyle w:val="ListParagraph"/>
              <w:numPr>
                <w:ilvl w:val="2"/>
                <w:numId w:val="3"/>
              </w:numPr>
              <w:spacing w:before="120"/>
              <w:contextualSpacing w:val="0"/>
              <w:jc w:val="both"/>
              <w:rPr>
                <w:rFonts w:eastAsia="MS Mincho" w:cs="Times New Roman"/>
                <w:noProof/>
                <w:szCs w:val="32"/>
                <w:lang w:val="fr-FR"/>
              </w:rPr>
            </w:pPr>
            <w:r>
              <w:rPr>
                <w:rFonts w:eastAsia="MS Mincho" w:cs="Times New Roman"/>
                <w:noProof/>
                <w:szCs w:val="32"/>
                <w:lang w:val="fr-FR"/>
              </w:rPr>
              <w:t xml:space="preserve">Si la trade date originelle est antérieure de plus de 35 jours à la date de dénouement théorique de la seconde jambe, alors les contreparties de marché doivent s’accorder sur le remplissage du champ trade date. La recommandation de la </w:t>
            </w:r>
            <w:r w:rsidR="00732EE3">
              <w:rPr>
                <w:rFonts w:eastAsia="MS Mincho" w:cs="Times New Roman"/>
                <w:noProof/>
                <w:szCs w:val="32"/>
                <w:lang w:val="fr-FR"/>
              </w:rPr>
              <w:t>P</w:t>
            </w:r>
            <w:r>
              <w:rPr>
                <w:rFonts w:eastAsia="MS Mincho" w:cs="Times New Roman"/>
                <w:noProof/>
                <w:szCs w:val="32"/>
                <w:lang w:val="fr-FR"/>
              </w:rPr>
              <w:t>lace est d’alimenter la trade date avec la date de dénouement théorique de la jambe retour.</w:t>
            </w:r>
          </w:p>
          <w:p w:rsidR="00140482" w:rsidRDefault="00140482" w:rsidP="005842D3">
            <w:pPr>
              <w:pStyle w:val="ListParagraph"/>
              <w:numPr>
                <w:ilvl w:val="0"/>
                <w:numId w:val="10"/>
              </w:numPr>
              <w:spacing w:before="120"/>
              <w:contextualSpacing w:val="0"/>
              <w:jc w:val="both"/>
              <w:rPr>
                <w:rFonts w:eastAsia="MS Mincho" w:cs="Times New Roman"/>
                <w:noProof/>
                <w:szCs w:val="32"/>
                <w:lang w:val="fr-FR"/>
              </w:rPr>
            </w:pPr>
            <w:r w:rsidRPr="00DB2A50">
              <w:rPr>
                <w:rFonts w:eastAsia="MS Mincho" w:cs="Times New Roman"/>
                <w:noProof/>
                <w:szCs w:val="32"/>
                <w:lang w:val="fr-FR"/>
              </w:rPr>
              <w:t xml:space="preserve">Si l’échéance du contrat est postérieure à la </w:t>
            </w:r>
            <w:r>
              <w:rPr>
                <w:rFonts w:eastAsia="MS Mincho" w:cs="Times New Roman"/>
                <w:noProof/>
                <w:szCs w:val="32"/>
                <w:lang w:val="fr-FR"/>
              </w:rPr>
              <w:t>migration</w:t>
            </w:r>
            <w:r w:rsidRPr="00DB2A50">
              <w:rPr>
                <w:rFonts w:eastAsia="MS Mincho" w:cs="Times New Roman"/>
                <w:noProof/>
                <w:szCs w:val="32"/>
                <w:lang w:val="fr-FR"/>
              </w:rPr>
              <w:t xml:space="preserve"> vers T2S et que l’instruction est ré-émise après le point de non-retour prononcé lors du week-end de </w:t>
            </w:r>
            <w:r>
              <w:rPr>
                <w:rFonts w:eastAsia="MS Mincho" w:cs="Times New Roman"/>
                <w:noProof/>
                <w:szCs w:val="32"/>
                <w:lang w:val="fr-FR"/>
              </w:rPr>
              <w:t xml:space="preserve">migration </w:t>
            </w:r>
            <w:r w:rsidRPr="00DB2A50">
              <w:rPr>
                <w:rFonts w:eastAsia="MS Mincho" w:cs="Times New Roman"/>
                <w:noProof/>
                <w:szCs w:val="32"/>
                <w:lang w:val="fr-FR"/>
              </w:rPr>
              <w:t>par Euroclear France : la trade date de la jambe retour sera alimentée avec la trade date originelle de la négociation.</w:t>
            </w:r>
          </w:p>
          <w:p w:rsidR="005F17ED" w:rsidRPr="005F17ED" w:rsidRDefault="005F17ED" w:rsidP="005F17ED">
            <w:pPr>
              <w:pStyle w:val="ListParagraph"/>
              <w:numPr>
                <w:ilvl w:val="0"/>
                <w:numId w:val="10"/>
              </w:numPr>
              <w:spacing w:before="120"/>
              <w:contextualSpacing w:val="0"/>
              <w:jc w:val="both"/>
              <w:rPr>
                <w:rFonts w:eastAsia="MS Mincho" w:cs="Times New Roman"/>
                <w:noProof/>
                <w:szCs w:val="32"/>
                <w:lang w:val="fr-FR"/>
              </w:rPr>
            </w:pPr>
            <w:r w:rsidRPr="005F17ED">
              <w:rPr>
                <w:rFonts w:eastAsia="MS Mincho" w:cs="Times New Roman"/>
                <w:noProof/>
                <w:szCs w:val="32"/>
                <w:lang w:val="fr-FR"/>
              </w:rPr>
              <w:t>Pour les contrats négociés moins de 35 jours avant la migration d’Euroclear France vers T2S, le champ trade date de la jambe retour sera alimenté avec la trade date originelle du contrat tel que négocié. Ces instructions seront ré-émises durant le week-end de migration, après le point de non-retour prononcé par Euroclear France.</w:t>
            </w:r>
          </w:p>
          <w:p w:rsidR="00140482" w:rsidRPr="00C63246" w:rsidRDefault="00140482" w:rsidP="00140482">
            <w:pPr>
              <w:spacing w:before="120"/>
              <w:ind w:left="742"/>
              <w:jc w:val="both"/>
              <w:rPr>
                <w:rFonts w:eastAsia="MS Mincho" w:cs="Times New Roman"/>
                <w:b/>
                <w:i/>
                <w:noProof/>
                <w:szCs w:val="32"/>
                <w:lang w:val="fr-FR"/>
              </w:rPr>
            </w:pPr>
            <w:r w:rsidRPr="0067353E">
              <w:rPr>
                <w:rFonts w:eastAsia="MS Mincho" w:cs="Times New Roman"/>
                <w:b/>
                <w:i/>
                <w:noProof/>
                <w:szCs w:val="32"/>
                <w:lang w:val="fr-FR"/>
              </w:rPr>
              <w:sym w:font="Wingdings" w:char="F0E8"/>
            </w:r>
            <w:r w:rsidRPr="0067353E">
              <w:rPr>
                <w:rFonts w:eastAsia="MS Mincho" w:cs="Times New Roman"/>
                <w:b/>
                <w:i/>
                <w:noProof/>
                <w:szCs w:val="32"/>
                <w:lang w:val="fr-FR"/>
              </w:rPr>
              <w:t xml:space="preserve"> Voir aussi la tableau récapitulatif en annexe</w:t>
            </w:r>
          </w:p>
          <w:p w:rsidR="00140482" w:rsidRPr="002A1489" w:rsidRDefault="00140482" w:rsidP="00140482">
            <w:pPr>
              <w:pStyle w:val="ListParagraph"/>
              <w:numPr>
                <w:ilvl w:val="0"/>
                <w:numId w:val="3"/>
              </w:numPr>
              <w:spacing w:before="120"/>
              <w:contextualSpacing w:val="0"/>
              <w:jc w:val="both"/>
              <w:rPr>
                <w:rFonts w:eastAsia="MS Mincho" w:cs="Times New Roman"/>
                <w:noProof/>
                <w:szCs w:val="32"/>
                <w:lang w:val="fr-FR"/>
              </w:rPr>
            </w:pPr>
            <w:r w:rsidRPr="002A1489">
              <w:rPr>
                <w:rFonts w:eastAsia="MS Mincho" w:cs="Times New Roman"/>
                <w:noProof/>
                <w:szCs w:val="32"/>
                <w:lang w:val="fr-FR"/>
              </w:rPr>
              <w:t>En cas de non appariement, de non dénouement, ou de non rapprochement, les participants du CSD procèderont comme pour les instructions d’achat et de vente aujourd’hui, en se rapprochant des contreparties de marché et de leurs clients afin de trouver un accord.</w:t>
            </w:r>
          </w:p>
          <w:p w:rsidR="00140482" w:rsidRDefault="00140482" w:rsidP="00140482">
            <w:pPr>
              <w:pStyle w:val="ListParagraph"/>
              <w:numPr>
                <w:ilvl w:val="0"/>
                <w:numId w:val="3"/>
              </w:numPr>
              <w:spacing w:before="120"/>
              <w:contextualSpacing w:val="0"/>
              <w:jc w:val="both"/>
              <w:rPr>
                <w:rFonts w:eastAsia="MS Mincho" w:cs="Times New Roman"/>
                <w:noProof/>
                <w:szCs w:val="32"/>
                <w:lang w:val="fr-FR"/>
              </w:rPr>
            </w:pPr>
            <w:r>
              <w:rPr>
                <w:rFonts w:eastAsia="MS Mincho" w:cs="Times New Roman"/>
                <w:noProof/>
                <w:szCs w:val="32"/>
                <w:lang w:val="fr-FR"/>
              </w:rPr>
              <w:t>Les instructions retour doivent être instruites dès que possible, afin d’assurer un matching au plus tôt.</w:t>
            </w:r>
          </w:p>
          <w:p w:rsidR="00140482" w:rsidRPr="00C63246" w:rsidRDefault="00140482" w:rsidP="00140482">
            <w:pPr>
              <w:pStyle w:val="ListParagraph"/>
              <w:numPr>
                <w:ilvl w:val="0"/>
                <w:numId w:val="3"/>
              </w:numPr>
              <w:spacing w:before="120"/>
              <w:contextualSpacing w:val="0"/>
              <w:jc w:val="both"/>
              <w:rPr>
                <w:rFonts w:eastAsia="MS Mincho" w:cs="Times New Roman"/>
                <w:noProof/>
                <w:szCs w:val="32"/>
                <w:lang w:val="fr-FR"/>
              </w:rPr>
            </w:pPr>
            <w:r w:rsidRPr="00C63246">
              <w:rPr>
                <w:rFonts w:eastAsia="MS Mincho" w:cs="Times New Roman"/>
                <w:noProof/>
                <w:szCs w:val="32"/>
                <w:lang w:val="fr-FR"/>
              </w:rPr>
              <w:t xml:space="preserve">Le calcul des intérêts est du ressort des contreparties de marché. Durant la période transitoire entre la bascule du mode d’instruction des pensions livrées en buy &amp; sell-back (soit entre le 9 </w:t>
            </w:r>
            <w:r w:rsidR="00BF4B2C">
              <w:rPr>
                <w:rFonts w:eastAsia="MS Mincho" w:cs="Times New Roman"/>
                <w:noProof/>
                <w:szCs w:val="32"/>
                <w:lang w:val="fr-FR"/>
              </w:rPr>
              <w:t>mai et le 12 septembre 2016), le</w:t>
            </w:r>
            <w:r w:rsidRPr="00C63246">
              <w:rPr>
                <w:rFonts w:eastAsia="MS Mincho" w:cs="Times New Roman"/>
                <w:noProof/>
                <w:szCs w:val="32"/>
                <w:lang w:val="fr-FR"/>
              </w:rPr>
              <w:t xml:space="preserve"> </w:t>
            </w:r>
            <w:r w:rsidR="00BF4B2C">
              <w:rPr>
                <w:rFonts w:eastAsia="MS Mincho" w:cs="Times New Roman"/>
                <w:noProof/>
                <w:szCs w:val="32"/>
                <w:lang w:val="fr-FR"/>
              </w:rPr>
              <w:t>fixing sera maintenu</w:t>
            </w:r>
            <w:r w:rsidRPr="00C63246">
              <w:rPr>
                <w:rFonts w:eastAsia="MS Mincho" w:cs="Times New Roman"/>
                <w:noProof/>
                <w:szCs w:val="32"/>
                <w:lang w:val="fr-FR"/>
              </w:rPr>
              <w:t xml:space="preserve"> en J-1.</w:t>
            </w:r>
          </w:p>
          <w:p w:rsidR="00140482" w:rsidRDefault="00140482" w:rsidP="00140482">
            <w:pPr>
              <w:numPr>
                <w:ilvl w:val="1"/>
                <w:numId w:val="3"/>
              </w:numPr>
              <w:spacing w:before="120"/>
              <w:jc w:val="both"/>
              <w:rPr>
                <w:rFonts w:eastAsia="MS Mincho" w:cs="Times New Roman"/>
                <w:noProof/>
                <w:szCs w:val="32"/>
                <w:lang w:val="fr-FR"/>
              </w:rPr>
            </w:pPr>
            <w:r>
              <w:rPr>
                <w:rFonts w:eastAsia="MS Mincho" w:cs="Times New Roman"/>
                <w:noProof/>
                <w:szCs w:val="32"/>
                <w:lang w:val="fr-FR"/>
              </w:rPr>
              <w:t>Le taux du fixing EONIA est connu chaque jour entre 18h45 et 19h.</w:t>
            </w:r>
          </w:p>
          <w:p w:rsidR="00140482" w:rsidRPr="00B87E0F" w:rsidRDefault="00140482" w:rsidP="00140482">
            <w:pPr>
              <w:numPr>
                <w:ilvl w:val="1"/>
                <w:numId w:val="3"/>
              </w:numPr>
              <w:spacing w:before="120"/>
              <w:jc w:val="both"/>
              <w:rPr>
                <w:rFonts w:eastAsia="MS Mincho" w:cs="Times New Roman"/>
                <w:noProof/>
                <w:szCs w:val="32"/>
                <w:lang w:val="fr-FR"/>
              </w:rPr>
            </w:pPr>
            <w:r>
              <w:rPr>
                <w:rFonts w:eastAsia="MS Mincho" w:cs="Times New Roman"/>
                <w:noProof/>
                <w:szCs w:val="32"/>
                <w:lang w:val="fr-FR"/>
              </w:rPr>
              <w:t>L</w:t>
            </w:r>
            <w:r w:rsidRPr="00B87E0F">
              <w:rPr>
                <w:rFonts w:eastAsia="MS Mincho" w:cs="Times New Roman"/>
                <w:noProof/>
                <w:szCs w:val="32"/>
                <w:lang w:val="fr-FR"/>
              </w:rPr>
              <w:t>es établissements pourront effectuer le calcul du montant cash à partir de 19h.</w:t>
            </w:r>
          </w:p>
          <w:p w:rsidR="00140482" w:rsidRDefault="00140482" w:rsidP="00140482">
            <w:pPr>
              <w:numPr>
                <w:ilvl w:val="1"/>
                <w:numId w:val="3"/>
              </w:numPr>
              <w:spacing w:before="120"/>
              <w:jc w:val="both"/>
              <w:rPr>
                <w:rFonts w:eastAsia="MS Mincho" w:cs="Times New Roman"/>
                <w:noProof/>
                <w:szCs w:val="32"/>
                <w:lang w:val="fr-FR"/>
              </w:rPr>
            </w:pPr>
            <w:r w:rsidRPr="00B87E0F">
              <w:rPr>
                <w:rFonts w:eastAsia="MS Mincho" w:cs="Times New Roman"/>
                <w:noProof/>
                <w:szCs w:val="32"/>
                <w:lang w:val="fr-FR"/>
              </w:rPr>
              <w:lastRenderedPageBreak/>
              <w:t>Les établissements devront instruire au plus tard à 20h afin que les instructions soient dénouées dans les traitements de nuit de T2S.</w:t>
            </w:r>
          </w:p>
          <w:p w:rsidR="00140482" w:rsidRPr="00C63246" w:rsidRDefault="00140482" w:rsidP="00140482">
            <w:pPr>
              <w:numPr>
                <w:ilvl w:val="1"/>
                <w:numId w:val="3"/>
              </w:numPr>
              <w:spacing w:before="120"/>
              <w:jc w:val="both"/>
              <w:rPr>
                <w:rFonts w:eastAsia="MS Mincho" w:cs="Times New Roman"/>
                <w:noProof/>
                <w:szCs w:val="32"/>
                <w:lang w:val="fr-FR"/>
              </w:rPr>
            </w:pPr>
            <w:r w:rsidRPr="00FE1BB5">
              <w:rPr>
                <w:rFonts w:eastAsia="MS Mincho" w:cs="Times New Roman"/>
                <w:noProof/>
                <w:szCs w:val="32"/>
                <w:lang w:val="fr-FR"/>
              </w:rPr>
              <w:t>En période transitoire comme en cible, LCH.Cle</w:t>
            </w:r>
            <w:r w:rsidR="00BF4B2C">
              <w:rPr>
                <w:rFonts w:eastAsia="MS Mincho" w:cs="Times New Roman"/>
                <w:noProof/>
                <w:szCs w:val="32"/>
                <w:lang w:val="fr-FR"/>
              </w:rPr>
              <w:t>arnet continuera à pratiquer un</w:t>
            </w:r>
            <w:r w:rsidRPr="00FE1BB5">
              <w:rPr>
                <w:rFonts w:eastAsia="MS Mincho" w:cs="Times New Roman"/>
                <w:noProof/>
                <w:szCs w:val="32"/>
                <w:lang w:val="fr-FR"/>
              </w:rPr>
              <w:t xml:space="preserve"> </w:t>
            </w:r>
            <w:r w:rsidR="00BF4B2C">
              <w:rPr>
                <w:rFonts w:eastAsia="MS Mincho" w:cs="Times New Roman"/>
                <w:noProof/>
                <w:szCs w:val="32"/>
                <w:lang w:val="fr-FR"/>
              </w:rPr>
              <w:t xml:space="preserve">fixing </w:t>
            </w:r>
            <w:r w:rsidRPr="00FE1BB5">
              <w:rPr>
                <w:rFonts w:eastAsia="MS Mincho" w:cs="Times New Roman"/>
                <w:noProof/>
                <w:szCs w:val="32"/>
                <w:lang w:val="fr-FR"/>
              </w:rPr>
              <w:t>à J-1 pour le compte de ses membres.</w:t>
            </w:r>
          </w:p>
          <w:p w:rsidR="00140482" w:rsidRDefault="00140482" w:rsidP="00140482">
            <w:pPr>
              <w:pStyle w:val="ListParagraph"/>
              <w:numPr>
                <w:ilvl w:val="0"/>
                <w:numId w:val="3"/>
              </w:numPr>
              <w:spacing w:before="120"/>
              <w:contextualSpacing w:val="0"/>
              <w:jc w:val="both"/>
              <w:rPr>
                <w:rFonts w:eastAsia="MS Mincho" w:cs="Times New Roman"/>
                <w:noProof/>
                <w:szCs w:val="32"/>
                <w:lang w:val="fr-FR"/>
              </w:rPr>
            </w:pPr>
            <w:r>
              <w:rPr>
                <w:rFonts w:eastAsia="MS Mincho" w:cs="Times New Roman"/>
                <w:noProof/>
                <w:szCs w:val="32"/>
                <w:lang w:val="fr-FR"/>
              </w:rPr>
              <w:t>Ces instructions doivent être déclarées auprès de la Banque de France dans le cadre du déclaratif Protide, néanmoins aucun traitement spécifique n’est demandé par la Banque de France, ce déclaratif intégrant déjà aujourd’hui des transactions instruites en mode achat / vente, par exemple pour les contrats de cessions temporaires instruits chez les ICSD.</w:t>
            </w:r>
          </w:p>
          <w:p w:rsidR="00140482" w:rsidRDefault="00140482" w:rsidP="00140482">
            <w:pPr>
              <w:pStyle w:val="ListParagraph"/>
              <w:numPr>
                <w:ilvl w:val="0"/>
                <w:numId w:val="3"/>
              </w:numPr>
              <w:spacing w:before="120"/>
              <w:contextualSpacing w:val="0"/>
              <w:jc w:val="both"/>
              <w:rPr>
                <w:rFonts w:eastAsia="MS Mincho" w:cs="Times New Roman"/>
                <w:noProof/>
                <w:szCs w:val="32"/>
                <w:lang w:val="fr-FR"/>
              </w:rPr>
            </w:pPr>
            <w:r w:rsidRPr="00FE1BB5">
              <w:rPr>
                <w:rFonts w:eastAsia="MS Mincho" w:cs="Times New Roman"/>
                <w:noProof/>
                <w:szCs w:val="32"/>
                <w:lang w:val="fr-FR"/>
              </w:rPr>
              <w:t xml:space="preserve">En cas de mauvaise allocation du produit des coupons au regard de la propriété des titres, les établissements devront gérer eux-mêmes la rétrocession des coupons en bonne date de paiement, et s’assurer qu’aucune rétrocession de coupon ne soit générée automatiquement par Euroclear </w:t>
            </w:r>
            <w:r w:rsidR="00732EE3">
              <w:rPr>
                <w:rFonts w:eastAsia="MS Mincho" w:cs="Times New Roman"/>
                <w:noProof/>
                <w:szCs w:val="32"/>
                <w:lang w:val="fr-FR"/>
              </w:rPr>
              <w:t xml:space="preserve">France </w:t>
            </w:r>
            <w:r w:rsidRPr="00FE1BB5">
              <w:rPr>
                <w:rFonts w:eastAsia="MS Mincho" w:cs="Times New Roman"/>
                <w:noProof/>
                <w:szCs w:val="32"/>
                <w:lang w:val="fr-FR"/>
              </w:rPr>
              <w:t xml:space="preserve">en fin de contrat (NB : si des rétrocessions étaient générées en fin de contrat par </w:t>
            </w:r>
            <w:r w:rsidR="00732EE3" w:rsidRPr="00FE1BB5">
              <w:rPr>
                <w:rFonts w:eastAsia="MS Mincho" w:cs="Times New Roman"/>
                <w:noProof/>
                <w:szCs w:val="32"/>
                <w:lang w:val="fr-FR"/>
              </w:rPr>
              <w:t>Euroclea</w:t>
            </w:r>
            <w:r w:rsidR="002C17AB">
              <w:rPr>
                <w:rFonts w:eastAsia="MS Mincho" w:cs="Times New Roman"/>
                <w:noProof/>
                <w:szCs w:val="32"/>
                <w:lang w:val="fr-FR"/>
              </w:rPr>
              <w:t>r</w:t>
            </w:r>
            <w:r w:rsidR="00732EE3">
              <w:rPr>
                <w:rFonts w:eastAsia="MS Mincho" w:cs="Times New Roman"/>
                <w:noProof/>
                <w:szCs w:val="32"/>
                <w:lang w:val="fr-FR"/>
              </w:rPr>
              <w:t xml:space="preserve"> France</w:t>
            </w:r>
            <w:r w:rsidRPr="00FE1BB5">
              <w:rPr>
                <w:rFonts w:eastAsia="MS Mincho" w:cs="Times New Roman"/>
                <w:noProof/>
                <w:szCs w:val="32"/>
                <w:lang w:val="fr-FR"/>
              </w:rPr>
              <w:t xml:space="preserve">, elles devraient être neutralisées). Cette pratique est identique à celle existant </w:t>
            </w:r>
            <w:r w:rsidR="00732EE3">
              <w:rPr>
                <w:rFonts w:eastAsia="MS Mincho" w:cs="Times New Roman"/>
                <w:noProof/>
                <w:szCs w:val="32"/>
                <w:lang w:val="fr-FR"/>
              </w:rPr>
              <w:t>pour</w:t>
            </w:r>
            <w:r w:rsidR="00732EE3" w:rsidRPr="00FE1BB5">
              <w:rPr>
                <w:rFonts w:eastAsia="MS Mincho" w:cs="Times New Roman"/>
                <w:noProof/>
                <w:szCs w:val="32"/>
                <w:lang w:val="fr-FR"/>
              </w:rPr>
              <w:t xml:space="preserve"> </w:t>
            </w:r>
            <w:r w:rsidRPr="00FE1BB5">
              <w:rPr>
                <w:rFonts w:eastAsia="MS Mincho" w:cs="Times New Roman"/>
                <w:noProof/>
                <w:szCs w:val="32"/>
                <w:lang w:val="fr-FR"/>
              </w:rPr>
              <w:t>les contrats internationaux.</w:t>
            </w:r>
          </w:p>
          <w:p w:rsidR="005F17ED" w:rsidRPr="00DC1DEA" w:rsidRDefault="005F17ED" w:rsidP="005F17ED">
            <w:pPr>
              <w:pStyle w:val="ListParagraph"/>
              <w:numPr>
                <w:ilvl w:val="0"/>
                <w:numId w:val="3"/>
              </w:numPr>
              <w:spacing w:before="120"/>
              <w:contextualSpacing w:val="0"/>
              <w:jc w:val="both"/>
              <w:rPr>
                <w:rFonts w:eastAsia="MS Mincho" w:cs="Times New Roman"/>
                <w:noProof/>
                <w:szCs w:val="32"/>
                <w:lang w:val="fr-FR"/>
              </w:rPr>
            </w:pPr>
            <w:r w:rsidRPr="00DC1DEA">
              <w:rPr>
                <w:rFonts w:eastAsia="MS Mincho" w:cs="Times New Roman"/>
                <w:noProof/>
                <w:szCs w:val="32"/>
                <w:lang w:val="fr-FR"/>
              </w:rPr>
              <w:t>Traitement des pensions livrées négociées moins de 35 jours avant la migration d’Euroclear France vers T2S : les participants ont retenu le mode de fonctionnement suivant :</w:t>
            </w:r>
          </w:p>
          <w:p w:rsidR="005F17ED" w:rsidRPr="00DC1DEA" w:rsidRDefault="005F17ED" w:rsidP="005F17ED">
            <w:pPr>
              <w:numPr>
                <w:ilvl w:val="1"/>
                <w:numId w:val="3"/>
              </w:numPr>
              <w:spacing w:before="120"/>
              <w:jc w:val="both"/>
              <w:rPr>
                <w:rFonts w:eastAsia="MS Mincho" w:cs="Times New Roman"/>
                <w:noProof/>
                <w:szCs w:val="32"/>
                <w:lang w:val="fr-FR"/>
              </w:rPr>
            </w:pPr>
            <w:r w:rsidRPr="00DC1DEA">
              <w:rPr>
                <w:rFonts w:eastAsia="MS Mincho" w:cs="Times New Roman"/>
                <w:noProof/>
                <w:szCs w:val="32"/>
                <w:lang w:val="fr-FR"/>
              </w:rPr>
              <w:t>Renseignement de la date de négociation avec la trade date originelle du contrat tel que négocié</w:t>
            </w:r>
          </w:p>
          <w:p w:rsidR="005F17ED" w:rsidRDefault="005F17ED" w:rsidP="005F17ED">
            <w:pPr>
              <w:numPr>
                <w:ilvl w:val="1"/>
                <w:numId w:val="3"/>
              </w:numPr>
              <w:spacing w:before="120"/>
              <w:jc w:val="both"/>
              <w:rPr>
                <w:rFonts w:eastAsia="MS Mincho" w:cs="Times New Roman"/>
                <w:noProof/>
                <w:szCs w:val="32"/>
                <w:lang w:val="fr-FR"/>
              </w:rPr>
            </w:pPr>
            <w:r w:rsidRPr="00DC1DEA">
              <w:rPr>
                <w:rFonts w:eastAsia="MS Mincho" w:cs="Times New Roman"/>
                <w:noProof/>
                <w:szCs w:val="32"/>
                <w:lang w:val="fr-FR"/>
              </w:rPr>
              <w:t>Ré-émission durant le week-end de migration, après le point de non-retour</w:t>
            </w:r>
          </w:p>
          <w:p w:rsidR="005F17ED" w:rsidRPr="005F17ED" w:rsidRDefault="005F17ED" w:rsidP="005F17ED">
            <w:pPr>
              <w:pStyle w:val="ListParagraph"/>
              <w:numPr>
                <w:ilvl w:val="0"/>
                <w:numId w:val="3"/>
              </w:numPr>
              <w:spacing w:before="120"/>
              <w:contextualSpacing w:val="0"/>
              <w:jc w:val="both"/>
              <w:rPr>
                <w:rFonts w:eastAsia="MS Mincho" w:cs="Times New Roman"/>
                <w:noProof/>
                <w:szCs w:val="32"/>
                <w:lang w:val="fr-FR"/>
              </w:rPr>
            </w:pPr>
            <w:r>
              <w:rPr>
                <w:rFonts w:eastAsia="MS Mincho" w:cs="Times New Roman"/>
                <w:noProof/>
                <w:szCs w:val="32"/>
                <w:lang w:val="fr-FR"/>
              </w:rPr>
              <w:t>Traitement des instructions qui seront purgées par Euroclear France durant le week-end de migration : les participants recommandent une purge des instructions par Euroclear, avec une ré-émission des instructions durant le week-end de migration, après le point de non-retour prononcé par Euroclear France.</w:t>
            </w:r>
          </w:p>
          <w:p w:rsidR="00140482" w:rsidRDefault="00140482" w:rsidP="00140482">
            <w:pPr>
              <w:spacing w:before="120"/>
              <w:jc w:val="both"/>
              <w:rPr>
                <w:rFonts w:eastAsia="MS Mincho" w:cs="Times New Roman"/>
                <w:noProof/>
                <w:szCs w:val="32"/>
                <w:lang w:val="fr-FR"/>
              </w:rPr>
            </w:pPr>
          </w:p>
          <w:p w:rsidR="00140482" w:rsidRPr="003E6298" w:rsidRDefault="00140482" w:rsidP="00140482">
            <w:pPr>
              <w:spacing w:before="120"/>
              <w:rPr>
                <w:rFonts w:eastAsia="MS Mincho" w:cs="Times New Roman"/>
                <w:b/>
                <w:noProof/>
                <w:szCs w:val="32"/>
                <w:lang w:val="fr-FR"/>
              </w:rPr>
            </w:pPr>
            <w:r w:rsidRPr="003E6298">
              <w:rPr>
                <w:rFonts w:eastAsia="MS Mincho" w:cs="Times New Roman"/>
                <w:b/>
                <w:noProof/>
                <w:szCs w:val="32"/>
                <w:lang w:val="fr-FR"/>
              </w:rPr>
              <w:t>Cas particulier des contrats open-ended</w:t>
            </w:r>
          </w:p>
          <w:p w:rsidR="00140482" w:rsidRDefault="00140482" w:rsidP="00140482">
            <w:pPr>
              <w:spacing w:before="120"/>
              <w:jc w:val="both"/>
              <w:rPr>
                <w:rFonts w:eastAsia="MS Mincho" w:cs="Times New Roman"/>
                <w:noProof/>
                <w:szCs w:val="32"/>
                <w:lang w:val="fr-FR"/>
              </w:rPr>
            </w:pPr>
            <w:r>
              <w:rPr>
                <w:rFonts w:eastAsia="MS Mincho" w:cs="Times New Roman"/>
                <w:noProof/>
                <w:szCs w:val="32"/>
                <w:lang w:val="fr-FR"/>
              </w:rPr>
              <w:t>L</w:t>
            </w:r>
            <w:r w:rsidRPr="003E6298">
              <w:rPr>
                <w:rFonts w:eastAsia="MS Mincho" w:cs="Times New Roman"/>
                <w:noProof/>
                <w:szCs w:val="32"/>
                <w:lang w:val="fr-FR"/>
              </w:rPr>
              <w:t xml:space="preserve">e traitement des ré-émissions des jambes retour des </w:t>
            </w:r>
            <w:r w:rsidR="0002059A">
              <w:rPr>
                <w:rFonts w:eastAsia="MS Mincho" w:cs="Times New Roman"/>
                <w:noProof/>
                <w:szCs w:val="32"/>
                <w:lang w:val="fr-FR"/>
              </w:rPr>
              <w:t xml:space="preserve">contrats </w:t>
            </w:r>
            <w:r w:rsidRPr="003E6298">
              <w:rPr>
                <w:rFonts w:eastAsia="MS Mincho" w:cs="Times New Roman"/>
                <w:noProof/>
                <w:szCs w:val="32"/>
                <w:lang w:val="fr-FR"/>
              </w:rPr>
              <w:t xml:space="preserve">open est identique à celui des repos à taux variable : la date de maturité n’étant pas connue, les jambes retour ne pourront être instruites par les participants. Une fois le module Pensions Livrées désactivé, les jambes retour sur les </w:t>
            </w:r>
            <w:r>
              <w:rPr>
                <w:rFonts w:eastAsia="MS Mincho" w:cs="Times New Roman"/>
                <w:noProof/>
                <w:szCs w:val="32"/>
                <w:lang w:val="fr-FR"/>
              </w:rPr>
              <w:t xml:space="preserve">contrats </w:t>
            </w:r>
            <w:r w:rsidRPr="003E6298">
              <w:rPr>
                <w:rFonts w:eastAsia="MS Mincho" w:cs="Times New Roman"/>
                <w:noProof/>
                <w:szCs w:val="32"/>
                <w:lang w:val="fr-FR"/>
              </w:rPr>
              <w:t>open</w:t>
            </w:r>
            <w:r>
              <w:rPr>
                <w:rFonts w:eastAsia="MS Mincho" w:cs="Times New Roman"/>
                <w:noProof/>
                <w:szCs w:val="32"/>
                <w:lang w:val="fr-FR"/>
              </w:rPr>
              <w:t>-ended</w:t>
            </w:r>
            <w:r w:rsidRPr="003E6298">
              <w:rPr>
                <w:rFonts w:eastAsia="MS Mincho" w:cs="Times New Roman"/>
                <w:noProof/>
                <w:szCs w:val="32"/>
                <w:lang w:val="fr-FR"/>
              </w:rPr>
              <w:t xml:space="preserve"> ne seront donc pas visibles sur le marché.</w:t>
            </w:r>
          </w:p>
          <w:p w:rsidR="00AA1FDB" w:rsidRPr="00C33595" w:rsidRDefault="00AA1FDB" w:rsidP="0091257E">
            <w:pPr>
              <w:spacing w:before="60" w:after="60"/>
              <w:jc w:val="both"/>
              <w:rPr>
                <w:rFonts w:eastAsia="MS Mincho" w:cs="Times New Roman"/>
                <w:noProof/>
                <w:szCs w:val="32"/>
                <w:lang w:val="fr-FR"/>
              </w:rPr>
            </w:pPr>
          </w:p>
        </w:tc>
      </w:tr>
      <w:tr w:rsidR="0081511D" w:rsidRPr="005F17ED" w:rsidTr="0081511D">
        <w:tc>
          <w:tcPr>
            <w:tcW w:w="2093" w:type="dxa"/>
            <w:tcBorders>
              <w:left w:val="nil"/>
              <w:right w:val="nil"/>
            </w:tcBorders>
            <w:shd w:val="clear" w:color="auto" w:fill="auto"/>
          </w:tcPr>
          <w:p w:rsidR="0081511D" w:rsidRDefault="0081511D" w:rsidP="006542ED">
            <w:pPr>
              <w:rPr>
                <w:rFonts w:eastAsia="MS Mincho" w:cs="Times New Roman"/>
                <w:b/>
                <w:noProof/>
                <w:szCs w:val="32"/>
                <w:lang w:val="fr-FR"/>
              </w:rPr>
            </w:pPr>
          </w:p>
        </w:tc>
        <w:tc>
          <w:tcPr>
            <w:tcW w:w="7513" w:type="dxa"/>
            <w:gridSpan w:val="2"/>
            <w:tcBorders>
              <w:left w:val="nil"/>
              <w:right w:val="nil"/>
            </w:tcBorders>
            <w:shd w:val="clear" w:color="auto" w:fill="auto"/>
          </w:tcPr>
          <w:p w:rsidR="0081511D" w:rsidRPr="0081511D" w:rsidRDefault="0081511D" w:rsidP="006542ED">
            <w:pPr>
              <w:rPr>
                <w:rFonts w:eastAsia="MS Mincho" w:cs="Times New Roman"/>
                <w:b/>
                <w:noProof/>
                <w:szCs w:val="32"/>
                <w:lang w:val="fr-FR"/>
              </w:rPr>
            </w:pPr>
          </w:p>
        </w:tc>
      </w:tr>
      <w:tr w:rsidR="0081511D" w:rsidTr="0081511D">
        <w:trPr>
          <w:gridAfter w:val="1"/>
          <w:wAfter w:w="30" w:type="dxa"/>
        </w:trPr>
        <w:tc>
          <w:tcPr>
            <w:tcW w:w="2093" w:type="dxa"/>
            <w:tcBorders>
              <w:bottom w:val="single" w:sz="4" w:space="0" w:color="auto"/>
            </w:tcBorders>
            <w:shd w:val="clear" w:color="auto" w:fill="BFBFBF" w:themeFill="background1" w:themeFillShade="BF"/>
          </w:tcPr>
          <w:p w:rsidR="0081511D" w:rsidRDefault="0081511D" w:rsidP="006542ED">
            <w:pPr>
              <w:rPr>
                <w:rFonts w:eastAsia="MS Mincho" w:cs="Times New Roman"/>
                <w:b/>
                <w:noProof/>
                <w:szCs w:val="32"/>
                <w:lang w:val="fr-FR"/>
              </w:rPr>
            </w:pPr>
            <w:r>
              <w:rPr>
                <w:rFonts w:eastAsia="MS Mincho" w:cs="Times New Roman"/>
                <w:b/>
                <w:noProof/>
                <w:szCs w:val="32"/>
                <w:lang w:val="fr-FR"/>
              </w:rPr>
              <w:lastRenderedPageBreak/>
              <w:t xml:space="preserve">Description des rôles de toutes les parties prenantes </w:t>
            </w:r>
          </w:p>
          <w:p w:rsidR="0081511D" w:rsidRPr="00D103DA" w:rsidRDefault="0081511D" w:rsidP="006542ED">
            <w:pPr>
              <w:rPr>
                <w:rFonts w:eastAsia="MS Mincho" w:cs="Times New Roman"/>
                <w:b/>
                <w:noProof/>
                <w:szCs w:val="32"/>
                <w:lang w:val="fr-FR"/>
              </w:rPr>
            </w:pPr>
            <w:r>
              <w:rPr>
                <w:rFonts w:eastAsia="MS Mincho" w:cs="Times New Roman"/>
                <w:b/>
                <w:noProof/>
                <w:szCs w:val="32"/>
                <w:lang w:val="fr-FR"/>
              </w:rPr>
              <w:t>(FACULTATIF)</w:t>
            </w:r>
          </w:p>
        </w:tc>
        <w:tc>
          <w:tcPr>
            <w:tcW w:w="7483" w:type="dxa"/>
            <w:tcBorders>
              <w:bottom w:val="single" w:sz="4" w:space="0" w:color="auto"/>
            </w:tcBorders>
          </w:tcPr>
          <w:p w:rsidR="0081511D" w:rsidRDefault="0081511D" w:rsidP="006542ED">
            <w:pPr>
              <w:rPr>
                <w:rFonts w:eastAsia="MS Mincho" w:cs="Times New Roman"/>
                <w:noProof/>
                <w:szCs w:val="32"/>
                <w:lang w:val="fr-FR"/>
              </w:rPr>
            </w:pPr>
          </w:p>
          <w:p w:rsidR="0081511D" w:rsidRDefault="0081511D" w:rsidP="006542ED">
            <w:pPr>
              <w:rPr>
                <w:rFonts w:eastAsia="MS Mincho" w:cs="Times New Roman"/>
                <w:noProof/>
                <w:szCs w:val="32"/>
                <w:lang w:val="fr-FR"/>
              </w:rPr>
            </w:pPr>
          </w:p>
          <w:p w:rsidR="0081511D" w:rsidRDefault="0081511D" w:rsidP="006542ED">
            <w:pPr>
              <w:rPr>
                <w:rFonts w:eastAsia="MS Mincho" w:cs="Times New Roman"/>
                <w:noProof/>
                <w:szCs w:val="32"/>
                <w:lang w:val="fr-FR"/>
              </w:rPr>
            </w:pPr>
          </w:p>
          <w:p w:rsidR="0081511D" w:rsidRDefault="0081511D" w:rsidP="006542ED">
            <w:pPr>
              <w:rPr>
                <w:rFonts w:eastAsia="MS Mincho" w:cs="Times New Roman"/>
                <w:noProof/>
                <w:szCs w:val="32"/>
                <w:lang w:val="fr-FR"/>
              </w:rPr>
            </w:pPr>
          </w:p>
        </w:tc>
      </w:tr>
      <w:tr w:rsidR="0081511D" w:rsidTr="0081511D">
        <w:trPr>
          <w:gridAfter w:val="1"/>
          <w:wAfter w:w="30" w:type="dxa"/>
        </w:trPr>
        <w:tc>
          <w:tcPr>
            <w:tcW w:w="2093" w:type="dxa"/>
            <w:tcBorders>
              <w:left w:val="nil"/>
              <w:right w:val="nil"/>
            </w:tcBorders>
            <w:shd w:val="clear" w:color="auto" w:fill="FFFFFF" w:themeFill="background1"/>
          </w:tcPr>
          <w:p w:rsidR="0081511D" w:rsidRDefault="0081511D" w:rsidP="006542ED">
            <w:pPr>
              <w:rPr>
                <w:rFonts w:eastAsia="MS Mincho" w:cs="Times New Roman"/>
                <w:b/>
                <w:noProof/>
                <w:szCs w:val="32"/>
                <w:lang w:val="fr-FR"/>
              </w:rPr>
            </w:pPr>
          </w:p>
        </w:tc>
        <w:tc>
          <w:tcPr>
            <w:tcW w:w="7483" w:type="dxa"/>
            <w:tcBorders>
              <w:left w:val="nil"/>
              <w:bottom w:val="single" w:sz="4" w:space="0" w:color="auto"/>
              <w:right w:val="nil"/>
            </w:tcBorders>
            <w:shd w:val="clear" w:color="auto" w:fill="FFFFFF" w:themeFill="background1"/>
          </w:tcPr>
          <w:p w:rsidR="0081511D" w:rsidRDefault="0081511D" w:rsidP="006542ED">
            <w:pPr>
              <w:rPr>
                <w:rFonts w:eastAsia="MS Mincho" w:cs="Times New Roman"/>
                <w:noProof/>
                <w:szCs w:val="32"/>
                <w:lang w:val="fr-FR"/>
              </w:rPr>
            </w:pPr>
          </w:p>
        </w:tc>
      </w:tr>
      <w:tr w:rsidR="0081511D" w:rsidTr="0081511D">
        <w:trPr>
          <w:gridAfter w:val="1"/>
          <w:wAfter w:w="30" w:type="dxa"/>
        </w:trPr>
        <w:tc>
          <w:tcPr>
            <w:tcW w:w="2093" w:type="dxa"/>
            <w:shd w:val="clear" w:color="auto" w:fill="BFBFBF" w:themeFill="background1" w:themeFillShade="BF"/>
          </w:tcPr>
          <w:p w:rsidR="0081511D" w:rsidRDefault="0081511D" w:rsidP="006542ED">
            <w:pPr>
              <w:rPr>
                <w:rFonts w:eastAsia="MS Mincho" w:cs="Times New Roman"/>
                <w:b/>
                <w:noProof/>
                <w:szCs w:val="32"/>
                <w:lang w:val="fr-FR"/>
              </w:rPr>
            </w:pPr>
            <w:r>
              <w:rPr>
                <w:rFonts w:eastAsia="MS Mincho" w:cs="Times New Roman"/>
                <w:b/>
                <w:noProof/>
                <w:szCs w:val="32"/>
                <w:lang w:val="fr-FR"/>
              </w:rPr>
              <w:t>Schéma des flux</w:t>
            </w:r>
          </w:p>
          <w:p w:rsidR="0081511D" w:rsidRDefault="0081511D" w:rsidP="006542ED">
            <w:pPr>
              <w:rPr>
                <w:rFonts w:eastAsia="MS Mincho" w:cs="Times New Roman"/>
                <w:b/>
                <w:noProof/>
                <w:szCs w:val="32"/>
                <w:lang w:val="fr-FR"/>
              </w:rPr>
            </w:pPr>
            <w:r>
              <w:rPr>
                <w:rFonts w:eastAsia="MS Mincho" w:cs="Times New Roman"/>
                <w:b/>
                <w:noProof/>
                <w:szCs w:val="32"/>
                <w:lang w:val="fr-FR"/>
              </w:rPr>
              <w:t>(FACULTATIF)</w:t>
            </w:r>
          </w:p>
        </w:tc>
        <w:tc>
          <w:tcPr>
            <w:tcW w:w="7483" w:type="dxa"/>
            <w:tcBorders>
              <w:bottom w:val="single" w:sz="4" w:space="0" w:color="auto"/>
            </w:tcBorders>
          </w:tcPr>
          <w:p w:rsidR="0081511D" w:rsidRDefault="0081511D" w:rsidP="006542ED">
            <w:pPr>
              <w:rPr>
                <w:rFonts w:eastAsia="MS Mincho" w:cs="Times New Roman"/>
                <w:noProof/>
                <w:szCs w:val="32"/>
                <w:lang w:val="fr-FR"/>
              </w:rPr>
            </w:pPr>
          </w:p>
          <w:p w:rsidR="0081511D" w:rsidRDefault="0081511D" w:rsidP="006542ED">
            <w:pPr>
              <w:rPr>
                <w:rFonts w:eastAsia="MS Mincho" w:cs="Times New Roman"/>
                <w:noProof/>
                <w:szCs w:val="32"/>
                <w:lang w:val="fr-FR"/>
              </w:rPr>
            </w:pPr>
          </w:p>
        </w:tc>
      </w:tr>
    </w:tbl>
    <w:p w:rsidR="00363E89" w:rsidRDefault="00363E89" w:rsidP="001E0D83">
      <w:pPr>
        <w:spacing w:after="0" w:line="240" w:lineRule="auto"/>
        <w:rPr>
          <w:rFonts w:eastAsia="MS Mincho" w:cs="Times New Roman"/>
          <w:noProof/>
          <w:szCs w:val="32"/>
          <w:lang w:val="fr-FR"/>
        </w:rPr>
      </w:pPr>
    </w:p>
    <w:p w:rsidR="00BA6B0A" w:rsidRDefault="00BA6B0A" w:rsidP="001E0D83">
      <w:pPr>
        <w:spacing w:after="0" w:line="240" w:lineRule="auto"/>
        <w:rPr>
          <w:rFonts w:eastAsia="MS Mincho" w:cs="Times New Roman"/>
          <w:noProof/>
          <w:szCs w:val="32"/>
          <w:lang w:val="fr-FR"/>
        </w:rPr>
      </w:pPr>
    </w:p>
    <w:p w:rsidR="00140482" w:rsidRPr="004F6025" w:rsidRDefault="00140482" w:rsidP="00140482">
      <w:pPr>
        <w:pStyle w:val="ListParagraph"/>
        <w:numPr>
          <w:ilvl w:val="0"/>
          <w:numId w:val="1"/>
        </w:numPr>
        <w:spacing w:after="0" w:line="240" w:lineRule="auto"/>
        <w:ind w:left="284" w:hanging="284"/>
        <w:rPr>
          <w:rFonts w:eastAsia="MS Mincho" w:cs="Times New Roman"/>
          <w:b/>
          <w:caps/>
          <w:noProof/>
          <w:sz w:val="32"/>
          <w:szCs w:val="32"/>
          <w:lang w:val="fr-FR"/>
        </w:rPr>
      </w:pPr>
      <w:r>
        <w:rPr>
          <w:rFonts w:eastAsia="MS Mincho" w:cs="Times New Roman"/>
          <w:b/>
          <w:caps/>
          <w:noProof/>
          <w:sz w:val="32"/>
          <w:szCs w:val="32"/>
          <w:lang w:val="fr-FR"/>
        </w:rPr>
        <w:t>mise en oeuvre</w:t>
      </w:r>
    </w:p>
    <w:p w:rsidR="00140482" w:rsidRDefault="00140482" w:rsidP="00140482">
      <w:pPr>
        <w:spacing w:after="0" w:line="240" w:lineRule="auto"/>
        <w:rPr>
          <w:rFonts w:eastAsia="MS Mincho" w:cs="Times New Roman"/>
          <w:noProof/>
          <w:szCs w:val="32"/>
          <w:lang w:val="fr-FR"/>
        </w:rPr>
      </w:pPr>
    </w:p>
    <w:tbl>
      <w:tblPr>
        <w:tblStyle w:val="TableGrid"/>
        <w:tblW w:w="9616" w:type="dxa"/>
        <w:tblLook w:val="04A0" w:firstRow="1" w:lastRow="0" w:firstColumn="1" w:lastColumn="0" w:noHBand="0" w:noVBand="1"/>
      </w:tblPr>
      <w:tblGrid>
        <w:gridCol w:w="2302"/>
        <w:gridCol w:w="2166"/>
        <w:gridCol w:w="272"/>
        <w:gridCol w:w="1599"/>
        <w:gridCol w:w="839"/>
        <w:gridCol w:w="842"/>
        <w:gridCol w:w="1556"/>
        <w:gridCol w:w="40"/>
      </w:tblGrid>
      <w:tr w:rsidR="00140482" w:rsidRPr="005F17ED" w:rsidTr="000E651B">
        <w:trPr>
          <w:trHeight w:val="338"/>
        </w:trPr>
        <w:tc>
          <w:tcPr>
            <w:tcW w:w="2302" w:type="dxa"/>
            <w:vMerge w:val="restart"/>
            <w:shd w:val="clear" w:color="auto" w:fill="BFBFBF" w:themeFill="background1" w:themeFillShade="BF"/>
          </w:tcPr>
          <w:p w:rsidR="00140482" w:rsidRPr="00D103DA" w:rsidRDefault="00140482" w:rsidP="000E651B">
            <w:pPr>
              <w:rPr>
                <w:rFonts w:eastAsia="MS Mincho" w:cs="Times New Roman"/>
                <w:b/>
                <w:noProof/>
                <w:szCs w:val="32"/>
                <w:lang w:val="fr-FR"/>
              </w:rPr>
            </w:pPr>
            <w:r>
              <w:rPr>
                <w:rFonts w:eastAsia="MS Mincho" w:cs="Times New Roman"/>
                <w:b/>
                <w:noProof/>
                <w:szCs w:val="32"/>
                <w:lang w:val="fr-FR"/>
              </w:rPr>
              <w:t>Horizon de mise en oeuvre</w:t>
            </w:r>
          </w:p>
        </w:tc>
        <w:tc>
          <w:tcPr>
            <w:tcW w:w="2438" w:type="dxa"/>
            <w:gridSpan w:val="2"/>
          </w:tcPr>
          <w:p w:rsidR="00140482" w:rsidRPr="00785264" w:rsidRDefault="00140482" w:rsidP="000E651B">
            <w:pPr>
              <w:jc w:val="center"/>
              <w:rPr>
                <w:rFonts w:eastAsia="MS Mincho" w:cs="Times New Roman"/>
                <w:b/>
                <w:noProof/>
                <w:szCs w:val="32"/>
                <w:lang w:val="fr-FR"/>
              </w:rPr>
            </w:pPr>
            <w:r w:rsidRPr="00785264">
              <w:rPr>
                <w:rFonts w:eastAsia="MS Mincho" w:cs="Times New Roman"/>
                <w:b/>
                <w:noProof/>
                <w:szCs w:val="32"/>
                <w:lang w:val="fr-FR"/>
              </w:rPr>
              <w:t>Avant la migration vers T2S</w:t>
            </w:r>
          </w:p>
        </w:tc>
        <w:tc>
          <w:tcPr>
            <w:tcW w:w="2438" w:type="dxa"/>
            <w:gridSpan w:val="2"/>
          </w:tcPr>
          <w:p w:rsidR="00140482" w:rsidRPr="009637E5" w:rsidRDefault="00140482" w:rsidP="000E651B">
            <w:pPr>
              <w:jc w:val="center"/>
              <w:rPr>
                <w:rFonts w:eastAsia="MS Mincho" w:cs="Times New Roman"/>
                <w:b/>
                <w:noProof/>
                <w:szCs w:val="32"/>
                <w:lang w:val="fr-FR"/>
              </w:rPr>
            </w:pPr>
            <w:r>
              <w:rPr>
                <w:rFonts w:eastAsia="MS Mincho" w:cs="Times New Roman"/>
                <w:b/>
                <w:noProof/>
                <w:szCs w:val="32"/>
                <w:lang w:val="fr-FR"/>
              </w:rPr>
              <w:t>Lors du démarrage en production sur T2S</w:t>
            </w:r>
          </w:p>
        </w:tc>
        <w:tc>
          <w:tcPr>
            <w:tcW w:w="2438" w:type="dxa"/>
            <w:gridSpan w:val="3"/>
          </w:tcPr>
          <w:p w:rsidR="00140482" w:rsidRPr="009637E5" w:rsidRDefault="00140482" w:rsidP="000E651B">
            <w:pPr>
              <w:jc w:val="center"/>
              <w:rPr>
                <w:rFonts w:eastAsia="MS Mincho" w:cs="Times New Roman"/>
                <w:b/>
                <w:noProof/>
                <w:szCs w:val="32"/>
                <w:lang w:val="fr-FR"/>
              </w:rPr>
            </w:pPr>
            <w:r>
              <w:rPr>
                <w:rFonts w:eastAsia="MS Mincho" w:cs="Times New Roman"/>
                <w:b/>
                <w:noProof/>
                <w:szCs w:val="32"/>
                <w:lang w:val="fr-FR"/>
              </w:rPr>
              <w:t>Après la migration vers T2S</w:t>
            </w:r>
          </w:p>
        </w:tc>
      </w:tr>
      <w:tr w:rsidR="00140482" w:rsidTr="000E651B">
        <w:trPr>
          <w:trHeight w:val="337"/>
        </w:trPr>
        <w:tc>
          <w:tcPr>
            <w:tcW w:w="2302" w:type="dxa"/>
            <w:vMerge/>
            <w:tcBorders>
              <w:bottom w:val="single" w:sz="4" w:space="0" w:color="auto"/>
            </w:tcBorders>
            <w:shd w:val="clear" w:color="auto" w:fill="BFBFBF" w:themeFill="background1" w:themeFillShade="BF"/>
          </w:tcPr>
          <w:p w:rsidR="00140482" w:rsidRDefault="00140482" w:rsidP="000E651B">
            <w:pPr>
              <w:rPr>
                <w:rFonts w:eastAsia="MS Mincho" w:cs="Times New Roman"/>
                <w:b/>
                <w:noProof/>
                <w:szCs w:val="32"/>
                <w:lang w:val="fr-FR"/>
              </w:rPr>
            </w:pPr>
          </w:p>
        </w:tc>
        <w:tc>
          <w:tcPr>
            <w:tcW w:w="2438" w:type="dxa"/>
            <w:gridSpan w:val="2"/>
            <w:tcBorders>
              <w:bottom w:val="single" w:sz="4" w:space="0" w:color="auto"/>
            </w:tcBorders>
            <w:shd w:val="clear" w:color="auto" w:fill="auto"/>
          </w:tcPr>
          <w:p w:rsidR="00140482" w:rsidRDefault="006B6D6F" w:rsidP="000E651B">
            <w:pPr>
              <w:jc w:val="center"/>
              <w:rPr>
                <w:rFonts w:ascii="Wingdings" w:hAnsi="Wingdings" w:cs="Wingdings"/>
                <w:sz w:val="26"/>
                <w:szCs w:val="26"/>
              </w:rPr>
            </w:pPr>
            <w:r>
              <w:rPr>
                <w:rFonts w:ascii="Wingdings" w:hAnsi="Wingdings" w:cs="Wingdings"/>
                <w:sz w:val="26"/>
                <w:szCs w:val="26"/>
              </w:rPr>
              <w:t></w:t>
            </w:r>
          </w:p>
          <w:p w:rsidR="00140482" w:rsidRPr="00785264" w:rsidRDefault="00140482" w:rsidP="000E651B">
            <w:pPr>
              <w:jc w:val="center"/>
              <w:rPr>
                <w:rFonts w:cs="Wingdings"/>
                <w:szCs w:val="26"/>
              </w:rPr>
            </w:pPr>
            <w:r w:rsidRPr="00785264">
              <w:rPr>
                <w:rFonts w:cs="Wingdings"/>
                <w:szCs w:val="26"/>
              </w:rPr>
              <w:t xml:space="preserve">Date: </w:t>
            </w:r>
            <w:r w:rsidR="006B6D6F">
              <w:rPr>
                <w:rFonts w:cs="Wingdings"/>
                <w:szCs w:val="26"/>
              </w:rPr>
              <w:t>9</w:t>
            </w:r>
            <w:r w:rsidR="00732EE3">
              <w:rPr>
                <w:rFonts w:cs="Wingdings"/>
                <w:szCs w:val="26"/>
              </w:rPr>
              <w:t>/05/</w:t>
            </w:r>
            <w:r w:rsidR="006B6D6F">
              <w:rPr>
                <w:rFonts w:cs="Wingdings"/>
                <w:szCs w:val="26"/>
              </w:rPr>
              <w:t>2016</w:t>
            </w:r>
          </w:p>
          <w:p w:rsidR="00140482" w:rsidRDefault="00140482" w:rsidP="000E651B">
            <w:pPr>
              <w:rPr>
                <w:rFonts w:eastAsia="MS Mincho" w:cs="Times New Roman"/>
                <w:noProof/>
                <w:szCs w:val="32"/>
                <w:lang w:val="fr-FR"/>
              </w:rPr>
            </w:pPr>
          </w:p>
        </w:tc>
        <w:tc>
          <w:tcPr>
            <w:tcW w:w="2438" w:type="dxa"/>
            <w:gridSpan w:val="2"/>
            <w:tcBorders>
              <w:bottom w:val="single" w:sz="4" w:space="0" w:color="auto"/>
            </w:tcBorders>
          </w:tcPr>
          <w:p w:rsidR="00140482" w:rsidRDefault="00140482" w:rsidP="000E651B">
            <w:pPr>
              <w:jc w:val="center"/>
              <w:rPr>
                <w:rFonts w:ascii="Wingdings" w:hAnsi="Wingdings" w:cs="Wingdings"/>
                <w:sz w:val="26"/>
                <w:szCs w:val="26"/>
              </w:rPr>
            </w:pPr>
            <w:r>
              <w:rPr>
                <w:rFonts w:ascii="Wingdings" w:hAnsi="Wingdings" w:cs="Wingdings"/>
                <w:sz w:val="26"/>
                <w:szCs w:val="26"/>
              </w:rPr>
              <w:t></w:t>
            </w:r>
          </w:p>
          <w:p w:rsidR="00140482" w:rsidRPr="00785264" w:rsidRDefault="00140482" w:rsidP="000E651B">
            <w:pPr>
              <w:jc w:val="center"/>
              <w:rPr>
                <w:rFonts w:cs="Wingdings"/>
                <w:szCs w:val="26"/>
              </w:rPr>
            </w:pPr>
            <w:r w:rsidRPr="00785264">
              <w:rPr>
                <w:rFonts w:cs="Wingdings"/>
                <w:szCs w:val="26"/>
              </w:rPr>
              <w:t xml:space="preserve">Date: </w:t>
            </w:r>
            <w:r>
              <w:rPr>
                <w:rFonts w:cs="Wingdings"/>
                <w:szCs w:val="26"/>
              </w:rPr>
              <w:t>12/09/2016</w:t>
            </w:r>
          </w:p>
        </w:tc>
        <w:tc>
          <w:tcPr>
            <w:tcW w:w="2438" w:type="dxa"/>
            <w:gridSpan w:val="3"/>
            <w:tcBorders>
              <w:bottom w:val="single" w:sz="4" w:space="0" w:color="auto"/>
            </w:tcBorders>
            <w:shd w:val="clear" w:color="auto" w:fill="FFFFFF" w:themeFill="background1"/>
          </w:tcPr>
          <w:p w:rsidR="00140482" w:rsidRDefault="00140482" w:rsidP="000E651B">
            <w:pPr>
              <w:jc w:val="center"/>
              <w:rPr>
                <w:rFonts w:ascii="Wingdings" w:hAnsi="Wingdings" w:cs="Wingdings"/>
                <w:sz w:val="26"/>
                <w:szCs w:val="26"/>
              </w:rPr>
            </w:pPr>
            <w:r>
              <w:rPr>
                <w:rFonts w:ascii="Wingdings" w:hAnsi="Wingdings" w:cs="Wingdings"/>
                <w:sz w:val="26"/>
                <w:szCs w:val="26"/>
              </w:rPr>
              <w:t></w:t>
            </w:r>
          </w:p>
          <w:p w:rsidR="00140482" w:rsidRPr="00785264" w:rsidRDefault="00140482" w:rsidP="000E651B">
            <w:pPr>
              <w:jc w:val="center"/>
              <w:rPr>
                <w:rFonts w:cs="Wingdings"/>
                <w:szCs w:val="26"/>
              </w:rPr>
            </w:pPr>
            <w:r w:rsidRPr="00785264">
              <w:rPr>
                <w:rFonts w:cs="Wingdings"/>
                <w:szCs w:val="26"/>
              </w:rPr>
              <w:t xml:space="preserve">Date: </w:t>
            </w:r>
            <w:r>
              <w:rPr>
                <w:rFonts w:cs="Wingdings"/>
                <w:szCs w:val="26"/>
              </w:rPr>
              <w:t>________</w:t>
            </w:r>
          </w:p>
        </w:tc>
      </w:tr>
      <w:tr w:rsidR="00140482" w:rsidTr="000E651B">
        <w:trPr>
          <w:gridAfter w:val="1"/>
          <w:wAfter w:w="40" w:type="dxa"/>
          <w:trHeight w:val="337"/>
        </w:trPr>
        <w:tc>
          <w:tcPr>
            <w:tcW w:w="2302" w:type="dxa"/>
            <w:tcBorders>
              <w:left w:val="nil"/>
              <w:right w:val="nil"/>
            </w:tcBorders>
            <w:shd w:val="clear" w:color="auto" w:fill="FFFFFF" w:themeFill="background1"/>
          </w:tcPr>
          <w:p w:rsidR="00140482" w:rsidRDefault="00140482" w:rsidP="000E651B">
            <w:pPr>
              <w:rPr>
                <w:rFonts w:eastAsia="MS Mincho" w:cs="Times New Roman"/>
                <w:b/>
                <w:noProof/>
                <w:szCs w:val="32"/>
                <w:lang w:val="fr-FR"/>
              </w:rPr>
            </w:pPr>
          </w:p>
        </w:tc>
        <w:tc>
          <w:tcPr>
            <w:tcW w:w="2166" w:type="dxa"/>
            <w:tcBorders>
              <w:left w:val="nil"/>
              <w:right w:val="nil"/>
            </w:tcBorders>
            <w:shd w:val="clear" w:color="auto" w:fill="FFFFFF" w:themeFill="background1"/>
          </w:tcPr>
          <w:p w:rsidR="00140482" w:rsidRDefault="00140482" w:rsidP="000E651B">
            <w:pPr>
              <w:rPr>
                <w:rFonts w:eastAsia="MS Mincho" w:cs="Times New Roman"/>
                <w:noProof/>
                <w:szCs w:val="32"/>
                <w:lang w:val="fr-FR"/>
              </w:rPr>
            </w:pPr>
          </w:p>
        </w:tc>
        <w:tc>
          <w:tcPr>
            <w:tcW w:w="1871" w:type="dxa"/>
            <w:gridSpan w:val="2"/>
            <w:tcBorders>
              <w:left w:val="nil"/>
              <w:right w:val="nil"/>
            </w:tcBorders>
            <w:shd w:val="clear" w:color="auto" w:fill="FFFFFF" w:themeFill="background1"/>
          </w:tcPr>
          <w:p w:rsidR="00140482" w:rsidRDefault="00140482" w:rsidP="000E651B">
            <w:pPr>
              <w:rPr>
                <w:rFonts w:eastAsia="MS Mincho" w:cs="Times New Roman"/>
                <w:noProof/>
                <w:szCs w:val="32"/>
                <w:lang w:val="fr-FR"/>
              </w:rPr>
            </w:pPr>
          </w:p>
        </w:tc>
        <w:tc>
          <w:tcPr>
            <w:tcW w:w="1681" w:type="dxa"/>
            <w:gridSpan w:val="2"/>
            <w:tcBorders>
              <w:left w:val="nil"/>
              <w:right w:val="nil"/>
            </w:tcBorders>
            <w:shd w:val="clear" w:color="auto" w:fill="FFFFFF" w:themeFill="background1"/>
          </w:tcPr>
          <w:p w:rsidR="00140482" w:rsidRDefault="00140482" w:rsidP="000E651B">
            <w:pPr>
              <w:jc w:val="center"/>
              <w:rPr>
                <w:rFonts w:eastAsia="MS Mincho" w:cs="Times New Roman"/>
                <w:noProof/>
                <w:szCs w:val="32"/>
                <w:lang w:val="fr-FR"/>
              </w:rPr>
            </w:pPr>
          </w:p>
        </w:tc>
        <w:tc>
          <w:tcPr>
            <w:tcW w:w="1556" w:type="dxa"/>
            <w:tcBorders>
              <w:left w:val="nil"/>
              <w:right w:val="nil"/>
            </w:tcBorders>
            <w:shd w:val="clear" w:color="auto" w:fill="FFFFFF" w:themeFill="background1"/>
          </w:tcPr>
          <w:p w:rsidR="00140482" w:rsidRDefault="00140482" w:rsidP="000E651B">
            <w:pPr>
              <w:rPr>
                <w:rFonts w:eastAsia="MS Mincho" w:cs="Times New Roman"/>
                <w:noProof/>
                <w:szCs w:val="32"/>
                <w:lang w:val="fr-FR"/>
              </w:rPr>
            </w:pPr>
          </w:p>
        </w:tc>
      </w:tr>
      <w:tr w:rsidR="00140482" w:rsidTr="000E651B">
        <w:trPr>
          <w:gridAfter w:val="1"/>
          <w:wAfter w:w="40" w:type="dxa"/>
        </w:trPr>
        <w:tc>
          <w:tcPr>
            <w:tcW w:w="2302" w:type="dxa"/>
            <w:tcBorders>
              <w:bottom w:val="single" w:sz="4" w:space="0" w:color="auto"/>
            </w:tcBorders>
            <w:shd w:val="clear" w:color="auto" w:fill="BFBFBF" w:themeFill="background1" w:themeFillShade="BF"/>
          </w:tcPr>
          <w:p w:rsidR="00140482" w:rsidRDefault="00140482" w:rsidP="000E651B">
            <w:pPr>
              <w:rPr>
                <w:rFonts w:eastAsia="MS Mincho" w:cs="Times New Roman"/>
                <w:b/>
                <w:noProof/>
                <w:szCs w:val="32"/>
                <w:lang w:val="fr-FR"/>
              </w:rPr>
            </w:pPr>
            <w:r>
              <w:rPr>
                <w:rFonts w:eastAsia="MS Mincho" w:cs="Times New Roman"/>
                <w:b/>
                <w:noProof/>
                <w:szCs w:val="32"/>
                <w:lang w:val="fr-FR"/>
              </w:rPr>
              <w:t>Faut-il un jeu de tests spécifique pour la pratique ?</w:t>
            </w:r>
          </w:p>
        </w:tc>
        <w:tc>
          <w:tcPr>
            <w:tcW w:w="4037" w:type="dxa"/>
            <w:gridSpan w:val="3"/>
            <w:tcBorders>
              <w:bottom w:val="single" w:sz="4" w:space="0" w:color="auto"/>
            </w:tcBorders>
          </w:tcPr>
          <w:p w:rsidR="00140482" w:rsidRPr="00E35B86" w:rsidRDefault="00140482" w:rsidP="006B6D6F">
            <w:pPr>
              <w:autoSpaceDE w:val="0"/>
              <w:autoSpaceDN w:val="0"/>
              <w:adjustRightInd w:val="0"/>
              <w:jc w:val="center"/>
              <w:rPr>
                <w:rFonts w:ascii="MS Shell Dlg 2" w:hAnsi="MS Shell Dlg 2" w:cs="MS Shell Dlg 2"/>
                <w:sz w:val="16"/>
                <w:szCs w:val="16"/>
                <w:lang w:val="fr-FR"/>
              </w:rPr>
            </w:pPr>
            <w:r>
              <w:rPr>
                <w:lang w:val="fr-FR"/>
              </w:rPr>
              <w:t xml:space="preserve">Oui  </w:t>
            </w:r>
            <w:r>
              <w:rPr>
                <w:rFonts w:ascii="Wingdings" w:hAnsi="Wingdings" w:cs="Wingdings"/>
                <w:sz w:val="26"/>
                <w:szCs w:val="26"/>
              </w:rPr>
              <w:t></w:t>
            </w:r>
          </w:p>
        </w:tc>
        <w:tc>
          <w:tcPr>
            <w:tcW w:w="3237" w:type="dxa"/>
            <w:gridSpan w:val="3"/>
            <w:tcBorders>
              <w:bottom w:val="single" w:sz="4" w:space="0" w:color="auto"/>
            </w:tcBorders>
          </w:tcPr>
          <w:p w:rsidR="00140482" w:rsidRDefault="00140482" w:rsidP="000E651B">
            <w:pPr>
              <w:tabs>
                <w:tab w:val="left" w:pos="9356"/>
              </w:tabs>
              <w:ind w:right="-279"/>
              <w:jc w:val="center"/>
              <w:rPr>
                <w:lang w:val="fr-FR"/>
              </w:rPr>
            </w:pPr>
            <w:r>
              <w:rPr>
                <w:lang w:val="fr-FR"/>
              </w:rPr>
              <w:t xml:space="preserve">Non  </w:t>
            </w:r>
            <w:r>
              <w:rPr>
                <w:rFonts w:ascii="Wingdings" w:hAnsi="Wingdings" w:cs="Wingdings"/>
                <w:sz w:val="26"/>
                <w:szCs w:val="26"/>
              </w:rPr>
              <w:t></w:t>
            </w:r>
          </w:p>
        </w:tc>
      </w:tr>
    </w:tbl>
    <w:p w:rsidR="00140482" w:rsidRDefault="00140482" w:rsidP="001E0D83">
      <w:pPr>
        <w:spacing w:after="0" w:line="240" w:lineRule="auto"/>
        <w:rPr>
          <w:rFonts w:eastAsia="MS Mincho" w:cs="Times New Roman"/>
          <w:noProof/>
          <w:szCs w:val="32"/>
          <w:lang w:val="fr-FR"/>
        </w:rPr>
      </w:pPr>
    </w:p>
    <w:p w:rsidR="00140482" w:rsidRDefault="00140482">
      <w:pPr>
        <w:rPr>
          <w:rFonts w:eastAsia="MS Mincho" w:cs="Times New Roman"/>
          <w:noProof/>
          <w:szCs w:val="32"/>
          <w:lang w:val="fr-FR"/>
        </w:rPr>
      </w:pPr>
      <w:r>
        <w:rPr>
          <w:rFonts w:eastAsia="MS Mincho" w:cs="Times New Roman"/>
          <w:noProof/>
          <w:szCs w:val="32"/>
          <w:lang w:val="fr-FR"/>
        </w:rPr>
        <w:br w:type="page"/>
      </w:r>
    </w:p>
    <w:p w:rsidR="00140482" w:rsidRPr="0067353E" w:rsidRDefault="00140482" w:rsidP="00140482">
      <w:pPr>
        <w:spacing w:after="0" w:line="240" w:lineRule="auto"/>
        <w:jc w:val="center"/>
        <w:rPr>
          <w:rFonts w:eastAsia="MS Mincho" w:cs="Times New Roman"/>
          <w:b/>
          <w:noProof/>
          <w:szCs w:val="32"/>
          <w:lang w:val="fr-FR"/>
        </w:rPr>
      </w:pPr>
      <w:r w:rsidRPr="0067353E">
        <w:rPr>
          <w:rFonts w:eastAsia="MS Mincho" w:cs="Times New Roman"/>
          <w:b/>
          <w:noProof/>
          <w:szCs w:val="32"/>
          <w:lang w:val="fr-FR"/>
        </w:rPr>
        <w:lastRenderedPageBreak/>
        <w:t>ANNEXE</w:t>
      </w:r>
    </w:p>
    <w:p w:rsidR="00140482" w:rsidRDefault="005F17ED" w:rsidP="00140482">
      <w:pPr>
        <w:spacing w:after="0" w:line="240" w:lineRule="auto"/>
        <w:rPr>
          <w:rFonts w:eastAsia="MS Mincho" w:cs="Times New Roman"/>
          <w:noProof/>
          <w:szCs w:val="32"/>
          <w:lang w:val="fr-FR"/>
        </w:rPr>
      </w:pPr>
      <w:r w:rsidRPr="003215B4">
        <w:rPr>
          <w:noProof/>
        </w:rPr>
        <w:drawing>
          <wp:anchor distT="0" distB="0" distL="114300" distR="114300" simplePos="0" relativeHeight="251659264" behindDoc="0" locked="0" layoutInCell="1" allowOverlap="1" wp14:anchorId="01BC5FF3" wp14:editId="32B9A301">
            <wp:simplePos x="0" y="0"/>
            <wp:positionH relativeFrom="column">
              <wp:posOffset>-556846</wp:posOffset>
            </wp:positionH>
            <wp:positionV relativeFrom="paragraph">
              <wp:posOffset>100183</wp:posOffset>
            </wp:positionV>
            <wp:extent cx="7104861" cy="2549770"/>
            <wp:effectExtent l="0" t="0" r="1270" b="317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108449" cy="2551058"/>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40482" w:rsidRDefault="00140482" w:rsidP="00140482">
      <w:pPr>
        <w:spacing w:after="0" w:line="240" w:lineRule="auto"/>
        <w:rPr>
          <w:rFonts w:eastAsia="MS Mincho" w:cs="Times New Roman"/>
          <w:noProof/>
          <w:szCs w:val="32"/>
          <w:lang w:val="fr-FR"/>
        </w:rPr>
      </w:pPr>
    </w:p>
    <w:p w:rsidR="00140482" w:rsidRDefault="00140482" w:rsidP="00140482">
      <w:pPr>
        <w:spacing w:after="0" w:line="240" w:lineRule="auto"/>
        <w:rPr>
          <w:rFonts w:eastAsia="MS Mincho" w:cs="Times New Roman"/>
          <w:noProof/>
          <w:szCs w:val="32"/>
          <w:lang w:val="fr-FR"/>
        </w:rPr>
      </w:pPr>
    </w:p>
    <w:p w:rsidR="00140482" w:rsidRDefault="00140482" w:rsidP="00140482">
      <w:pPr>
        <w:spacing w:after="0" w:line="240" w:lineRule="auto"/>
        <w:rPr>
          <w:rFonts w:eastAsia="MS Mincho" w:cs="Times New Roman"/>
          <w:noProof/>
          <w:szCs w:val="32"/>
          <w:lang w:val="fr-FR"/>
        </w:rPr>
      </w:pPr>
    </w:p>
    <w:p w:rsidR="00140482" w:rsidRDefault="00140482" w:rsidP="00140482">
      <w:pPr>
        <w:spacing w:after="0" w:line="240" w:lineRule="auto"/>
        <w:rPr>
          <w:rFonts w:eastAsia="MS Mincho" w:cs="Times New Roman"/>
          <w:noProof/>
          <w:szCs w:val="32"/>
          <w:lang w:val="fr-FR"/>
        </w:rPr>
      </w:pPr>
    </w:p>
    <w:p w:rsidR="00BA6B0A" w:rsidRDefault="00BA6B0A" w:rsidP="001E0D83">
      <w:pPr>
        <w:spacing w:after="0" w:line="240" w:lineRule="auto"/>
        <w:rPr>
          <w:rFonts w:eastAsia="MS Mincho" w:cs="Times New Roman"/>
          <w:noProof/>
          <w:szCs w:val="32"/>
          <w:lang w:val="fr-FR"/>
        </w:rPr>
      </w:pPr>
    </w:p>
    <w:sectPr w:rsidR="00BA6B0A" w:rsidSect="006D6846">
      <w:headerReference w:type="default" r:id="rId9"/>
      <w:footerReference w:type="default" r:id="rId10"/>
      <w:pgSz w:w="12240" w:h="15840"/>
      <w:pgMar w:top="142"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2245F" w:rsidRDefault="0032245F" w:rsidP="006D6846">
      <w:pPr>
        <w:spacing w:after="0" w:line="240" w:lineRule="auto"/>
      </w:pPr>
      <w:r>
        <w:separator/>
      </w:r>
    </w:p>
  </w:endnote>
  <w:endnote w:type="continuationSeparator" w:id="0">
    <w:p w:rsidR="0032245F" w:rsidRDefault="0032245F" w:rsidP="006D68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EUAlbertina">
    <w:altName w:val="EU Albertina"/>
    <w:panose1 w:val="00000000000000000000"/>
    <w:charset w:val="00"/>
    <w:family w:val="roman"/>
    <w:notTrueType/>
    <w:pitch w:val="default"/>
    <w:sig w:usb0="00000003" w:usb1="00000000" w:usb2="00000000" w:usb3="00000000" w:csb0="00000001" w:csb1="00000000"/>
  </w:font>
  <w:font w:name="MS Shell Dlg 2">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57471271"/>
      <w:docPartObj>
        <w:docPartGallery w:val="Page Numbers (Bottom of Page)"/>
        <w:docPartUnique/>
      </w:docPartObj>
    </w:sdtPr>
    <w:sdtEndPr/>
    <w:sdtContent>
      <w:sdt>
        <w:sdtPr>
          <w:id w:val="-1769616900"/>
          <w:docPartObj>
            <w:docPartGallery w:val="Page Numbers (Top of Page)"/>
            <w:docPartUnique/>
          </w:docPartObj>
        </w:sdtPr>
        <w:sdtEndPr/>
        <w:sdtContent>
          <w:p w:rsidR="00732EE3" w:rsidRDefault="00732EE3">
            <w:pPr>
              <w:pStyle w:val="Footer"/>
              <w:jc w:val="right"/>
            </w:pPr>
            <w:r>
              <w:rPr>
                <w:lang w:val="fr-FR"/>
              </w:rPr>
              <w:t xml:space="preserve">Page </w:t>
            </w:r>
            <w:r>
              <w:rPr>
                <w:b/>
                <w:bCs/>
                <w:sz w:val="24"/>
                <w:szCs w:val="24"/>
              </w:rPr>
              <w:fldChar w:fldCharType="begin"/>
            </w:r>
            <w:r>
              <w:rPr>
                <w:b/>
                <w:bCs/>
              </w:rPr>
              <w:instrText>PAGE</w:instrText>
            </w:r>
            <w:r>
              <w:rPr>
                <w:b/>
                <w:bCs/>
                <w:sz w:val="24"/>
                <w:szCs w:val="24"/>
              </w:rPr>
              <w:fldChar w:fldCharType="separate"/>
            </w:r>
            <w:r w:rsidR="00EA7D35">
              <w:rPr>
                <w:b/>
                <w:bCs/>
                <w:noProof/>
              </w:rPr>
              <w:t>1</w:t>
            </w:r>
            <w:r>
              <w:rPr>
                <w:b/>
                <w:bCs/>
                <w:sz w:val="24"/>
                <w:szCs w:val="24"/>
              </w:rPr>
              <w:fldChar w:fldCharType="end"/>
            </w:r>
            <w:r>
              <w:rPr>
                <w:lang w:val="fr-FR"/>
              </w:rPr>
              <w:t xml:space="preserve"> sur </w:t>
            </w:r>
            <w:r>
              <w:rPr>
                <w:b/>
                <w:bCs/>
                <w:sz w:val="24"/>
                <w:szCs w:val="24"/>
              </w:rPr>
              <w:fldChar w:fldCharType="begin"/>
            </w:r>
            <w:r>
              <w:rPr>
                <w:b/>
                <w:bCs/>
              </w:rPr>
              <w:instrText>NUMPAGES</w:instrText>
            </w:r>
            <w:r>
              <w:rPr>
                <w:b/>
                <w:bCs/>
                <w:sz w:val="24"/>
                <w:szCs w:val="24"/>
              </w:rPr>
              <w:fldChar w:fldCharType="separate"/>
            </w:r>
            <w:r w:rsidR="00EA7D35">
              <w:rPr>
                <w:b/>
                <w:bCs/>
                <w:noProof/>
              </w:rPr>
              <w:t>7</w:t>
            </w:r>
            <w:r>
              <w:rPr>
                <w:b/>
                <w:bCs/>
                <w:sz w:val="24"/>
                <w:szCs w:val="24"/>
              </w:rPr>
              <w:fldChar w:fldCharType="end"/>
            </w:r>
          </w:p>
        </w:sdtContent>
      </w:sdt>
    </w:sdtContent>
  </w:sdt>
  <w:p w:rsidR="00EC776F" w:rsidRDefault="00EC776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2245F" w:rsidRDefault="0032245F" w:rsidP="006D6846">
      <w:pPr>
        <w:spacing w:after="0" w:line="240" w:lineRule="auto"/>
      </w:pPr>
      <w:r>
        <w:separator/>
      </w:r>
    </w:p>
  </w:footnote>
  <w:footnote w:type="continuationSeparator" w:id="0">
    <w:p w:rsidR="0032245F" w:rsidRDefault="0032245F" w:rsidP="006D684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03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21"/>
      <w:gridCol w:w="4118"/>
    </w:tblGrid>
    <w:tr w:rsidR="00EC776F" w:rsidTr="00732EE3">
      <w:trPr>
        <w:trHeight w:val="792"/>
      </w:trPr>
      <w:tc>
        <w:tcPr>
          <w:tcW w:w="6221" w:type="dxa"/>
          <w:vAlign w:val="center"/>
        </w:tcPr>
        <w:p w:rsidR="00EC776F" w:rsidRDefault="00EC776F" w:rsidP="00EC776F">
          <w:pPr>
            <w:pStyle w:val="Header"/>
            <w:jc w:val="center"/>
            <w:rPr>
              <w:b/>
              <w:lang w:val="fr-FR"/>
            </w:rPr>
          </w:pPr>
          <w:r w:rsidRPr="007F6CFC">
            <w:rPr>
              <w:b/>
              <w:lang w:val="fr-FR"/>
            </w:rPr>
            <w:t>Groupe d’Adaptation des Pratiques de Marché T2S</w:t>
          </w:r>
        </w:p>
        <w:p w:rsidR="00EC776F" w:rsidRDefault="00EC776F" w:rsidP="00EC776F">
          <w:pPr>
            <w:pStyle w:val="Header"/>
            <w:jc w:val="center"/>
            <w:rPr>
              <w:b/>
              <w:lang w:val="fr-FR"/>
            </w:rPr>
          </w:pPr>
          <w:r>
            <w:rPr>
              <w:b/>
              <w:lang w:val="fr-FR"/>
            </w:rPr>
            <w:t>Fiche Pratique de marché</w:t>
          </w:r>
        </w:p>
      </w:tc>
      <w:tc>
        <w:tcPr>
          <w:tcW w:w="4118" w:type="dxa"/>
          <w:vAlign w:val="center"/>
        </w:tcPr>
        <w:p w:rsidR="00EC776F" w:rsidRDefault="00EC776F" w:rsidP="00732EE3">
          <w:pPr>
            <w:pStyle w:val="Header"/>
            <w:rPr>
              <w:b/>
              <w:lang w:val="fr-FR"/>
            </w:rPr>
          </w:pPr>
          <w:r>
            <w:rPr>
              <w:noProof/>
            </w:rPr>
            <w:drawing>
              <wp:inline distT="0" distB="0" distL="0" distR="0" wp14:anchorId="4BA01972" wp14:editId="57FD0A52">
                <wp:extent cx="1032931" cy="516467"/>
                <wp:effectExtent l="0" t="0" r="0" b="0"/>
                <wp:docPr id="8"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 5"/>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34228" cy="517116"/>
                        </a:xfrm>
                        <a:prstGeom prst="rect">
                          <a:avLst/>
                        </a:prstGeom>
                      </pic:spPr>
                    </pic:pic>
                  </a:graphicData>
                </a:graphic>
              </wp:inline>
            </w:drawing>
          </w:r>
          <w:r w:rsidR="00732EE3">
            <w:object w:dxaOrig="7200" w:dyaOrig="460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5.7pt;height:42.45pt" o:ole="">
                <v:imagedata r:id="rId2" o:title=""/>
              </v:shape>
              <o:OLEObject Type="Embed" ProgID="PBrush" ShapeID="_x0000_i1025" DrawAspect="Content" ObjectID="_1533955614" r:id="rId3"/>
            </w:object>
          </w:r>
        </w:p>
      </w:tc>
    </w:tr>
    <w:tr w:rsidR="00EC776F" w:rsidRPr="005F17ED" w:rsidTr="00732EE3">
      <w:trPr>
        <w:trHeight w:val="256"/>
      </w:trPr>
      <w:tc>
        <w:tcPr>
          <w:tcW w:w="6221" w:type="dxa"/>
          <w:vAlign w:val="center"/>
        </w:tcPr>
        <w:p w:rsidR="00EC776F" w:rsidRPr="00EC776F" w:rsidRDefault="00EC776F" w:rsidP="00732EE3">
          <w:pPr>
            <w:pStyle w:val="Header"/>
            <w:jc w:val="center"/>
            <w:rPr>
              <w:i/>
              <w:lang w:val="fr-FR"/>
            </w:rPr>
          </w:pPr>
          <w:r>
            <w:rPr>
              <w:i/>
              <w:lang w:val="fr-FR"/>
            </w:rPr>
            <w:t xml:space="preserve">Référence de la pratique : </w:t>
          </w:r>
          <w:r w:rsidR="00140482" w:rsidRPr="00140482">
            <w:rPr>
              <w:i/>
              <w:lang w:val="fr-FR"/>
            </w:rPr>
            <w:t>MS-SETTL-CESSIONSTEMP-01</w:t>
          </w:r>
        </w:p>
      </w:tc>
      <w:tc>
        <w:tcPr>
          <w:tcW w:w="4118" w:type="dxa"/>
          <w:vAlign w:val="center"/>
        </w:tcPr>
        <w:p w:rsidR="00EC776F" w:rsidRPr="00EC776F" w:rsidRDefault="00EC776F" w:rsidP="00EC776F">
          <w:pPr>
            <w:pStyle w:val="Header"/>
            <w:jc w:val="center"/>
            <w:rPr>
              <w:noProof/>
              <w:lang w:val="fr-FR"/>
            </w:rPr>
          </w:pPr>
        </w:p>
      </w:tc>
    </w:tr>
  </w:tbl>
  <w:p w:rsidR="00EC776F" w:rsidRPr="00C221EA" w:rsidRDefault="00EC776F">
    <w:pPr>
      <w:pStyle w:val="Header"/>
      <w:rPr>
        <w:b/>
        <w:sz w:val="20"/>
        <w:szCs w:val="20"/>
        <w:lang w:val="fr-F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D44BC6"/>
    <w:multiLevelType w:val="hybridMultilevel"/>
    <w:tmpl w:val="2C0049D2"/>
    <w:lvl w:ilvl="0" w:tplc="A162A862">
      <w:start w:val="1"/>
      <w:numFmt w:val="bullet"/>
      <w:lvlText w:val=""/>
      <w:lvlJc w:val="left"/>
      <w:pPr>
        <w:ind w:left="1140" w:hanging="360"/>
      </w:pPr>
      <w:rPr>
        <w:rFonts w:ascii="Wingdings" w:eastAsia="MS Mincho" w:hAnsi="Wingdings" w:cs="Times New Roman" w:hint="default"/>
      </w:rPr>
    </w:lvl>
    <w:lvl w:ilvl="1" w:tplc="040C0003" w:tentative="1">
      <w:start w:val="1"/>
      <w:numFmt w:val="bullet"/>
      <w:lvlText w:val="o"/>
      <w:lvlJc w:val="left"/>
      <w:pPr>
        <w:ind w:left="1860" w:hanging="360"/>
      </w:pPr>
      <w:rPr>
        <w:rFonts w:ascii="Courier New" w:hAnsi="Courier New" w:cs="Courier New" w:hint="default"/>
      </w:rPr>
    </w:lvl>
    <w:lvl w:ilvl="2" w:tplc="040C0005" w:tentative="1">
      <w:start w:val="1"/>
      <w:numFmt w:val="bullet"/>
      <w:lvlText w:val=""/>
      <w:lvlJc w:val="left"/>
      <w:pPr>
        <w:ind w:left="2580" w:hanging="360"/>
      </w:pPr>
      <w:rPr>
        <w:rFonts w:ascii="Wingdings" w:hAnsi="Wingdings" w:hint="default"/>
      </w:rPr>
    </w:lvl>
    <w:lvl w:ilvl="3" w:tplc="040C0001" w:tentative="1">
      <w:start w:val="1"/>
      <w:numFmt w:val="bullet"/>
      <w:lvlText w:val=""/>
      <w:lvlJc w:val="left"/>
      <w:pPr>
        <w:ind w:left="3300" w:hanging="360"/>
      </w:pPr>
      <w:rPr>
        <w:rFonts w:ascii="Symbol" w:hAnsi="Symbol" w:hint="default"/>
      </w:rPr>
    </w:lvl>
    <w:lvl w:ilvl="4" w:tplc="040C0003" w:tentative="1">
      <w:start w:val="1"/>
      <w:numFmt w:val="bullet"/>
      <w:lvlText w:val="o"/>
      <w:lvlJc w:val="left"/>
      <w:pPr>
        <w:ind w:left="4020" w:hanging="360"/>
      </w:pPr>
      <w:rPr>
        <w:rFonts w:ascii="Courier New" w:hAnsi="Courier New" w:cs="Courier New" w:hint="default"/>
      </w:rPr>
    </w:lvl>
    <w:lvl w:ilvl="5" w:tplc="040C0005" w:tentative="1">
      <w:start w:val="1"/>
      <w:numFmt w:val="bullet"/>
      <w:lvlText w:val=""/>
      <w:lvlJc w:val="left"/>
      <w:pPr>
        <w:ind w:left="4740" w:hanging="360"/>
      </w:pPr>
      <w:rPr>
        <w:rFonts w:ascii="Wingdings" w:hAnsi="Wingdings" w:hint="default"/>
      </w:rPr>
    </w:lvl>
    <w:lvl w:ilvl="6" w:tplc="040C0001" w:tentative="1">
      <w:start w:val="1"/>
      <w:numFmt w:val="bullet"/>
      <w:lvlText w:val=""/>
      <w:lvlJc w:val="left"/>
      <w:pPr>
        <w:ind w:left="5460" w:hanging="360"/>
      </w:pPr>
      <w:rPr>
        <w:rFonts w:ascii="Symbol" w:hAnsi="Symbol" w:hint="default"/>
      </w:rPr>
    </w:lvl>
    <w:lvl w:ilvl="7" w:tplc="040C0003" w:tentative="1">
      <w:start w:val="1"/>
      <w:numFmt w:val="bullet"/>
      <w:lvlText w:val="o"/>
      <w:lvlJc w:val="left"/>
      <w:pPr>
        <w:ind w:left="6180" w:hanging="360"/>
      </w:pPr>
      <w:rPr>
        <w:rFonts w:ascii="Courier New" w:hAnsi="Courier New" w:cs="Courier New" w:hint="default"/>
      </w:rPr>
    </w:lvl>
    <w:lvl w:ilvl="8" w:tplc="040C0005" w:tentative="1">
      <w:start w:val="1"/>
      <w:numFmt w:val="bullet"/>
      <w:lvlText w:val=""/>
      <w:lvlJc w:val="left"/>
      <w:pPr>
        <w:ind w:left="6900" w:hanging="360"/>
      </w:pPr>
      <w:rPr>
        <w:rFonts w:ascii="Wingdings" w:hAnsi="Wingdings" w:hint="default"/>
      </w:rPr>
    </w:lvl>
  </w:abstractNum>
  <w:abstractNum w:abstractNumId="1">
    <w:nsid w:val="049741B3"/>
    <w:multiLevelType w:val="hybridMultilevel"/>
    <w:tmpl w:val="1B20EB06"/>
    <w:lvl w:ilvl="0" w:tplc="437E9AEE">
      <w:start w:val="1"/>
      <w:numFmt w:val="bullet"/>
      <w:lvlText w:val="-"/>
      <w:lvlJc w:val="left"/>
      <w:pPr>
        <w:ind w:left="720" w:hanging="360"/>
      </w:pPr>
      <w:rPr>
        <w:rFonts w:ascii="Calibri" w:eastAsia="MS Mincho"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175A7E25"/>
    <w:multiLevelType w:val="hybridMultilevel"/>
    <w:tmpl w:val="B692A802"/>
    <w:lvl w:ilvl="0" w:tplc="0C880406">
      <w:start w:val="1"/>
      <w:numFmt w:val="bullet"/>
      <w:lvlText w:val="-"/>
      <w:lvlJc w:val="left"/>
      <w:pPr>
        <w:ind w:left="720" w:hanging="360"/>
      </w:pPr>
      <w:rPr>
        <w:rFonts w:ascii="Calibri" w:eastAsia="MS Mincho"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35A703A5"/>
    <w:multiLevelType w:val="hybridMultilevel"/>
    <w:tmpl w:val="10167390"/>
    <w:lvl w:ilvl="0" w:tplc="04090001">
      <w:start w:val="1"/>
      <w:numFmt w:val="bullet"/>
      <w:lvlText w:val=""/>
      <w:lvlJc w:val="left"/>
      <w:pPr>
        <w:ind w:left="720" w:hanging="360"/>
      </w:pPr>
      <w:rPr>
        <w:rFonts w:ascii="Symbol" w:hAnsi="Symbol" w:hint="default"/>
      </w:rPr>
    </w:lvl>
    <w:lvl w:ilvl="1" w:tplc="0409000F">
      <w:start w:val="1"/>
      <w:numFmt w:val="decimal"/>
      <w:lvlText w:val="%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A230013"/>
    <w:multiLevelType w:val="hybridMultilevel"/>
    <w:tmpl w:val="22DCC83A"/>
    <w:lvl w:ilvl="0" w:tplc="04090001">
      <w:start w:val="1"/>
      <w:numFmt w:val="bullet"/>
      <w:lvlText w:val=""/>
      <w:lvlJc w:val="left"/>
      <w:pPr>
        <w:ind w:left="720" w:hanging="360"/>
      </w:pPr>
      <w:rPr>
        <w:rFonts w:ascii="Symbol" w:hAnsi="Symbol" w:hint="default"/>
      </w:rPr>
    </w:lvl>
    <w:lvl w:ilvl="1" w:tplc="0409000F">
      <w:start w:val="1"/>
      <w:numFmt w:val="decimal"/>
      <w:lvlText w:val="%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B7B0E1E"/>
    <w:multiLevelType w:val="hybridMultilevel"/>
    <w:tmpl w:val="43EAEF10"/>
    <w:lvl w:ilvl="0" w:tplc="9346639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32D0565"/>
    <w:multiLevelType w:val="hybridMultilevel"/>
    <w:tmpl w:val="33C0BEF4"/>
    <w:lvl w:ilvl="0" w:tplc="534AC9F2">
      <w:start w:val="2"/>
      <w:numFmt w:val="decimal"/>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65323E3"/>
    <w:multiLevelType w:val="hybridMultilevel"/>
    <w:tmpl w:val="92625E74"/>
    <w:lvl w:ilvl="0" w:tplc="1A349598">
      <w:start w:val="1"/>
      <w:numFmt w:val="bullet"/>
      <w:lvlText w:val="-"/>
      <w:lvlJc w:val="left"/>
      <w:pPr>
        <w:ind w:left="720" w:hanging="360"/>
      </w:pPr>
      <w:rPr>
        <w:rFonts w:ascii="Calibri" w:eastAsia="MS Mincho"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D8479E7"/>
    <w:multiLevelType w:val="hybridMultilevel"/>
    <w:tmpl w:val="E1226E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E2F2BC6"/>
    <w:multiLevelType w:val="hybridMultilevel"/>
    <w:tmpl w:val="1C8C7E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9"/>
  </w:num>
  <w:num w:numId="3">
    <w:abstractNumId w:val="8"/>
  </w:num>
  <w:num w:numId="4">
    <w:abstractNumId w:val="7"/>
  </w:num>
  <w:num w:numId="5">
    <w:abstractNumId w:val="1"/>
  </w:num>
  <w:num w:numId="6">
    <w:abstractNumId w:val="0"/>
  </w:num>
  <w:num w:numId="7">
    <w:abstractNumId w:val="2"/>
  </w:num>
  <w:num w:numId="8">
    <w:abstractNumId w:val="4"/>
  </w:num>
  <w:num w:numId="9">
    <w:abstractNumId w:val="3"/>
  </w:num>
  <w:num w:numId="10">
    <w:abstractNumId w:val="6"/>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de Sousa, Maria">
    <w15:presenceInfo w15:providerId="AD" w15:userId="S-1-5-21-3942990428-588001494-4079709122-1093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6846"/>
    <w:rsid w:val="00010D9D"/>
    <w:rsid w:val="00020084"/>
    <w:rsid w:val="0002059A"/>
    <w:rsid w:val="000706A3"/>
    <w:rsid w:val="000A6C94"/>
    <w:rsid w:val="000C1C9B"/>
    <w:rsid w:val="000D0D7B"/>
    <w:rsid w:val="000D6F4D"/>
    <w:rsid w:val="000F3C24"/>
    <w:rsid w:val="00140482"/>
    <w:rsid w:val="00145ADA"/>
    <w:rsid w:val="001522A5"/>
    <w:rsid w:val="00162BBA"/>
    <w:rsid w:val="00183F7A"/>
    <w:rsid w:val="001B0416"/>
    <w:rsid w:val="001B1E38"/>
    <w:rsid w:val="001C4C4C"/>
    <w:rsid w:val="001C7BAF"/>
    <w:rsid w:val="001D7830"/>
    <w:rsid w:val="001E0D83"/>
    <w:rsid w:val="00210722"/>
    <w:rsid w:val="00211814"/>
    <w:rsid w:val="00217510"/>
    <w:rsid w:val="00283DDE"/>
    <w:rsid w:val="0028538B"/>
    <w:rsid w:val="002C17AB"/>
    <w:rsid w:val="00320A0A"/>
    <w:rsid w:val="0032245F"/>
    <w:rsid w:val="00343829"/>
    <w:rsid w:val="00343B9E"/>
    <w:rsid w:val="003631EA"/>
    <w:rsid w:val="00363E89"/>
    <w:rsid w:val="003929BA"/>
    <w:rsid w:val="003A4E76"/>
    <w:rsid w:val="003B3DA4"/>
    <w:rsid w:val="003D5E9F"/>
    <w:rsid w:val="003D7060"/>
    <w:rsid w:val="004818D8"/>
    <w:rsid w:val="00482296"/>
    <w:rsid w:val="004B2BA9"/>
    <w:rsid w:val="004F6025"/>
    <w:rsid w:val="005061BA"/>
    <w:rsid w:val="0051485E"/>
    <w:rsid w:val="00567B1D"/>
    <w:rsid w:val="00575F36"/>
    <w:rsid w:val="005842D3"/>
    <w:rsid w:val="005C2ACA"/>
    <w:rsid w:val="005F10C1"/>
    <w:rsid w:val="005F17ED"/>
    <w:rsid w:val="00622E8A"/>
    <w:rsid w:val="00625541"/>
    <w:rsid w:val="00652C13"/>
    <w:rsid w:val="00683498"/>
    <w:rsid w:val="0069580E"/>
    <w:rsid w:val="006B0827"/>
    <w:rsid w:val="006B6D6F"/>
    <w:rsid w:val="006D6846"/>
    <w:rsid w:val="00701AE2"/>
    <w:rsid w:val="00714CE6"/>
    <w:rsid w:val="00727BF7"/>
    <w:rsid w:val="00732EE3"/>
    <w:rsid w:val="0074709E"/>
    <w:rsid w:val="00765664"/>
    <w:rsid w:val="007C7303"/>
    <w:rsid w:val="007F6B66"/>
    <w:rsid w:val="007F6CFC"/>
    <w:rsid w:val="0080446B"/>
    <w:rsid w:val="0081511D"/>
    <w:rsid w:val="00830B7B"/>
    <w:rsid w:val="008366CF"/>
    <w:rsid w:val="00841E84"/>
    <w:rsid w:val="008800A4"/>
    <w:rsid w:val="00893912"/>
    <w:rsid w:val="008C734C"/>
    <w:rsid w:val="0091257E"/>
    <w:rsid w:val="0092276F"/>
    <w:rsid w:val="00922A8E"/>
    <w:rsid w:val="00933237"/>
    <w:rsid w:val="009606C4"/>
    <w:rsid w:val="00982218"/>
    <w:rsid w:val="00995F65"/>
    <w:rsid w:val="009978DE"/>
    <w:rsid w:val="009A24A6"/>
    <w:rsid w:val="009A2F1A"/>
    <w:rsid w:val="009A64D1"/>
    <w:rsid w:val="00A133A7"/>
    <w:rsid w:val="00A20577"/>
    <w:rsid w:val="00A21489"/>
    <w:rsid w:val="00A40ED4"/>
    <w:rsid w:val="00A45A45"/>
    <w:rsid w:val="00A678C0"/>
    <w:rsid w:val="00A746A0"/>
    <w:rsid w:val="00A90EEC"/>
    <w:rsid w:val="00AA1FDB"/>
    <w:rsid w:val="00AA62D7"/>
    <w:rsid w:val="00AC134F"/>
    <w:rsid w:val="00AE68F3"/>
    <w:rsid w:val="00B26098"/>
    <w:rsid w:val="00B31057"/>
    <w:rsid w:val="00B44E11"/>
    <w:rsid w:val="00B540C8"/>
    <w:rsid w:val="00B62B1E"/>
    <w:rsid w:val="00B727D8"/>
    <w:rsid w:val="00B9491F"/>
    <w:rsid w:val="00BA66D3"/>
    <w:rsid w:val="00BA6B0A"/>
    <w:rsid w:val="00BC7577"/>
    <w:rsid w:val="00BE4C60"/>
    <w:rsid w:val="00BF4B2C"/>
    <w:rsid w:val="00C070B0"/>
    <w:rsid w:val="00C1000A"/>
    <w:rsid w:val="00C221EA"/>
    <w:rsid w:val="00C33595"/>
    <w:rsid w:val="00C3423B"/>
    <w:rsid w:val="00C43D15"/>
    <w:rsid w:val="00C52DE5"/>
    <w:rsid w:val="00C57689"/>
    <w:rsid w:val="00C60EC8"/>
    <w:rsid w:val="00C65EB2"/>
    <w:rsid w:val="00C77C0A"/>
    <w:rsid w:val="00CB0F41"/>
    <w:rsid w:val="00CC7462"/>
    <w:rsid w:val="00CE6DA3"/>
    <w:rsid w:val="00CF605A"/>
    <w:rsid w:val="00D103DA"/>
    <w:rsid w:val="00D12DE8"/>
    <w:rsid w:val="00D252A7"/>
    <w:rsid w:val="00D50DB6"/>
    <w:rsid w:val="00D529B3"/>
    <w:rsid w:val="00D53037"/>
    <w:rsid w:val="00D5515F"/>
    <w:rsid w:val="00DB106F"/>
    <w:rsid w:val="00DD071C"/>
    <w:rsid w:val="00E351C1"/>
    <w:rsid w:val="00E35B86"/>
    <w:rsid w:val="00E438E3"/>
    <w:rsid w:val="00E52109"/>
    <w:rsid w:val="00E62EAE"/>
    <w:rsid w:val="00EA7D35"/>
    <w:rsid w:val="00EB44AB"/>
    <w:rsid w:val="00EC776F"/>
    <w:rsid w:val="00F00BF4"/>
    <w:rsid w:val="00F358FF"/>
    <w:rsid w:val="00F35CCA"/>
    <w:rsid w:val="00F75B7B"/>
    <w:rsid w:val="00F84B2D"/>
    <w:rsid w:val="00F904C9"/>
    <w:rsid w:val="00FC06B7"/>
    <w:rsid w:val="00FC4F18"/>
    <w:rsid w:val="00FE197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D6846"/>
    <w:pPr>
      <w:tabs>
        <w:tab w:val="center" w:pos="4680"/>
        <w:tab w:val="right" w:pos="9360"/>
      </w:tabs>
      <w:spacing w:after="0" w:line="240" w:lineRule="auto"/>
    </w:pPr>
  </w:style>
  <w:style w:type="character" w:customStyle="1" w:styleId="HeaderChar">
    <w:name w:val="Header Char"/>
    <w:basedOn w:val="DefaultParagraphFont"/>
    <w:link w:val="Header"/>
    <w:uiPriority w:val="99"/>
    <w:rsid w:val="006D6846"/>
  </w:style>
  <w:style w:type="paragraph" w:styleId="Footer">
    <w:name w:val="footer"/>
    <w:basedOn w:val="Normal"/>
    <w:link w:val="FooterChar"/>
    <w:uiPriority w:val="99"/>
    <w:unhideWhenUsed/>
    <w:rsid w:val="006D6846"/>
    <w:pPr>
      <w:tabs>
        <w:tab w:val="center" w:pos="4680"/>
        <w:tab w:val="right" w:pos="9360"/>
      </w:tabs>
      <w:spacing w:after="0" w:line="240" w:lineRule="auto"/>
    </w:pPr>
  </w:style>
  <w:style w:type="character" w:customStyle="1" w:styleId="FooterChar">
    <w:name w:val="Footer Char"/>
    <w:basedOn w:val="DefaultParagraphFont"/>
    <w:link w:val="Footer"/>
    <w:uiPriority w:val="99"/>
    <w:rsid w:val="006D6846"/>
  </w:style>
  <w:style w:type="paragraph" w:styleId="BalloonText">
    <w:name w:val="Balloon Text"/>
    <w:basedOn w:val="Normal"/>
    <w:link w:val="BalloonTextChar"/>
    <w:uiPriority w:val="99"/>
    <w:semiHidden/>
    <w:unhideWhenUsed/>
    <w:rsid w:val="006D684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D6846"/>
    <w:rPr>
      <w:rFonts w:ascii="Tahoma" w:hAnsi="Tahoma" w:cs="Tahoma"/>
      <w:sz w:val="16"/>
      <w:szCs w:val="16"/>
    </w:rPr>
  </w:style>
  <w:style w:type="paragraph" w:styleId="TOC1">
    <w:name w:val="toc 1"/>
    <w:basedOn w:val="Normal"/>
    <w:next w:val="Normal"/>
    <w:autoRedefine/>
    <w:uiPriority w:val="99"/>
    <w:rsid w:val="00DB106F"/>
    <w:pPr>
      <w:tabs>
        <w:tab w:val="right" w:leader="dot" w:pos="9771"/>
      </w:tabs>
      <w:spacing w:before="120" w:after="120" w:line="240" w:lineRule="auto"/>
      <w:jc w:val="both"/>
    </w:pPr>
    <w:rPr>
      <w:rFonts w:ascii="Times New Roman" w:eastAsia="MS Mincho" w:hAnsi="Times New Roman" w:cs="Times New Roman"/>
      <w:b/>
      <w:caps/>
      <w:noProof/>
      <w:sz w:val="32"/>
      <w:szCs w:val="32"/>
      <w:u w:val="single"/>
      <w:lang w:val="en-GB"/>
    </w:rPr>
  </w:style>
  <w:style w:type="paragraph" w:styleId="ListParagraph">
    <w:name w:val="List Paragraph"/>
    <w:basedOn w:val="Normal"/>
    <w:uiPriority w:val="34"/>
    <w:qFormat/>
    <w:rsid w:val="00B26098"/>
    <w:pPr>
      <w:ind w:left="720"/>
      <w:contextualSpacing/>
    </w:pPr>
  </w:style>
  <w:style w:type="table" w:styleId="TableGrid">
    <w:name w:val="Table Grid"/>
    <w:basedOn w:val="TableNormal"/>
    <w:uiPriority w:val="59"/>
    <w:rsid w:val="001B1E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
    <w:name w:val="norm"/>
    <w:basedOn w:val="Normal"/>
    <w:link w:val="normChar"/>
    <w:uiPriority w:val="99"/>
    <w:rsid w:val="00CE6DA3"/>
    <w:pPr>
      <w:tabs>
        <w:tab w:val="left" w:pos="851"/>
        <w:tab w:val="right" w:pos="9356"/>
      </w:tabs>
      <w:spacing w:before="60" w:after="60" w:line="360" w:lineRule="atLeast"/>
      <w:jc w:val="both"/>
    </w:pPr>
    <w:rPr>
      <w:rFonts w:ascii="Times New Roman" w:eastAsia="Times New Roman" w:hAnsi="Times New Roman" w:cs="Times New Roman"/>
      <w:szCs w:val="20"/>
    </w:rPr>
  </w:style>
  <w:style w:type="character" w:customStyle="1" w:styleId="normChar">
    <w:name w:val="norm Char"/>
    <w:link w:val="norm"/>
    <w:uiPriority w:val="99"/>
    <w:locked/>
    <w:rsid w:val="00CE6DA3"/>
    <w:rPr>
      <w:rFonts w:ascii="Times New Roman" w:eastAsia="Times New Roman" w:hAnsi="Times New Roman" w:cs="Times New Roman"/>
      <w:szCs w:val="20"/>
    </w:rPr>
  </w:style>
  <w:style w:type="paragraph" w:customStyle="1" w:styleId="CM1">
    <w:name w:val="CM1"/>
    <w:basedOn w:val="Normal"/>
    <w:next w:val="Normal"/>
    <w:uiPriority w:val="99"/>
    <w:rsid w:val="003D5E9F"/>
    <w:pPr>
      <w:autoSpaceDE w:val="0"/>
      <w:autoSpaceDN w:val="0"/>
      <w:adjustRightInd w:val="0"/>
      <w:spacing w:after="0" w:line="240" w:lineRule="auto"/>
    </w:pPr>
    <w:rPr>
      <w:rFonts w:ascii="EUAlbertina" w:hAnsi="EUAlbertina"/>
      <w:sz w:val="24"/>
      <w:szCs w:val="24"/>
      <w:lang w:val="fr-FR"/>
    </w:rPr>
  </w:style>
  <w:style w:type="paragraph" w:customStyle="1" w:styleId="CM3">
    <w:name w:val="CM3"/>
    <w:basedOn w:val="Normal"/>
    <w:next w:val="Normal"/>
    <w:uiPriority w:val="99"/>
    <w:rsid w:val="003D5E9F"/>
    <w:pPr>
      <w:autoSpaceDE w:val="0"/>
      <w:autoSpaceDN w:val="0"/>
      <w:adjustRightInd w:val="0"/>
      <w:spacing w:after="0" w:line="240" w:lineRule="auto"/>
    </w:pPr>
    <w:rPr>
      <w:rFonts w:ascii="EUAlbertina" w:hAnsi="EUAlbertina"/>
      <w:sz w:val="24"/>
      <w:szCs w:val="24"/>
      <w:lang w:val="fr-FR"/>
    </w:rPr>
  </w:style>
  <w:style w:type="paragraph" w:customStyle="1" w:styleId="CM4">
    <w:name w:val="CM4"/>
    <w:basedOn w:val="Normal"/>
    <w:next w:val="Normal"/>
    <w:uiPriority w:val="99"/>
    <w:rsid w:val="00DD071C"/>
    <w:pPr>
      <w:autoSpaceDE w:val="0"/>
      <w:autoSpaceDN w:val="0"/>
      <w:adjustRightInd w:val="0"/>
      <w:spacing w:after="0" w:line="240" w:lineRule="auto"/>
    </w:pPr>
    <w:rPr>
      <w:rFonts w:ascii="EUAlbertina" w:hAnsi="EUAlbertina"/>
      <w:sz w:val="24"/>
      <w:szCs w:val="24"/>
      <w:lang w:val="fr-FR"/>
    </w:rPr>
  </w:style>
  <w:style w:type="paragraph" w:customStyle="1" w:styleId="Default">
    <w:name w:val="Default"/>
    <w:rsid w:val="00DD071C"/>
    <w:pPr>
      <w:autoSpaceDE w:val="0"/>
      <w:autoSpaceDN w:val="0"/>
      <w:adjustRightInd w:val="0"/>
      <w:spacing w:after="0" w:line="240" w:lineRule="auto"/>
    </w:pPr>
    <w:rPr>
      <w:rFonts w:ascii="EUAlbertina" w:hAnsi="EUAlbertina" w:cs="EUAlbertina"/>
      <w:color w:val="000000"/>
      <w:sz w:val="24"/>
      <w:szCs w:val="24"/>
      <w:lang w:val="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D6846"/>
    <w:pPr>
      <w:tabs>
        <w:tab w:val="center" w:pos="4680"/>
        <w:tab w:val="right" w:pos="9360"/>
      </w:tabs>
      <w:spacing w:after="0" w:line="240" w:lineRule="auto"/>
    </w:pPr>
  </w:style>
  <w:style w:type="character" w:customStyle="1" w:styleId="HeaderChar">
    <w:name w:val="Header Char"/>
    <w:basedOn w:val="DefaultParagraphFont"/>
    <w:link w:val="Header"/>
    <w:uiPriority w:val="99"/>
    <w:rsid w:val="006D6846"/>
  </w:style>
  <w:style w:type="paragraph" w:styleId="Footer">
    <w:name w:val="footer"/>
    <w:basedOn w:val="Normal"/>
    <w:link w:val="FooterChar"/>
    <w:uiPriority w:val="99"/>
    <w:unhideWhenUsed/>
    <w:rsid w:val="006D6846"/>
    <w:pPr>
      <w:tabs>
        <w:tab w:val="center" w:pos="4680"/>
        <w:tab w:val="right" w:pos="9360"/>
      </w:tabs>
      <w:spacing w:after="0" w:line="240" w:lineRule="auto"/>
    </w:pPr>
  </w:style>
  <w:style w:type="character" w:customStyle="1" w:styleId="FooterChar">
    <w:name w:val="Footer Char"/>
    <w:basedOn w:val="DefaultParagraphFont"/>
    <w:link w:val="Footer"/>
    <w:uiPriority w:val="99"/>
    <w:rsid w:val="006D6846"/>
  </w:style>
  <w:style w:type="paragraph" w:styleId="BalloonText">
    <w:name w:val="Balloon Text"/>
    <w:basedOn w:val="Normal"/>
    <w:link w:val="BalloonTextChar"/>
    <w:uiPriority w:val="99"/>
    <w:semiHidden/>
    <w:unhideWhenUsed/>
    <w:rsid w:val="006D684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D6846"/>
    <w:rPr>
      <w:rFonts w:ascii="Tahoma" w:hAnsi="Tahoma" w:cs="Tahoma"/>
      <w:sz w:val="16"/>
      <w:szCs w:val="16"/>
    </w:rPr>
  </w:style>
  <w:style w:type="paragraph" w:styleId="TOC1">
    <w:name w:val="toc 1"/>
    <w:basedOn w:val="Normal"/>
    <w:next w:val="Normal"/>
    <w:autoRedefine/>
    <w:uiPriority w:val="99"/>
    <w:rsid w:val="00DB106F"/>
    <w:pPr>
      <w:tabs>
        <w:tab w:val="right" w:leader="dot" w:pos="9771"/>
      </w:tabs>
      <w:spacing w:before="120" w:after="120" w:line="240" w:lineRule="auto"/>
      <w:jc w:val="both"/>
    </w:pPr>
    <w:rPr>
      <w:rFonts w:ascii="Times New Roman" w:eastAsia="MS Mincho" w:hAnsi="Times New Roman" w:cs="Times New Roman"/>
      <w:b/>
      <w:caps/>
      <w:noProof/>
      <w:sz w:val="32"/>
      <w:szCs w:val="32"/>
      <w:u w:val="single"/>
      <w:lang w:val="en-GB"/>
    </w:rPr>
  </w:style>
  <w:style w:type="paragraph" w:styleId="ListParagraph">
    <w:name w:val="List Paragraph"/>
    <w:basedOn w:val="Normal"/>
    <w:uiPriority w:val="34"/>
    <w:qFormat/>
    <w:rsid w:val="00B26098"/>
    <w:pPr>
      <w:ind w:left="720"/>
      <w:contextualSpacing/>
    </w:pPr>
  </w:style>
  <w:style w:type="table" w:styleId="TableGrid">
    <w:name w:val="Table Grid"/>
    <w:basedOn w:val="TableNormal"/>
    <w:uiPriority w:val="59"/>
    <w:rsid w:val="001B1E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
    <w:name w:val="norm"/>
    <w:basedOn w:val="Normal"/>
    <w:link w:val="normChar"/>
    <w:uiPriority w:val="99"/>
    <w:rsid w:val="00CE6DA3"/>
    <w:pPr>
      <w:tabs>
        <w:tab w:val="left" w:pos="851"/>
        <w:tab w:val="right" w:pos="9356"/>
      </w:tabs>
      <w:spacing w:before="60" w:after="60" w:line="360" w:lineRule="atLeast"/>
      <w:jc w:val="both"/>
    </w:pPr>
    <w:rPr>
      <w:rFonts w:ascii="Times New Roman" w:eastAsia="Times New Roman" w:hAnsi="Times New Roman" w:cs="Times New Roman"/>
      <w:szCs w:val="20"/>
    </w:rPr>
  </w:style>
  <w:style w:type="character" w:customStyle="1" w:styleId="normChar">
    <w:name w:val="norm Char"/>
    <w:link w:val="norm"/>
    <w:uiPriority w:val="99"/>
    <w:locked/>
    <w:rsid w:val="00CE6DA3"/>
    <w:rPr>
      <w:rFonts w:ascii="Times New Roman" w:eastAsia="Times New Roman" w:hAnsi="Times New Roman" w:cs="Times New Roman"/>
      <w:szCs w:val="20"/>
    </w:rPr>
  </w:style>
  <w:style w:type="paragraph" w:customStyle="1" w:styleId="CM1">
    <w:name w:val="CM1"/>
    <w:basedOn w:val="Normal"/>
    <w:next w:val="Normal"/>
    <w:uiPriority w:val="99"/>
    <w:rsid w:val="003D5E9F"/>
    <w:pPr>
      <w:autoSpaceDE w:val="0"/>
      <w:autoSpaceDN w:val="0"/>
      <w:adjustRightInd w:val="0"/>
      <w:spacing w:after="0" w:line="240" w:lineRule="auto"/>
    </w:pPr>
    <w:rPr>
      <w:rFonts w:ascii="EUAlbertina" w:hAnsi="EUAlbertina"/>
      <w:sz w:val="24"/>
      <w:szCs w:val="24"/>
      <w:lang w:val="fr-FR"/>
    </w:rPr>
  </w:style>
  <w:style w:type="paragraph" w:customStyle="1" w:styleId="CM3">
    <w:name w:val="CM3"/>
    <w:basedOn w:val="Normal"/>
    <w:next w:val="Normal"/>
    <w:uiPriority w:val="99"/>
    <w:rsid w:val="003D5E9F"/>
    <w:pPr>
      <w:autoSpaceDE w:val="0"/>
      <w:autoSpaceDN w:val="0"/>
      <w:adjustRightInd w:val="0"/>
      <w:spacing w:after="0" w:line="240" w:lineRule="auto"/>
    </w:pPr>
    <w:rPr>
      <w:rFonts w:ascii="EUAlbertina" w:hAnsi="EUAlbertina"/>
      <w:sz w:val="24"/>
      <w:szCs w:val="24"/>
      <w:lang w:val="fr-FR"/>
    </w:rPr>
  </w:style>
  <w:style w:type="paragraph" w:customStyle="1" w:styleId="CM4">
    <w:name w:val="CM4"/>
    <w:basedOn w:val="Normal"/>
    <w:next w:val="Normal"/>
    <w:uiPriority w:val="99"/>
    <w:rsid w:val="00DD071C"/>
    <w:pPr>
      <w:autoSpaceDE w:val="0"/>
      <w:autoSpaceDN w:val="0"/>
      <w:adjustRightInd w:val="0"/>
      <w:spacing w:after="0" w:line="240" w:lineRule="auto"/>
    </w:pPr>
    <w:rPr>
      <w:rFonts w:ascii="EUAlbertina" w:hAnsi="EUAlbertina"/>
      <w:sz w:val="24"/>
      <w:szCs w:val="24"/>
      <w:lang w:val="fr-FR"/>
    </w:rPr>
  </w:style>
  <w:style w:type="paragraph" w:customStyle="1" w:styleId="Default">
    <w:name w:val="Default"/>
    <w:rsid w:val="00DD071C"/>
    <w:pPr>
      <w:autoSpaceDE w:val="0"/>
      <w:autoSpaceDN w:val="0"/>
      <w:adjustRightInd w:val="0"/>
      <w:spacing w:after="0" w:line="240" w:lineRule="auto"/>
    </w:pPr>
    <w:rPr>
      <w:rFonts w:ascii="EUAlbertina" w:hAnsi="EUAlbertina" w:cs="EUAlbertina"/>
      <w:color w:val="000000"/>
      <w:sz w:val="24"/>
      <w:szCs w:val="24"/>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microsoft.com/office/2011/relationships/people" Target="peop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oleObject" Target="embeddings/oleObject1.bin"/><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1547</Words>
  <Characters>8822</Characters>
  <Application>Microsoft Office Word</Application>
  <DocSecurity>0</DocSecurity>
  <Lines>73</Lines>
  <Paragraphs>20</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Cognizant Technology Solutions</Company>
  <LinksUpToDate>false</LinksUpToDate>
  <CharactersWithSpaces>10349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Cognizant Technology Solutions</dc:creator>
  <cp:lastModifiedBy>François DUBRAU</cp:lastModifiedBy>
  <cp:revision>5</cp:revision>
  <cp:lastPrinted>2015-10-09T10:36:00Z</cp:lastPrinted>
  <dcterms:created xsi:type="dcterms:W3CDTF">2016-05-16T15:34:00Z</dcterms:created>
  <dcterms:modified xsi:type="dcterms:W3CDTF">2016-08-29T04:00:00Z</dcterms:modified>
</cp:coreProperties>
</file>