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664" w:rsidRDefault="00765664" w:rsidP="006D6846">
      <w:pPr>
        <w:tabs>
          <w:tab w:val="left" w:pos="9356"/>
        </w:tabs>
        <w:ind w:right="-279"/>
        <w:jc w:val="center"/>
        <w:rPr>
          <w:sz w:val="36"/>
          <w:lang w:val="fr-FR"/>
        </w:rPr>
      </w:pPr>
    </w:p>
    <w:p w:rsidR="00575F36" w:rsidRPr="00B3406E" w:rsidRDefault="00B3406E" w:rsidP="00AA1FD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000000" w:fill="FFFFFF"/>
        <w:jc w:val="center"/>
        <w:rPr>
          <w:b/>
          <w:noProof/>
          <w:sz w:val="36"/>
        </w:rPr>
      </w:pPr>
      <w:r w:rsidRPr="00B3406E">
        <w:rPr>
          <w:b/>
          <w:noProof/>
          <w:sz w:val="36"/>
        </w:rPr>
        <w:t>Use of the Hold &amp; Release functionality</w:t>
      </w:r>
    </w:p>
    <w:p w:rsidR="001B1E38" w:rsidRPr="00B3406E" w:rsidRDefault="001B1E38" w:rsidP="006D6846">
      <w:pPr>
        <w:tabs>
          <w:tab w:val="left" w:pos="9356"/>
        </w:tabs>
        <w:ind w:right="-279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61"/>
        <w:gridCol w:w="2505"/>
        <w:gridCol w:w="4784"/>
      </w:tblGrid>
      <w:tr w:rsidR="004F6025" w:rsidTr="0091257E">
        <w:tc>
          <w:tcPr>
            <w:tcW w:w="2093" w:type="dxa"/>
            <w:vMerge w:val="restart"/>
            <w:shd w:val="clear" w:color="auto" w:fill="BFBFBF" w:themeFill="background1" w:themeFillShade="BF"/>
          </w:tcPr>
          <w:p w:rsidR="004F6025" w:rsidRPr="004F6025" w:rsidRDefault="004F6025" w:rsidP="006D6846">
            <w:pPr>
              <w:tabs>
                <w:tab w:val="left" w:pos="9356"/>
              </w:tabs>
              <w:ind w:right="-279"/>
              <w:rPr>
                <w:b/>
                <w:lang w:val="fr-FR"/>
              </w:rPr>
            </w:pPr>
            <w:proofErr w:type="spellStart"/>
            <w:r w:rsidRPr="004F6025">
              <w:rPr>
                <w:b/>
                <w:lang w:val="fr-FR"/>
              </w:rPr>
              <w:t>Versioning</w:t>
            </w:r>
            <w:proofErr w:type="spellEnd"/>
          </w:p>
        </w:tc>
        <w:tc>
          <w:tcPr>
            <w:tcW w:w="2551" w:type="dxa"/>
            <w:shd w:val="clear" w:color="auto" w:fill="F2F2F2" w:themeFill="background1" w:themeFillShade="F2"/>
          </w:tcPr>
          <w:p w:rsidR="004F6025" w:rsidRDefault="004F6025" w:rsidP="006D6846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Version</w:t>
            </w:r>
          </w:p>
        </w:tc>
        <w:tc>
          <w:tcPr>
            <w:tcW w:w="4932" w:type="dxa"/>
          </w:tcPr>
          <w:p w:rsidR="004F6025" w:rsidRDefault="00776CD9" w:rsidP="00776CD9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2</w:t>
            </w:r>
            <w:r w:rsidR="00140482">
              <w:rPr>
                <w:lang w:val="fr-FR"/>
              </w:rPr>
              <w:t>.</w:t>
            </w:r>
            <w:r>
              <w:rPr>
                <w:lang w:val="fr-FR"/>
              </w:rPr>
              <w:t>0</w:t>
            </w:r>
          </w:p>
        </w:tc>
      </w:tr>
      <w:tr w:rsidR="00B3406E" w:rsidRPr="00AA1FDB" w:rsidTr="0091257E">
        <w:tc>
          <w:tcPr>
            <w:tcW w:w="2093" w:type="dxa"/>
            <w:vMerge/>
            <w:shd w:val="clear" w:color="auto" w:fill="BFBFBF" w:themeFill="background1" w:themeFillShade="BF"/>
          </w:tcPr>
          <w:p w:rsidR="00B3406E" w:rsidRPr="004F6025" w:rsidRDefault="00B3406E" w:rsidP="006D6846">
            <w:pPr>
              <w:tabs>
                <w:tab w:val="left" w:pos="9356"/>
              </w:tabs>
              <w:ind w:right="-279"/>
              <w:rPr>
                <w:b/>
                <w:lang w:val="fr-FR"/>
              </w:rPr>
            </w:pPr>
          </w:p>
        </w:tc>
        <w:tc>
          <w:tcPr>
            <w:tcW w:w="2551" w:type="dxa"/>
            <w:shd w:val="clear" w:color="auto" w:fill="F2F2F2" w:themeFill="background1" w:themeFillShade="F2"/>
          </w:tcPr>
          <w:p w:rsidR="00B3406E" w:rsidRDefault="00B3406E" w:rsidP="000E651B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Publication date</w:t>
            </w:r>
          </w:p>
        </w:tc>
        <w:tc>
          <w:tcPr>
            <w:tcW w:w="4932" w:type="dxa"/>
          </w:tcPr>
          <w:p w:rsidR="00B3406E" w:rsidRDefault="00B3406E" w:rsidP="000E651B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April 6th, 2016</w:t>
            </w:r>
          </w:p>
        </w:tc>
      </w:tr>
    </w:tbl>
    <w:p w:rsidR="00B26098" w:rsidRDefault="00B26098" w:rsidP="00B26098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EC776F" w:rsidRDefault="00EC776F" w:rsidP="00B26098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B3406E" w:rsidRPr="000C4CA6" w:rsidRDefault="00B3406E" w:rsidP="00B3406E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</w:rPr>
      </w:pPr>
      <w:r w:rsidRPr="003348A6">
        <w:rPr>
          <w:rFonts w:eastAsia="MS Mincho" w:cs="Times New Roman"/>
          <w:b/>
          <w:caps/>
          <w:noProof/>
          <w:sz w:val="32"/>
          <w:szCs w:val="32"/>
        </w:rPr>
        <w:t>Description of the existing practice &amp; of the Impacts</w:t>
      </w:r>
    </w:p>
    <w:p w:rsidR="0081511D" w:rsidRPr="00B3406E" w:rsidRDefault="0081511D" w:rsidP="00B26098">
      <w:pPr>
        <w:spacing w:after="0" w:line="240" w:lineRule="auto"/>
        <w:rPr>
          <w:rFonts w:eastAsia="MS Mincho" w:cs="Times New Roman"/>
          <w:noProof/>
          <w:szCs w:val="32"/>
        </w:rPr>
      </w:pPr>
    </w:p>
    <w:tbl>
      <w:tblPr>
        <w:tblStyle w:val="Grilledutableau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7513"/>
      </w:tblGrid>
      <w:tr w:rsidR="00B3406E" w:rsidRPr="00B3406E" w:rsidTr="0091257E"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3406E" w:rsidRPr="000C4CA6" w:rsidRDefault="00B3406E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5B1C9D">
              <w:rPr>
                <w:rFonts w:eastAsia="MS Mincho" w:cs="Times New Roman"/>
                <w:b/>
                <w:noProof/>
                <w:szCs w:val="32"/>
              </w:rPr>
              <w:t>Description of the existing practice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B3406E" w:rsidRPr="00B457D4" w:rsidRDefault="00AD57D4" w:rsidP="00B457D4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AD57D4">
              <w:rPr>
                <w:rFonts w:eastAsia="MS Mincho" w:cs="Times New Roman"/>
                <w:noProof/>
                <w:szCs w:val="32"/>
              </w:rPr>
              <w:t xml:space="preserve">Settlement instructions can </w:t>
            </w:r>
            <w:r w:rsidR="00B457D4">
              <w:rPr>
                <w:rFonts w:eastAsia="MS Mincho" w:cs="Times New Roman"/>
                <w:noProof/>
                <w:szCs w:val="32"/>
              </w:rPr>
              <w:t xml:space="preserve">today </w:t>
            </w:r>
            <w:r w:rsidRPr="00AD57D4">
              <w:rPr>
                <w:rFonts w:eastAsia="MS Mincho" w:cs="Times New Roman"/>
                <w:noProof/>
                <w:szCs w:val="32"/>
              </w:rPr>
              <w:t>be pre-matched in Euroclear France.</w:t>
            </w:r>
            <w:r>
              <w:rPr>
                <w:rFonts w:eastAsia="MS Mincho" w:cs="Times New Roman"/>
                <w:noProof/>
                <w:szCs w:val="32"/>
              </w:rPr>
              <w:t xml:space="preserve"> </w:t>
            </w:r>
            <w:r w:rsidRPr="00B457D4">
              <w:rPr>
                <w:rFonts w:eastAsia="MS Mincho" w:cs="Times New Roman"/>
                <w:noProof/>
                <w:szCs w:val="32"/>
              </w:rPr>
              <w:t>No Hold &amp; Release functionality does exist today.</w:t>
            </w:r>
          </w:p>
        </w:tc>
      </w:tr>
      <w:tr w:rsidR="00B3406E" w:rsidRPr="00B3406E" w:rsidTr="0091257E">
        <w:tc>
          <w:tcPr>
            <w:tcW w:w="2093" w:type="dxa"/>
            <w:tcBorders>
              <w:left w:val="nil"/>
              <w:right w:val="nil"/>
            </w:tcBorders>
          </w:tcPr>
          <w:p w:rsidR="00B3406E" w:rsidRPr="00B457D4" w:rsidRDefault="00B3406E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</w:tcPr>
          <w:p w:rsidR="00B3406E" w:rsidRPr="00B457D4" w:rsidRDefault="00B3406E" w:rsidP="00B26098">
            <w:pPr>
              <w:rPr>
                <w:rFonts w:eastAsia="MS Mincho" w:cs="Times New Roman"/>
                <w:noProof/>
                <w:szCs w:val="32"/>
              </w:rPr>
            </w:pPr>
          </w:p>
        </w:tc>
      </w:tr>
      <w:tr w:rsidR="00B3406E" w:rsidRPr="00AD57D4" w:rsidTr="0081511D"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3406E" w:rsidRPr="00343E9C" w:rsidRDefault="00B3406E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43E9C">
              <w:rPr>
                <w:rFonts w:eastAsia="MS Mincho" w:cs="Times New Roman"/>
                <w:b/>
                <w:noProof/>
                <w:szCs w:val="32"/>
              </w:rPr>
              <w:t>Description of the T2S impact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B3406E" w:rsidRPr="00AD57D4" w:rsidRDefault="00AD57D4" w:rsidP="00AD57D4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AD57D4">
              <w:rPr>
                <w:rFonts w:eastAsia="MS Mincho" w:cs="Times New Roman"/>
                <w:noProof/>
                <w:szCs w:val="32"/>
              </w:rPr>
              <w:t xml:space="preserve">The </w:t>
            </w:r>
            <w:r w:rsidR="00B3406E" w:rsidRPr="00AD57D4">
              <w:rPr>
                <w:rFonts w:eastAsia="MS Mincho" w:cs="Times New Roman"/>
                <w:noProof/>
                <w:szCs w:val="32"/>
              </w:rPr>
              <w:t>pr</w:t>
            </w:r>
            <w:r w:rsidRPr="00AD57D4">
              <w:rPr>
                <w:rFonts w:eastAsia="MS Mincho" w:cs="Times New Roman"/>
                <w:noProof/>
                <w:szCs w:val="32"/>
              </w:rPr>
              <w:t>e</w:t>
            </w:r>
            <w:r w:rsidR="00B3406E" w:rsidRPr="00AD57D4">
              <w:rPr>
                <w:rFonts w:eastAsia="MS Mincho" w:cs="Times New Roman"/>
                <w:noProof/>
                <w:szCs w:val="32"/>
              </w:rPr>
              <w:t xml:space="preserve">-matching </w:t>
            </w:r>
            <w:r w:rsidRPr="00AD57D4">
              <w:rPr>
                <w:rFonts w:eastAsia="MS Mincho" w:cs="Times New Roman"/>
                <w:noProof/>
                <w:szCs w:val="32"/>
              </w:rPr>
              <w:t xml:space="preserve">functionality </w:t>
            </w:r>
            <w:r>
              <w:rPr>
                <w:rFonts w:eastAsia="MS Mincho" w:cs="Times New Roman"/>
                <w:noProof/>
                <w:szCs w:val="32"/>
              </w:rPr>
              <w:t>disappears</w:t>
            </w:r>
            <w:r w:rsidR="00B3406E" w:rsidRPr="00AD57D4">
              <w:rPr>
                <w:rFonts w:eastAsia="MS Mincho" w:cs="Times New Roman"/>
                <w:noProof/>
                <w:szCs w:val="32"/>
              </w:rPr>
              <w:t xml:space="preserve">. </w:t>
            </w:r>
            <w:r w:rsidRPr="00AD57D4">
              <w:rPr>
                <w:rFonts w:eastAsia="MS Mincho" w:cs="Times New Roman"/>
                <w:noProof/>
                <w:szCs w:val="32"/>
              </w:rPr>
              <w:t>The Hold &amp; Release functionality is implemented.</w:t>
            </w:r>
          </w:p>
        </w:tc>
      </w:tr>
      <w:tr w:rsidR="0081511D" w:rsidRPr="00AD57D4" w:rsidTr="0081511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81511D" w:rsidRPr="00AD57D4" w:rsidRDefault="0081511D" w:rsidP="00EC776F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81511D" w:rsidRPr="00AD57D4" w:rsidRDefault="0081511D" w:rsidP="0081511D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</w:tr>
      <w:tr w:rsidR="00B3406E" w:rsidRPr="00B3406E" w:rsidTr="0081511D">
        <w:tc>
          <w:tcPr>
            <w:tcW w:w="2093" w:type="dxa"/>
            <w:shd w:val="clear" w:color="auto" w:fill="BFBFBF" w:themeFill="background1" w:themeFillShade="BF"/>
          </w:tcPr>
          <w:p w:rsidR="00B3406E" w:rsidRPr="000C4CA6" w:rsidRDefault="00B3406E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Description of the major issue</w:t>
            </w:r>
          </w:p>
        </w:tc>
        <w:tc>
          <w:tcPr>
            <w:tcW w:w="7513" w:type="dxa"/>
          </w:tcPr>
          <w:p w:rsidR="00B3406E" w:rsidRPr="00AD57D4" w:rsidRDefault="00AD57D4" w:rsidP="00776CD9">
            <w:pPr>
              <w:spacing w:beforeLines="60" w:before="144"/>
              <w:jc w:val="both"/>
              <w:rPr>
                <w:rFonts w:cs="Tahoma"/>
                <w:szCs w:val="21"/>
                <w:lang w:eastAsia="fr-FR"/>
              </w:rPr>
            </w:pPr>
            <w:r w:rsidRPr="00AD57D4">
              <w:rPr>
                <w:rFonts w:cs="Tahoma"/>
                <w:szCs w:val="21"/>
                <w:lang w:eastAsia="fr-FR"/>
              </w:rPr>
              <w:t xml:space="preserve">Any custodian must be in capacity to receive and handle an instruction presented or to be presented in </w:t>
            </w:r>
            <w:r>
              <w:rPr>
                <w:rFonts w:cs="Tahoma"/>
                <w:szCs w:val="21"/>
                <w:lang w:eastAsia="fr-FR"/>
              </w:rPr>
              <w:t>‘</w:t>
            </w:r>
            <w:r w:rsidRPr="00AD57D4">
              <w:rPr>
                <w:rFonts w:cs="Tahoma"/>
                <w:szCs w:val="21"/>
                <w:lang w:eastAsia="fr-FR"/>
              </w:rPr>
              <w:t>hold</w:t>
            </w:r>
            <w:r>
              <w:rPr>
                <w:rFonts w:cs="Tahoma"/>
                <w:szCs w:val="21"/>
                <w:lang w:eastAsia="fr-FR"/>
              </w:rPr>
              <w:t>’</w:t>
            </w:r>
            <w:r w:rsidRPr="00AD57D4">
              <w:rPr>
                <w:rFonts w:cs="Tahoma"/>
                <w:szCs w:val="21"/>
                <w:lang w:eastAsia="fr-FR"/>
              </w:rPr>
              <w:t xml:space="preserve"> or </w:t>
            </w:r>
            <w:r>
              <w:rPr>
                <w:rFonts w:cs="Tahoma"/>
                <w:szCs w:val="21"/>
                <w:lang w:eastAsia="fr-FR"/>
              </w:rPr>
              <w:t>‘release’</w:t>
            </w:r>
            <w:r w:rsidR="00B3406E" w:rsidRPr="00AD57D4">
              <w:rPr>
                <w:rFonts w:cs="Tahoma"/>
                <w:szCs w:val="21"/>
                <w:lang w:eastAsia="fr-FR"/>
              </w:rPr>
              <w:t>.</w:t>
            </w:r>
          </w:p>
          <w:p w:rsidR="00AD57D4" w:rsidRDefault="00AD57D4" w:rsidP="00776CD9">
            <w:pPr>
              <w:spacing w:beforeLines="60" w:before="144"/>
              <w:jc w:val="both"/>
              <w:rPr>
                <w:rFonts w:cs="Tahoma"/>
                <w:szCs w:val="21"/>
                <w:lang w:eastAsia="fr-FR"/>
              </w:rPr>
            </w:pPr>
            <w:r>
              <w:rPr>
                <w:rFonts w:cs="Tahoma"/>
                <w:szCs w:val="21"/>
                <w:lang w:eastAsia="fr-FR"/>
              </w:rPr>
              <w:t xml:space="preserve">This functionality can be deemed necessary as a custodian wishes to present in the settlement system an instruction without having a certainty on the corresponding stock of securities. This tool is available to meet the needs of the ‘Cahier des charges du </w:t>
            </w:r>
            <w:proofErr w:type="spellStart"/>
            <w:r>
              <w:rPr>
                <w:rFonts w:cs="Tahoma"/>
                <w:szCs w:val="21"/>
                <w:lang w:eastAsia="fr-FR"/>
              </w:rPr>
              <w:t>teneur</w:t>
            </w:r>
            <w:proofErr w:type="spellEnd"/>
            <w:r>
              <w:rPr>
                <w:rFonts w:cs="Tahoma"/>
                <w:szCs w:val="21"/>
                <w:lang w:eastAsia="fr-FR"/>
              </w:rPr>
              <w:t xml:space="preserve"> de </w:t>
            </w:r>
            <w:proofErr w:type="spellStart"/>
            <w:r>
              <w:rPr>
                <w:rFonts w:cs="Tahoma"/>
                <w:szCs w:val="21"/>
                <w:lang w:eastAsia="fr-FR"/>
              </w:rPr>
              <w:t>compte</w:t>
            </w:r>
            <w:proofErr w:type="spellEnd"/>
            <w:r>
              <w:rPr>
                <w:rFonts w:cs="Tahoma"/>
                <w:szCs w:val="21"/>
                <w:lang w:eastAsia="fr-FR"/>
              </w:rPr>
              <w:t xml:space="preserve"> </w:t>
            </w:r>
            <w:proofErr w:type="spellStart"/>
            <w:r>
              <w:rPr>
                <w:rFonts w:cs="Tahoma"/>
                <w:szCs w:val="21"/>
                <w:lang w:eastAsia="fr-FR"/>
              </w:rPr>
              <w:t>conservateur</w:t>
            </w:r>
            <w:proofErr w:type="spellEnd"/>
            <w:r>
              <w:rPr>
                <w:rFonts w:cs="Tahoma"/>
                <w:szCs w:val="21"/>
                <w:lang w:eastAsia="fr-FR"/>
              </w:rPr>
              <w:t>’ published by AMF.</w:t>
            </w:r>
          </w:p>
          <w:p w:rsidR="00B3406E" w:rsidRPr="00AD57D4" w:rsidRDefault="00AD57D4" w:rsidP="00776CD9">
            <w:pPr>
              <w:spacing w:beforeLines="60" w:before="144"/>
              <w:jc w:val="both"/>
              <w:rPr>
                <w:rFonts w:cs="Tahoma"/>
                <w:szCs w:val="21"/>
                <w:lang w:eastAsia="fr-FR"/>
              </w:rPr>
            </w:pPr>
            <w:r w:rsidRPr="00AD57D4">
              <w:rPr>
                <w:rFonts w:cs="Tahoma"/>
                <w:szCs w:val="21"/>
                <w:lang w:eastAsia="fr-FR"/>
              </w:rPr>
              <w:t xml:space="preserve">There can be specific cases </w:t>
            </w:r>
            <w:r>
              <w:rPr>
                <w:rFonts w:cs="Tahoma"/>
                <w:szCs w:val="21"/>
                <w:lang w:eastAsia="fr-FR"/>
              </w:rPr>
              <w:t xml:space="preserve">requested by </w:t>
            </w:r>
            <w:r w:rsidRPr="00AD57D4">
              <w:rPr>
                <w:rFonts w:cs="Tahoma"/>
                <w:szCs w:val="21"/>
                <w:lang w:eastAsia="fr-FR"/>
              </w:rPr>
              <w:t>the investor</w:t>
            </w:r>
            <w:r>
              <w:rPr>
                <w:rFonts w:cs="Tahoma"/>
                <w:szCs w:val="21"/>
                <w:lang w:eastAsia="fr-FR"/>
              </w:rPr>
              <w:t>, when he senses difficulties on the reception of securities or any other difficulty related to a particular transaction.</w:t>
            </w:r>
          </w:p>
          <w:p w:rsidR="00B3406E" w:rsidRPr="00AD57D4" w:rsidRDefault="00AD57D4" w:rsidP="00776CD9">
            <w:pPr>
              <w:spacing w:beforeLines="60" w:before="144"/>
              <w:jc w:val="both"/>
              <w:rPr>
                <w:rFonts w:cs="Tahoma"/>
                <w:szCs w:val="21"/>
                <w:lang w:eastAsia="fr-FR"/>
              </w:rPr>
            </w:pPr>
            <w:r w:rsidRPr="00AD57D4">
              <w:rPr>
                <w:rFonts w:cs="Tahoma"/>
                <w:szCs w:val="21"/>
                <w:lang w:eastAsia="fr-FR"/>
              </w:rPr>
              <w:t xml:space="preserve">On the contrary, the use of this functionality can have damaging </w:t>
            </w:r>
            <w:r>
              <w:rPr>
                <w:rFonts w:cs="Tahoma"/>
                <w:szCs w:val="21"/>
                <w:lang w:eastAsia="fr-FR"/>
              </w:rPr>
              <w:t>consequences on the settlement: the matching is no guarantee of the settlement on due date, as securities can be blocked as long as the instruction is not released and kept ‘on hold’.</w:t>
            </w:r>
          </w:p>
          <w:p w:rsidR="00B3406E" w:rsidRPr="00343E9C" w:rsidRDefault="00AD57D4" w:rsidP="00AD57D4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343E9C">
              <w:rPr>
                <w:rFonts w:cs="Tahoma"/>
                <w:szCs w:val="21"/>
                <w:lang w:eastAsia="fr-FR"/>
              </w:rPr>
              <w:t>The absence of use of the functionality can also be recommended</w:t>
            </w:r>
            <w:r w:rsidR="00B457D4">
              <w:rPr>
                <w:rFonts w:cs="Tahoma"/>
                <w:szCs w:val="21"/>
                <w:lang w:eastAsia="fr-FR"/>
              </w:rPr>
              <w:t xml:space="preserve"> for some activities</w:t>
            </w:r>
            <w:r w:rsidRPr="00343E9C">
              <w:rPr>
                <w:rFonts w:cs="Tahoma"/>
                <w:szCs w:val="21"/>
                <w:lang w:eastAsia="fr-FR"/>
              </w:rPr>
              <w:t>.</w:t>
            </w:r>
          </w:p>
        </w:tc>
      </w:tr>
      <w:tr w:rsidR="00B3406E" w:rsidRPr="00B3406E" w:rsidTr="006542E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B3406E" w:rsidRPr="00343E9C" w:rsidRDefault="00B3406E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B3406E" w:rsidRPr="00343E9C" w:rsidRDefault="00B3406E" w:rsidP="006542ED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</w:tr>
      <w:tr w:rsidR="00B3406E" w:rsidRPr="0081511D" w:rsidTr="0081511D">
        <w:tc>
          <w:tcPr>
            <w:tcW w:w="2093" w:type="dxa"/>
            <w:shd w:val="clear" w:color="auto" w:fill="BFBFBF" w:themeFill="background1" w:themeFillShade="BF"/>
          </w:tcPr>
          <w:p w:rsidR="00B3406E" w:rsidRPr="003348A6" w:rsidRDefault="00B3406E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Description of the roles and responsibilities of the ac</w:t>
            </w:r>
            <w:r>
              <w:rPr>
                <w:rFonts w:eastAsia="MS Mincho" w:cs="Times New Roman"/>
                <w:b/>
                <w:noProof/>
                <w:szCs w:val="32"/>
              </w:rPr>
              <w:t>to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rs involved </w:t>
            </w:r>
          </w:p>
          <w:p w:rsidR="00B3406E" w:rsidRPr="00D103DA" w:rsidRDefault="00B3406E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(OPTIONAL)</w:t>
            </w:r>
          </w:p>
        </w:tc>
        <w:tc>
          <w:tcPr>
            <w:tcW w:w="7513" w:type="dxa"/>
          </w:tcPr>
          <w:p w:rsidR="00B3406E" w:rsidRDefault="00B3406E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B3406E" w:rsidRDefault="00B3406E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B3406E" w:rsidRDefault="00B3406E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B3406E" w:rsidRPr="0081511D" w:rsidTr="006542E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B3406E" w:rsidRDefault="00B3406E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B3406E" w:rsidRPr="0081511D" w:rsidRDefault="00B3406E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B3406E" w:rsidRPr="0081511D" w:rsidTr="0081511D">
        <w:tc>
          <w:tcPr>
            <w:tcW w:w="2093" w:type="dxa"/>
            <w:shd w:val="clear" w:color="auto" w:fill="BFBFBF" w:themeFill="background1" w:themeFillShade="BF"/>
          </w:tcPr>
          <w:p w:rsidR="00B3406E" w:rsidRDefault="00B3406E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Workflows</w:t>
            </w:r>
          </w:p>
          <w:p w:rsidR="00B3406E" w:rsidRDefault="00B3406E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lastRenderedPageBreak/>
              <w:t>(OPTIONAL)</w:t>
            </w:r>
          </w:p>
        </w:tc>
        <w:tc>
          <w:tcPr>
            <w:tcW w:w="7513" w:type="dxa"/>
          </w:tcPr>
          <w:p w:rsidR="00B3406E" w:rsidRPr="00FD2FD6" w:rsidRDefault="00B3406E" w:rsidP="0081511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B3406E" w:rsidRPr="0081511D" w:rsidTr="006542E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B3406E" w:rsidRDefault="00B3406E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B3406E" w:rsidRPr="0081511D" w:rsidRDefault="00B3406E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B3406E" w:rsidRPr="00113071" w:rsidTr="0091257E"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3406E" w:rsidRPr="003348A6" w:rsidRDefault="00B3406E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Links with other market practices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B3406E" w:rsidRPr="00922B9C" w:rsidRDefault="00B3406E" w:rsidP="00922B9C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del w:id="0" w:author="de Sousa, Maria" w:date="2016-05-16T18:00:00Z">
              <w:r w:rsidDel="00211FC5">
                <w:rPr>
                  <w:rFonts w:eastAsia="MS Mincho" w:cs="Times New Roman"/>
                  <w:noProof/>
                  <w:szCs w:val="32"/>
                  <w:lang w:val="fr-FR"/>
                </w:rPr>
                <w:delText>-</w:delText>
              </w:r>
            </w:del>
          </w:p>
        </w:tc>
      </w:tr>
    </w:tbl>
    <w:p w:rsidR="001E0D83" w:rsidRDefault="001E0D83" w:rsidP="00D103DA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81511D" w:rsidRDefault="0081511D" w:rsidP="00D103DA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B3406E" w:rsidRPr="004F6025" w:rsidRDefault="00B3406E" w:rsidP="00B3406E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t>Recommended market practice</w:t>
      </w:r>
    </w:p>
    <w:p w:rsidR="0081511D" w:rsidRDefault="0081511D" w:rsidP="00D103DA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2093"/>
        <w:gridCol w:w="7483"/>
        <w:gridCol w:w="30"/>
      </w:tblGrid>
      <w:tr w:rsidR="00B3406E" w:rsidRPr="00F370B0" w:rsidTr="0081511D">
        <w:trPr>
          <w:gridAfter w:val="1"/>
          <w:wAfter w:w="30" w:type="dxa"/>
        </w:trPr>
        <w:tc>
          <w:tcPr>
            <w:tcW w:w="2093" w:type="dxa"/>
            <w:shd w:val="clear" w:color="auto" w:fill="BFBFBF" w:themeFill="background1" w:themeFillShade="BF"/>
          </w:tcPr>
          <w:p w:rsidR="00B3406E" w:rsidRPr="00D103DA" w:rsidRDefault="00B3406E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Recommended practice</w:t>
            </w:r>
          </w:p>
        </w:tc>
        <w:tc>
          <w:tcPr>
            <w:tcW w:w="7483" w:type="dxa"/>
          </w:tcPr>
          <w:p w:rsidR="00AD57D4" w:rsidRPr="00F370B0" w:rsidRDefault="00D66DD4" w:rsidP="00776CD9">
            <w:pPr>
              <w:spacing w:beforeLines="60" w:before="144"/>
              <w:jc w:val="both"/>
              <w:rPr>
                <w:rFonts w:cs="Tahoma"/>
                <w:lang w:eastAsia="fr-FR"/>
              </w:rPr>
            </w:pPr>
            <w:r>
              <w:rPr>
                <w:rFonts w:cs="Tahoma"/>
                <w:lang w:eastAsia="fr-FR"/>
              </w:rPr>
              <w:t>P</w:t>
            </w:r>
            <w:r w:rsidR="00F370B0" w:rsidRPr="00F370B0">
              <w:rPr>
                <w:rFonts w:cs="Tahoma"/>
                <w:lang w:eastAsia="fr-FR"/>
              </w:rPr>
              <w:t xml:space="preserve">articipants propose not to </w:t>
            </w:r>
            <w:r w:rsidR="00F370B0">
              <w:rPr>
                <w:rFonts w:cs="Tahoma"/>
                <w:lang w:eastAsia="fr-FR"/>
              </w:rPr>
              <w:t xml:space="preserve">have a market practice specific to the French market, but to stick instead </w:t>
            </w:r>
            <w:r w:rsidR="00B457D4">
              <w:rPr>
                <w:rFonts w:cs="Tahoma"/>
                <w:lang w:eastAsia="fr-FR"/>
              </w:rPr>
              <w:t xml:space="preserve">to </w:t>
            </w:r>
            <w:r w:rsidR="00F370B0">
              <w:rPr>
                <w:rFonts w:cs="Tahoma"/>
                <w:lang w:eastAsia="fr-FR"/>
              </w:rPr>
              <w:t>the position recalled in Frankfurt, whereby the Hold &amp; Release functionality should keep its discretionary character in all cases.</w:t>
            </w:r>
          </w:p>
          <w:p w:rsidR="00F370B0" w:rsidRPr="00F370B0" w:rsidRDefault="00F370B0" w:rsidP="00776CD9">
            <w:pPr>
              <w:pStyle w:val="Paragraphedeliste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noProof/>
                <w:szCs w:val="32"/>
              </w:rPr>
            </w:pPr>
            <w:r w:rsidRPr="00F370B0">
              <w:rPr>
                <w:rFonts w:eastAsia="MS Mincho" w:cs="Times New Roman"/>
                <w:noProof/>
                <w:szCs w:val="32"/>
              </w:rPr>
              <w:t>As a general rule, the use of this func</w:t>
            </w:r>
            <w:del w:id="1" w:author="de Sousa, Maria" w:date="2016-05-16T18:01:00Z">
              <w:r w:rsidRPr="00F370B0" w:rsidDel="00211FC5">
                <w:rPr>
                  <w:rFonts w:eastAsia="MS Mincho" w:cs="Times New Roman"/>
                  <w:noProof/>
                  <w:szCs w:val="32"/>
                </w:rPr>
                <w:delText>i</w:delText>
              </w:r>
            </w:del>
            <w:r w:rsidRPr="00F370B0">
              <w:rPr>
                <w:rFonts w:eastAsia="MS Mincho" w:cs="Times New Roman"/>
                <w:noProof/>
                <w:szCs w:val="32"/>
              </w:rPr>
              <w:t>t</w:t>
            </w:r>
            <w:ins w:id="2" w:author="de Sousa, Maria" w:date="2016-05-16T18:01:00Z">
              <w:r w:rsidR="00211FC5">
                <w:rPr>
                  <w:rFonts w:eastAsia="MS Mincho" w:cs="Times New Roman"/>
                  <w:noProof/>
                  <w:szCs w:val="32"/>
                </w:rPr>
                <w:t>i</w:t>
              </w:r>
            </w:ins>
            <w:r w:rsidRPr="00F370B0">
              <w:rPr>
                <w:rFonts w:eastAsia="MS Mincho" w:cs="Times New Roman"/>
                <w:noProof/>
                <w:szCs w:val="32"/>
              </w:rPr>
              <w:t xml:space="preserve">onality should not be systematic, as it </w:t>
            </w:r>
            <w:r>
              <w:rPr>
                <w:rFonts w:eastAsia="MS Mincho" w:cs="Times New Roman"/>
                <w:noProof/>
                <w:szCs w:val="32"/>
              </w:rPr>
              <w:t>may entail settlement difficulties.</w:t>
            </w:r>
          </w:p>
          <w:p w:rsidR="00B3406E" w:rsidRPr="00F370B0" w:rsidRDefault="00F370B0" w:rsidP="00776CD9">
            <w:pPr>
              <w:pStyle w:val="Paragraphedeliste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noProof/>
                <w:szCs w:val="32"/>
              </w:rPr>
            </w:pPr>
            <w:r w:rsidRPr="00F370B0">
              <w:rPr>
                <w:rFonts w:eastAsia="MS Mincho" w:cs="Times New Roman"/>
                <w:noProof/>
                <w:szCs w:val="32"/>
              </w:rPr>
              <w:t>It should n</w:t>
            </w:r>
            <w:r w:rsidR="00B457D4">
              <w:rPr>
                <w:rFonts w:eastAsia="MS Mincho" w:cs="Times New Roman"/>
                <w:noProof/>
                <w:szCs w:val="32"/>
              </w:rPr>
              <w:t>otably not be used in the follo</w:t>
            </w:r>
            <w:r w:rsidRPr="00F370B0">
              <w:rPr>
                <w:rFonts w:eastAsia="MS Mincho" w:cs="Times New Roman"/>
                <w:noProof/>
                <w:szCs w:val="32"/>
              </w:rPr>
              <w:t>wing cases</w:t>
            </w:r>
            <w:r w:rsidR="00B3406E" w:rsidRPr="00F370B0">
              <w:rPr>
                <w:rFonts w:eastAsia="MS Mincho" w:cs="Times New Roman"/>
                <w:noProof/>
                <w:szCs w:val="32"/>
              </w:rPr>
              <w:t>:</w:t>
            </w:r>
          </w:p>
          <w:p w:rsidR="00B3406E" w:rsidRPr="00776CD9" w:rsidRDefault="00F370B0" w:rsidP="00211FC5">
            <w:pPr>
              <w:pStyle w:val="Paragraphedeliste"/>
              <w:numPr>
                <w:ilvl w:val="1"/>
                <w:numId w:val="3"/>
              </w:numPr>
              <w:ind w:left="737" w:hanging="357"/>
              <w:contextualSpacing w:val="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Settlement i</w:t>
            </w:r>
            <w:r w:rsidR="00B3406E" w:rsidRPr="00776CD9">
              <w:rPr>
                <w:rFonts w:eastAsia="MS Mincho" w:cs="Times New Roman"/>
                <w:noProof/>
                <w:szCs w:val="32"/>
                <w:lang w:val="fr-FR"/>
              </w:rPr>
              <w:t xml:space="preserve">nstructions 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on UCITS;</w:t>
            </w:r>
          </w:p>
          <w:p w:rsidR="00B3406E" w:rsidRPr="00F370B0" w:rsidRDefault="00F370B0" w:rsidP="00211FC5">
            <w:pPr>
              <w:pStyle w:val="Paragraphedeliste"/>
              <w:numPr>
                <w:ilvl w:val="1"/>
                <w:numId w:val="3"/>
              </w:numPr>
              <w:ind w:left="737" w:hanging="357"/>
              <w:contextualSpacing w:val="0"/>
              <w:jc w:val="both"/>
              <w:rPr>
                <w:rFonts w:eastAsia="MS Mincho" w:cs="Times New Roman"/>
                <w:noProof/>
                <w:szCs w:val="32"/>
              </w:rPr>
            </w:pPr>
            <w:r w:rsidRPr="00F370B0">
              <w:rPr>
                <w:rFonts w:eastAsia="MS Mincho" w:cs="Times New Roman"/>
                <w:noProof/>
                <w:szCs w:val="32"/>
              </w:rPr>
              <w:t>Settlement instructions resulting from corporate actions;</w:t>
            </w:r>
          </w:p>
          <w:p w:rsidR="00B3406E" w:rsidRPr="00776CD9" w:rsidRDefault="00B457D4" w:rsidP="00211FC5">
            <w:pPr>
              <w:pStyle w:val="Paragraphedeliste"/>
              <w:numPr>
                <w:ilvl w:val="1"/>
                <w:numId w:val="3"/>
              </w:numPr>
              <w:ind w:left="737" w:hanging="357"/>
              <w:contextualSpacing w:val="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Portfolio transfers</w:t>
            </w:r>
            <w:r w:rsidR="00F370B0">
              <w:rPr>
                <w:rFonts w:eastAsia="MS Mincho" w:cs="Times New Roman"/>
                <w:noProof/>
                <w:szCs w:val="32"/>
                <w:lang w:val="fr-FR"/>
              </w:rPr>
              <w:t>;</w:t>
            </w:r>
          </w:p>
          <w:p w:rsidR="00B3406E" w:rsidRPr="00F370B0" w:rsidRDefault="00F370B0" w:rsidP="00211FC5">
            <w:pPr>
              <w:pStyle w:val="Paragraphedeliste"/>
              <w:numPr>
                <w:ilvl w:val="1"/>
                <w:numId w:val="3"/>
              </w:numPr>
              <w:ind w:left="737" w:hanging="357"/>
              <w:contextualSpacing w:val="0"/>
              <w:jc w:val="both"/>
              <w:rPr>
                <w:rFonts w:eastAsia="MS Mincho" w:cs="Times New Roman"/>
                <w:noProof/>
              </w:rPr>
            </w:pPr>
            <w:r w:rsidRPr="00F370B0">
              <w:rPr>
                <w:rFonts w:eastAsia="MS Mincho" w:cs="Times New Roman"/>
                <w:noProof/>
                <w:szCs w:val="32"/>
              </w:rPr>
              <w:t>In case of conversions of securities requiring the use of ‘unilateral free of payme</w:t>
            </w:r>
            <w:r>
              <w:rPr>
                <w:rFonts w:eastAsia="MS Mincho" w:cs="Times New Roman"/>
                <w:noProof/>
                <w:szCs w:val="32"/>
              </w:rPr>
              <w:t>nt’ instructions (without matching).</w:t>
            </w:r>
          </w:p>
        </w:tc>
      </w:tr>
      <w:tr w:rsidR="0081511D" w:rsidRPr="00F370B0" w:rsidTr="0081511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81511D" w:rsidRPr="00F370B0" w:rsidRDefault="0081511D" w:rsidP="006542ED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513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81511D" w:rsidRPr="00F370B0" w:rsidRDefault="0081511D" w:rsidP="006542ED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</w:tr>
      <w:tr w:rsidR="00B3406E" w:rsidTr="0081511D">
        <w:trPr>
          <w:gridAfter w:val="1"/>
          <w:wAfter w:w="30" w:type="dxa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3406E" w:rsidRPr="003348A6" w:rsidRDefault="00B3406E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Description of the roles and responsibilities of the ac</w:t>
            </w:r>
            <w:r>
              <w:rPr>
                <w:rFonts w:eastAsia="MS Mincho" w:cs="Times New Roman"/>
                <w:b/>
                <w:noProof/>
                <w:szCs w:val="32"/>
              </w:rPr>
              <w:t>to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rs involved </w:t>
            </w:r>
          </w:p>
          <w:p w:rsidR="00B3406E" w:rsidRPr="00F370B0" w:rsidRDefault="00B3406E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F370B0">
              <w:rPr>
                <w:rFonts w:eastAsia="MS Mincho" w:cs="Times New Roman"/>
                <w:b/>
                <w:noProof/>
                <w:szCs w:val="32"/>
              </w:rPr>
              <w:t>(OPTIONAL)</w:t>
            </w:r>
          </w:p>
        </w:tc>
        <w:tc>
          <w:tcPr>
            <w:tcW w:w="7483" w:type="dxa"/>
            <w:tcBorders>
              <w:bottom w:val="single" w:sz="4" w:space="0" w:color="auto"/>
            </w:tcBorders>
          </w:tcPr>
          <w:p w:rsidR="00B3406E" w:rsidRPr="00F370B0" w:rsidRDefault="00B3406E" w:rsidP="006542ED">
            <w:pPr>
              <w:rPr>
                <w:rFonts w:eastAsia="MS Mincho" w:cs="Times New Roman"/>
                <w:noProof/>
                <w:szCs w:val="32"/>
              </w:rPr>
            </w:pPr>
          </w:p>
          <w:p w:rsidR="00B3406E" w:rsidRPr="00F370B0" w:rsidRDefault="00B3406E" w:rsidP="006542ED">
            <w:pPr>
              <w:rPr>
                <w:rFonts w:eastAsia="MS Mincho" w:cs="Times New Roman"/>
                <w:noProof/>
                <w:szCs w:val="32"/>
              </w:rPr>
            </w:pPr>
          </w:p>
          <w:p w:rsidR="00B3406E" w:rsidRPr="00F370B0" w:rsidRDefault="00B3406E" w:rsidP="006542ED">
            <w:pPr>
              <w:rPr>
                <w:rFonts w:eastAsia="MS Mincho" w:cs="Times New Roman"/>
                <w:noProof/>
                <w:szCs w:val="32"/>
              </w:rPr>
            </w:pPr>
          </w:p>
          <w:p w:rsidR="00B3406E" w:rsidRPr="00F370B0" w:rsidRDefault="00B3406E" w:rsidP="006542ED">
            <w:pPr>
              <w:rPr>
                <w:rFonts w:eastAsia="MS Mincho" w:cs="Times New Roman"/>
                <w:noProof/>
                <w:szCs w:val="32"/>
              </w:rPr>
            </w:pPr>
          </w:p>
        </w:tc>
      </w:tr>
      <w:tr w:rsidR="00B3406E" w:rsidTr="0081511D">
        <w:trPr>
          <w:gridAfter w:val="1"/>
          <w:wAfter w:w="30" w:type="dxa"/>
        </w:trPr>
        <w:tc>
          <w:tcPr>
            <w:tcW w:w="2093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B3406E" w:rsidRPr="00F370B0" w:rsidRDefault="00B3406E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483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3406E" w:rsidRPr="00F370B0" w:rsidRDefault="00B3406E" w:rsidP="006542ED">
            <w:pPr>
              <w:rPr>
                <w:rFonts w:eastAsia="MS Mincho" w:cs="Times New Roman"/>
                <w:noProof/>
                <w:szCs w:val="32"/>
              </w:rPr>
            </w:pPr>
          </w:p>
        </w:tc>
      </w:tr>
      <w:tr w:rsidR="00B3406E" w:rsidTr="0081511D">
        <w:trPr>
          <w:gridAfter w:val="1"/>
          <w:wAfter w:w="30" w:type="dxa"/>
        </w:trPr>
        <w:tc>
          <w:tcPr>
            <w:tcW w:w="2093" w:type="dxa"/>
            <w:shd w:val="clear" w:color="auto" w:fill="BFBFBF" w:themeFill="background1" w:themeFillShade="BF"/>
          </w:tcPr>
          <w:p w:rsidR="00B3406E" w:rsidRPr="00F370B0" w:rsidRDefault="00B3406E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F370B0">
              <w:rPr>
                <w:rFonts w:eastAsia="MS Mincho" w:cs="Times New Roman"/>
                <w:b/>
                <w:noProof/>
                <w:szCs w:val="32"/>
              </w:rPr>
              <w:t>Workflows</w:t>
            </w:r>
          </w:p>
          <w:p w:rsidR="00B3406E" w:rsidRPr="00F370B0" w:rsidRDefault="00B3406E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F370B0">
              <w:rPr>
                <w:rFonts w:eastAsia="MS Mincho" w:cs="Times New Roman"/>
                <w:b/>
                <w:noProof/>
                <w:szCs w:val="32"/>
              </w:rPr>
              <w:t>(OPTIONAL)</w:t>
            </w:r>
          </w:p>
        </w:tc>
        <w:tc>
          <w:tcPr>
            <w:tcW w:w="7483" w:type="dxa"/>
            <w:tcBorders>
              <w:bottom w:val="single" w:sz="4" w:space="0" w:color="auto"/>
            </w:tcBorders>
          </w:tcPr>
          <w:p w:rsidR="00B3406E" w:rsidRPr="00F370B0" w:rsidRDefault="00B3406E" w:rsidP="006542ED">
            <w:pPr>
              <w:rPr>
                <w:rFonts w:eastAsia="MS Mincho" w:cs="Times New Roman"/>
                <w:noProof/>
                <w:szCs w:val="32"/>
              </w:rPr>
            </w:pPr>
          </w:p>
          <w:p w:rsidR="00B3406E" w:rsidRPr="00F370B0" w:rsidRDefault="00B3406E" w:rsidP="006542ED">
            <w:pPr>
              <w:rPr>
                <w:rFonts w:eastAsia="MS Mincho" w:cs="Times New Roman"/>
                <w:noProof/>
                <w:szCs w:val="32"/>
              </w:rPr>
            </w:pPr>
          </w:p>
        </w:tc>
      </w:tr>
    </w:tbl>
    <w:p w:rsidR="0085743B" w:rsidRPr="00F370B0" w:rsidRDefault="0085743B" w:rsidP="00211FC5">
      <w:pPr>
        <w:spacing w:after="0" w:line="240" w:lineRule="auto"/>
        <w:rPr>
          <w:rFonts w:eastAsia="MS Mincho" w:cs="Times New Roman"/>
          <w:b/>
          <w:caps/>
          <w:noProof/>
          <w:sz w:val="32"/>
          <w:szCs w:val="32"/>
        </w:rPr>
      </w:pPr>
    </w:p>
    <w:p w:rsidR="00140482" w:rsidRPr="004F6025" w:rsidRDefault="00B3406E" w:rsidP="00140482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 w:rsidRPr="00F370B0">
        <w:rPr>
          <w:rFonts w:eastAsia="MS Mincho" w:cs="Times New Roman"/>
          <w:b/>
          <w:caps/>
          <w:noProof/>
          <w:sz w:val="32"/>
          <w:szCs w:val="32"/>
        </w:rPr>
        <w:lastRenderedPageBreak/>
        <w:t>IMPLEM</w:t>
      </w: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t>ENTATION</w:t>
      </w:r>
    </w:p>
    <w:p w:rsidR="00140482" w:rsidRPr="00211FC5" w:rsidRDefault="00140482" w:rsidP="00140482">
      <w:pPr>
        <w:spacing w:after="0" w:line="240" w:lineRule="auto"/>
        <w:rPr>
          <w:rFonts w:eastAsia="MS Mincho" w:cs="Times New Roman"/>
          <w:noProof/>
          <w:sz w:val="16"/>
          <w:szCs w:val="32"/>
          <w:lang w:val="fr-FR"/>
        </w:rPr>
      </w:pPr>
      <w:bookmarkStart w:id="3" w:name="_GoBack"/>
      <w:bookmarkEnd w:id="3"/>
    </w:p>
    <w:tbl>
      <w:tblPr>
        <w:tblStyle w:val="Grilledutableau"/>
        <w:tblW w:w="9616" w:type="dxa"/>
        <w:tblLook w:val="04A0" w:firstRow="1" w:lastRow="0" w:firstColumn="1" w:lastColumn="0" w:noHBand="0" w:noVBand="1"/>
      </w:tblPr>
      <w:tblGrid>
        <w:gridCol w:w="2302"/>
        <w:gridCol w:w="2166"/>
        <w:gridCol w:w="272"/>
        <w:gridCol w:w="1599"/>
        <w:gridCol w:w="839"/>
        <w:gridCol w:w="842"/>
        <w:gridCol w:w="1556"/>
        <w:gridCol w:w="40"/>
      </w:tblGrid>
      <w:tr w:rsidR="00B3406E" w:rsidRPr="00B3406E" w:rsidTr="000E651B">
        <w:trPr>
          <w:trHeight w:val="338"/>
        </w:trPr>
        <w:tc>
          <w:tcPr>
            <w:tcW w:w="2302" w:type="dxa"/>
            <w:vMerge w:val="restart"/>
            <w:shd w:val="clear" w:color="auto" w:fill="BFBFBF" w:themeFill="background1" w:themeFillShade="BF"/>
          </w:tcPr>
          <w:p w:rsidR="00B3406E" w:rsidRPr="00D103DA" w:rsidRDefault="00B3406E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Implementation timeline</w:t>
            </w:r>
          </w:p>
        </w:tc>
        <w:tc>
          <w:tcPr>
            <w:tcW w:w="2438" w:type="dxa"/>
            <w:gridSpan w:val="2"/>
          </w:tcPr>
          <w:p w:rsidR="00B3406E" w:rsidRPr="003348A6" w:rsidRDefault="00B3406E" w:rsidP="000E651B">
            <w:pPr>
              <w:jc w:val="center"/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Before the migration </w:t>
            </w:r>
            <w:r>
              <w:rPr>
                <w:rFonts w:eastAsia="MS Mincho" w:cs="Times New Roman"/>
                <w:b/>
                <w:noProof/>
                <w:szCs w:val="32"/>
              </w:rPr>
              <w:t xml:space="preserve">to 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>T2S</w:t>
            </w:r>
          </w:p>
        </w:tc>
        <w:tc>
          <w:tcPr>
            <w:tcW w:w="2438" w:type="dxa"/>
            <w:gridSpan w:val="2"/>
          </w:tcPr>
          <w:p w:rsidR="00B3406E" w:rsidRPr="003348A6" w:rsidRDefault="00B3406E" w:rsidP="000E651B">
            <w:pPr>
              <w:jc w:val="center"/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Upon go live on T2S</w:t>
            </w:r>
          </w:p>
        </w:tc>
        <w:tc>
          <w:tcPr>
            <w:tcW w:w="2438" w:type="dxa"/>
            <w:gridSpan w:val="3"/>
          </w:tcPr>
          <w:p w:rsidR="00B3406E" w:rsidRPr="003348A6" w:rsidRDefault="00B3406E" w:rsidP="000E651B">
            <w:pPr>
              <w:jc w:val="center"/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After the migration </w:t>
            </w:r>
            <w:r>
              <w:rPr>
                <w:rFonts w:eastAsia="MS Mincho" w:cs="Times New Roman"/>
                <w:b/>
                <w:noProof/>
                <w:szCs w:val="32"/>
              </w:rPr>
              <w:t xml:space="preserve">to 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>T2S</w:t>
            </w:r>
          </w:p>
        </w:tc>
      </w:tr>
      <w:tr w:rsidR="00140482" w:rsidTr="000E651B">
        <w:trPr>
          <w:trHeight w:val="337"/>
        </w:trPr>
        <w:tc>
          <w:tcPr>
            <w:tcW w:w="2302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40482" w:rsidRPr="00B3406E" w:rsidRDefault="00140482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24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40482" w:rsidRDefault="00140482" w:rsidP="000E651B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Pr="00785264" w:rsidRDefault="00140482" w:rsidP="000E651B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________</w:t>
            </w:r>
          </w:p>
          <w:p w:rsidR="00140482" w:rsidRDefault="00140482" w:rsidP="000E651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2438" w:type="dxa"/>
            <w:gridSpan w:val="2"/>
            <w:tcBorders>
              <w:bottom w:val="single" w:sz="4" w:space="0" w:color="auto"/>
            </w:tcBorders>
          </w:tcPr>
          <w:p w:rsidR="00140482" w:rsidRDefault="0085743B" w:rsidP="000E651B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Pr="00785264" w:rsidRDefault="00140482" w:rsidP="000E651B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12/09/2016</w:t>
            </w:r>
          </w:p>
        </w:tc>
        <w:tc>
          <w:tcPr>
            <w:tcW w:w="2438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140482" w:rsidRDefault="00140482" w:rsidP="000E651B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Pr="00785264" w:rsidRDefault="00140482" w:rsidP="000E651B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________</w:t>
            </w:r>
          </w:p>
        </w:tc>
      </w:tr>
      <w:tr w:rsidR="00140482" w:rsidTr="000E651B">
        <w:trPr>
          <w:gridAfter w:val="1"/>
          <w:wAfter w:w="40" w:type="dxa"/>
          <w:trHeight w:val="337"/>
        </w:trPr>
        <w:tc>
          <w:tcPr>
            <w:tcW w:w="230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2166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1871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1681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jc w:val="center"/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1556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0E651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B3406E" w:rsidTr="000E651B">
        <w:trPr>
          <w:gridAfter w:val="1"/>
          <w:wAfter w:w="40" w:type="dxa"/>
        </w:trPr>
        <w:tc>
          <w:tcPr>
            <w:tcW w:w="230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3406E" w:rsidRPr="000C4CA6" w:rsidRDefault="00B3406E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0D33A6">
              <w:rPr>
                <w:rFonts w:eastAsia="MS Mincho" w:cs="Times New Roman"/>
                <w:b/>
                <w:noProof/>
                <w:szCs w:val="32"/>
              </w:rPr>
              <w:t>Requirement for a specific test set</w:t>
            </w:r>
          </w:p>
        </w:tc>
        <w:tc>
          <w:tcPr>
            <w:tcW w:w="4037" w:type="dxa"/>
            <w:gridSpan w:val="3"/>
            <w:tcBorders>
              <w:bottom w:val="single" w:sz="4" w:space="0" w:color="auto"/>
            </w:tcBorders>
          </w:tcPr>
          <w:p w:rsidR="00B3406E" w:rsidRPr="00922B9C" w:rsidRDefault="00343E9C" w:rsidP="00922B9C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6"/>
                <w:szCs w:val="16"/>
                <w:lang w:val="fr-FR"/>
              </w:rPr>
            </w:pPr>
            <w:proofErr w:type="spellStart"/>
            <w:r>
              <w:rPr>
                <w:lang w:val="fr-FR"/>
              </w:rPr>
              <w:t>Yes</w:t>
            </w:r>
            <w:proofErr w:type="spellEnd"/>
            <w:r w:rsidR="00B3406E">
              <w:rPr>
                <w:lang w:val="fr-FR"/>
              </w:rPr>
              <w:t xml:space="preserve">  </w:t>
            </w:r>
            <w:r w:rsidR="00B3406E"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B3406E" w:rsidRPr="00E35B86" w:rsidRDefault="00B3406E" w:rsidP="000E651B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6"/>
                <w:szCs w:val="16"/>
                <w:lang w:val="fr-FR"/>
              </w:rPr>
            </w:pPr>
          </w:p>
        </w:tc>
        <w:tc>
          <w:tcPr>
            <w:tcW w:w="3237" w:type="dxa"/>
            <w:gridSpan w:val="3"/>
            <w:tcBorders>
              <w:bottom w:val="single" w:sz="4" w:space="0" w:color="auto"/>
            </w:tcBorders>
          </w:tcPr>
          <w:p w:rsidR="00B3406E" w:rsidRDefault="00343E9C" w:rsidP="0085743B">
            <w:pPr>
              <w:tabs>
                <w:tab w:val="left" w:pos="9356"/>
              </w:tabs>
              <w:ind w:right="-279"/>
              <w:jc w:val="center"/>
              <w:rPr>
                <w:lang w:val="fr-FR"/>
              </w:rPr>
            </w:pPr>
            <w:r>
              <w:rPr>
                <w:lang w:val="fr-FR"/>
              </w:rPr>
              <w:t>No</w:t>
            </w:r>
            <w:r w:rsidR="00B3406E">
              <w:rPr>
                <w:lang w:val="fr-FR"/>
              </w:rPr>
              <w:t xml:space="preserve">  </w:t>
            </w:r>
            <w:r w:rsidR="00B3406E">
              <w:rPr>
                <w:rFonts w:ascii="Wingdings" w:hAnsi="Wingdings" w:cs="Wingdings"/>
                <w:sz w:val="26"/>
                <w:szCs w:val="26"/>
              </w:rPr>
              <w:t></w:t>
            </w:r>
          </w:p>
        </w:tc>
      </w:tr>
    </w:tbl>
    <w:p w:rsidR="00BA6B0A" w:rsidRDefault="00BA6B0A" w:rsidP="001E0D83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sectPr w:rsidR="00BA6B0A" w:rsidSect="006D6846">
      <w:headerReference w:type="default" r:id="rId7"/>
      <w:footerReference w:type="default" r:id="rId8"/>
      <w:pgSz w:w="12240" w:h="15840"/>
      <w:pgMar w:top="14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F19" w:rsidRDefault="000B1F19" w:rsidP="006D6846">
      <w:pPr>
        <w:spacing w:after="0" w:line="240" w:lineRule="auto"/>
      </w:pPr>
      <w:r>
        <w:separator/>
      </w:r>
    </w:p>
  </w:endnote>
  <w:endnote w:type="continuationSeparator" w:id="0">
    <w:p w:rsidR="000B1F19" w:rsidRDefault="000B1F19" w:rsidP="006D6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1808193834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:rsidR="00211FC5" w:rsidRPr="00211FC5" w:rsidRDefault="00211FC5">
            <w:pPr>
              <w:pStyle w:val="Pieddepage"/>
              <w:jc w:val="right"/>
              <w:rPr>
                <w:sz w:val="20"/>
                <w:szCs w:val="20"/>
              </w:rPr>
            </w:pPr>
            <w:r w:rsidRPr="00211FC5">
              <w:rPr>
                <w:sz w:val="20"/>
                <w:szCs w:val="20"/>
                <w:lang w:val="fr-FR"/>
              </w:rPr>
              <w:t xml:space="preserve">Page </w:t>
            </w:r>
            <w:r w:rsidRPr="00211FC5">
              <w:rPr>
                <w:b/>
                <w:bCs/>
                <w:sz w:val="20"/>
                <w:szCs w:val="20"/>
              </w:rPr>
              <w:fldChar w:fldCharType="begin"/>
            </w:r>
            <w:r w:rsidRPr="00211FC5">
              <w:rPr>
                <w:b/>
                <w:bCs/>
                <w:sz w:val="20"/>
                <w:szCs w:val="20"/>
              </w:rPr>
              <w:instrText>PAGE</w:instrText>
            </w:r>
            <w:r w:rsidRPr="00211FC5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2</w:t>
            </w:r>
            <w:r w:rsidRPr="00211FC5">
              <w:rPr>
                <w:b/>
                <w:bCs/>
                <w:sz w:val="20"/>
                <w:szCs w:val="20"/>
              </w:rPr>
              <w:fldChar w:fldCharType="end"/>
            </w:r>
            <w:r w:rsidRPr="00211FC5">
              <w:rPr>
                <w:sz w:val="20"/>
                <w:szCs w:val="20"/>
                <w:lang w:val="fr-FR"/>
              </w:rPr>
              <w:t xml:space="preserve"> sur </w:t>
            </w:r>
            <w:r w:rsidRPr="00211FC5">
              <w:rPr>
                <w:b/>
                <w:bCs/>
                <w:sz w:val="20"/>
                <w:szCs w:val="20"/>
              </w:rPr>
              <w:fldChar w:fldCharType="begin"/>
            </w:r>
            <w:r w:rsidRPr="00211FC5">
              <w:rPr>
                <w:b/>
                <w:bCs/>
                <w:sz w:val="20"/>
                <w:szCs w:val="20"/>
              </w:rPr>
              <w:instrText>NUMPAGES</w:instrText>
            </w:r>
            <w:r w:rsidRPr="00211FC5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2</w:t>
            </w:r>
            <w:r w:rsidRPr="00211FC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EC776F" w:rsidRDefault="00EC776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F19" w:rsidRDefault="000B1F19" w:rsidP="006D6846">
      <w:pPr>
        <w:spacing w:after="0" w:line="240" w:lineRule="auto"/>
      </w:pPr>
      <w:r>
        <w:separator/>
      </w:r>
    </w:p>
  </w:footnote>
  <w:footnote w:type="continuationSeparator" w:id="0">
    <w:p w:rsidR="000B1F19" w:rsidRDefault="000B1F19" w:rsidP="006D6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1042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92"/>
      <w:gridCol w:w="4136"/>
    </w:tblGrid>
    <w:tr w:rsidR="00EC776F" w:rsidTr="00BA3ABD">
      <w:trPr>
        <w:trHeight w:val="901"/>
      </w:trPr>
      <w:tc>
        <w:tcPr>
          <w:tcW w:w="6292" w:type="dxa"/>
          <w:vAlign w:val="center"/>
        </w:tcPr>
        <w:p w:rsidR="002650CD" w:rsidRPr="005B1C9D" w:rsidRDefault="002650CD" w:rsidP="002650CD">
          <w:pPr>
            <w:pStyle w:val="En-tte"/>
            <w:jc w:val="center"/>
            <w:rPr>
              <w:b/>
            </w:rPr>
          </w:pPr>
          <w:r w:rsidRPr="005B1C9D">
            <w:rPr>
              <w:b/>
            </w:rPr>
            <w:t>T2S Market Practice Adaptation Workgroup</w:t>
          </w:r>
        </w:p>
        <w:p w:rsidR="00EC776F" w:rsidRPr="002650CD" w:rsidRDefault="002650CD" w:rsidP="002650CD">
          <w:pPr>
            <w:pStyle w:val="En-tte"/>
            <w:jc w:val="center"/>
            <w:rPr>
              <w:b/>
            </w:rPr>
          </w:pPr>
          <w:r w:rsidRPr="005B1C9D">
            <w:rPr>
              <w:b/>
            </w:rPr>
            <w:t xml:space="preserve">Market Practice </w:t>
          </w:r>
          <w:r>
            <w:rPr>
              <w:b/>
            </w:rPr>
            <w:t>Sheet</w:t>
          </w:r>
        </w:p>
      </w:tc>
      <w:tc>
        <w:tcPr>
          <w:tcW w:w="4136" w:type="dxa"/>
          <w:vAlign w:val="center"/>
        </w:tcPr>
        <w:p w:rsidR="00EC776F" w:rsidRDefault="00EC776F" w:rsidP="00BA3ABD">
          <w:pPr>
            <w:pStyle w:val="En-tte"/>
            <w:rPr>
              <w:b/>
              <w:lang w:val="fr-FR"/>
            </w:rPr>
          </w:pPr>
          <w:r>
            <w:rPr>
              <w:noProof/>
              <w:lang w:val="fr-FR" w:eastAsia="fr-FR"/>
            </w:rPr>
            <w:drawing>
              <wp:inline distT="0" distB="0" distL="0" distR="0" wp14:anchorId="5FDC135B" wp14:editId="18DF804C">
                <wp:extent cx="1032931" cy="516467"/>
                <wp:effectExtent l="0" t="0" r="0" b="0"/>
                <wp:docPr id="8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4228" cy="5171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BA3ABD">
            <w:object w:dxaOrig="7200" w:dyaOrig="460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1" type="#_x0000_t75" style="width:75.45pt;height:42.6pt" o:ole="">
                <v:imagedata r:id="rId2" o:title=""/>
              </v:shape>
              <o:OLEObject Type="Embed" ProgID="PBrush" ShapeID="_x0000_i1031" DrawAspect="Content" ObjectID="_1524927054" r:id="rId3"/>
            </w:object>
          </w:r>
        </w:p>
      </w:tc>
    </w:tr>
    <w:tr w:rsidR="00EC776F" w:rsidRPr="00776CD9" w:rsidTr="00BA3ABD">
      <w:trPr>
        <w:trHeight w:val="296"/>
      </w:trPr>
      <w:tc>
        <w:tcPr>
          <w:tcW w:w="6292" w:type="dxa"/>
          <w:vAlign w:val="center"/>
        </w:tcPr>
        <w:p w:rsidR="00EC776F" w:rsidRPr="00B3406E" w:rsidRDefault="00B3406E" w:rsidP="00BA3ABD">
          <w:pPr>
            <w:pStyle w:val="En-tte"/>
            <w:jc w:val="center"/>
            <w:rPr>
              <w:i/>
            </w:rPr>
          </w:pPr>
          <w:r>
            <w:rPr>
              <w:i/>
            </w:rPr>
            <w:t>Practice</w:t>
          </w:r>
          <w:r w:rsidRPr="0033411F">
            <w:rPr>
              <w:i/>
            </w:rPr>
            <w:t xml:space="preserve"> reference</w:t>
          </w:r>
          <w:r w:rsidR="00EC776F" w:rsidRPr="00B3406E">
            <w:rPr>
              <w:i/>
            </w:rPr>
            <w:t xml:space="preserve">: </w:t>
          </w:r>
          <w:r w:rsidR="00776CD9" w:rsidRPr="00B3406E">
            <w:rPr>
              <w:i/>
            </w:rPr>
            <w:t>MS-SETTL-PREMAHR-01</w:t>
          </w:r>
        </w:p>
      </w:tc>
      <w:tc>
        <w:tcPr>
          <w:tcW w:w="4136" w:type="dxa"/>
          <w:vAlign w:val="center"/>
        </w:tcPr>
        <w:p w:rsidR="00EC776F" w:rsidRPr="00B3406E" w:rsidRDefault="00EC776F" w:rsidP="00EC776F">
          <w:pPr>
            <w:pStyle w:val="En-tte"/>
            <w:jc w:val="center"/>
            <w:rPr>
              <w:noProof/>
            </w:rPr>
          </w:pPr>
        </w:p>
      </w:tc>
    </w:tr>
  </w:tbl>
  <w:p w:rsidR="00EC776F" w:rsidRPr="00B3406E" w:rsidRDefault="00EC776F">
    <w:pPr>
      <w:pStyle w:val="En-tte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4BC6"/>
    <w:multiLevelType w:val="hybridMultilevel"/>
    <w:tmpl w:val="2C0049D2"/>
    <w:lvl w:ilvl="0" w:tplc="A162A862">
      <w:start w:val="1"/>
      <w:numFmt w:val="bullet"/>
      <w:lvlText w:val=""/>
      <w:lvlJc w:val="left"/>
      <w:pPr>
        <w:ind w:left="1140" w:hanging="360"/>
      </w:pPr>
      <w:rPr>
        <w:rFonts w:ascii="Wingdings" w:eastAsia="MS Mincho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049741B3"/>
    <w:multiLevelType w:val="hybridMultilevel"/>
    <w:tmpl w:val="1B20EB06"/>
    <w:lvl w:ilvl="0" w:tplc="437E9AEE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E79DC"/>
    <w:multiLevelType w:val="hybridMultilevel"/>
    <w:tmpl w:val="FF563AE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7101850">
      <w:start w:val="30"/>
      <w:numFmt w:val="bullet"/>
      <w:lvlText w:val=""/>
      <w:lvlJc w:val="left"/>
      <w:pPr>
        <w:ind w:left="2520" w:hanging="360"/>
      </w:pPr>
      <w:rPr>
        <w:rFonts w:ascii="Wingdings" w:eastAsia="MS Mincho" w:hAnsi="Wingdings" w:cs="Tahoma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5A7E25"/>
    <w:multiLevelType w:val="hybridMultilevel"/>
    <w:tmpl w:val="B692A802"/>
    <w:lvl w:ilvl="0" w:tplc="0C880406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E0530"/>
    <w:multiLevelType w:val="hybridMultilevel"/>
    <w:tmpl w:val="5404B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7B0E1E"/>
    <w:multiLevelType w:val="hybridMultilevel"/>
    <w:tmpl w:val="43EAEF10"/>
    <w:lvl w:ilvl="0" w:tplc="934663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685906"/>
    <w:multiLevelType w:val="hybridMultilevel"/>
    <w:tmpl w:val="B170918E"/>
    <w:lvl w:ilvl="0" w:tplc="1546A4E6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323E3"/>
    <w:multiLevelType w:val="hybridMultilevel"/>
    <w:tmpl w:val="92625E74"/>
    <w:lvl w:ilvl="0" w:tplc="1A349598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8479E7"/>
    <w:multiLevelType w:val="hybridMultilevel"/>
    <w:tmpl w:val="E1226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2F2BC6"/>
    <w:multiLevelType w:val="hybridMultilevel"/>
    <w:tmpl w:val="1C8C7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4"/>
  </w:num>
  <w:num w:numId="10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 Sousa, Maria">
    <w15:presenceInfo w15:providerId="AD" w15:userId="S-1-5-21-3942990428-588001494-4079709122-109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846"/>
    <w:rsid w:val="00020084"/>
    <w:rsid w:val="000706A3"/>
    <w:rsid w:val="000A6C94"/>
    <w:rsid w:val="000B1F19"/>
    <w:rsid w:val="000C1C9B"/>
    <w:rsid w:val="000D6F4D"/>
    <w:rsid w:val="000F3C24"/>
    <w:rsid w:val="00113071"/>
    <w:rsid w:val="00140482"/>
    <w:rsid w:val="00145ADA"/>
    <w:rsid w:val="001522A5"/>
    <w:rsid w:val="00162BBA"/>
    <w:rsid w:val="00183F7A"/>
    <w:rsid w:val="001A26CA"/>
    <w:rsid w:val="001B0416"/>
    <w:rsid w:val="001B1E38"/>
    <w:rsid w:val="001C4C4C"/>
    <w:rsid w:val="001C7BAF"/>
    <w:rsid w:val="001D7830"/>
    <w:rsid w:val="001E0D83"/>
    <w:rsid w:val="00211814"/>
    <w:rsid w:val="00211FC5"/>
    <w:rsid w:val="00217510"/>
    <w:rsid w:val="002650CD"/>
    <w:rsid w:val="00283DDE"/>
    <w:rsid w:val="0028538B"/>
    <w:rsid w:val="00291B60"/>
    <w:rsid w:val="00343829"/>
    <w:rsid w:val="00343B9E"/>
    <w:rsid w:val="00343E9C"/>
    <w:rsid w:val="003631EA"/>
    <w:rsid w:val="00363E89"/>
    <w:rsid w:val="003929BA"/>
    <w:rsid w:val="003A4E76"/>
    <w:rsid w:val="003B3DA4"/>
    <w:rsid w:val="003D5E9F"/>
    <w:rsid w:val="003D7060"/>
    <w:rsid w:val="003F58F9"/>
    <w:rsid w:val="00464015"/>
    <w:rsid w:val="004818D8"/>
    <w:rsid w:val="00482296"/>
    <w:rsid w:val="004F6025"/>
    <w:rsid w:val="005061BA"/>
    <w:rsid w:val="0051485E"/>
    <w:rsid w:val="00567B1D"/>
    <w:rsid w:val="00575F36"/>
    <w:rsid w:val="005C2ACA"/>
    <w:rsid w:val="00622E8A"/>
    <w:rsid w:val="00625541"/>
    <w:rsid w:val="00652C13"/>
    <w:rsid w:val="00694503"/>
    <w:rsid w:val="0069580E"/>
    <w:rsid w:val="006D6846"/>
    <w:rsid w:val="00701AE2"/>
    <w:rsid w:val="00714CE6"/>
    <w:rsid w:val="00727BF7"/>
    <w:rsid w:val="0074709E"/>
    <w:rsid w:val="00765664"/>
    <w:rsid w:val="00776CD9"/>
    <w:rsid w:val="007B7B10"/>
    <w:rsid w:val="007C7303"/>
    <w:rsid w:val="007F6CFC"/>
    <w:rsid w:val="0080446B"/>
    <w:rsid w:val="0081511D"/>
    <w:rsid w:val="00830B7B"/>
    <w:rsid w:val="00837334"/>
    <w:rsid w:val="00841E84"/>
    <w:rsid w:val="0085743B"/>
    <w:rsid w:val="008800A4"/>
    <w:rsid w:val="00893912"/>
    <w:rsid w:val="008A30A6"/>
    <w:rsid w:val="008B1A1E"/>
    <w:rsid w:val="008C734C"/>
    <w:rsid w:val="0091257E"/>
    <w:rsid w:val="0092276F"/>
    <w:rsid w:val="00922A8E"/>
    <w:rsid w:val="00922B9C"/>
    <w:rsid w:val="00933237"/>
    <w:rsid w:val="009606C4"/>
    <w:rsid w:val="00982218"/>
    <w:rsid w:val="00995F65"/>
    <w:rsid w:val="009978DE"/>
    <w:rsid w:val="009A24A6"/>
    <w:rsid w:val="009A2F1A"/>
    <w:rsid w:val="009A64D1"/>
    <w:rsid w:val="00A133A7"/>
    <w:rsid w:val="00A20577"/>
    <w:rsid w:val="00A21489"/>
    <w:rsid w:val="00A40ED4"/>
    <w:rsid w:val="00A45A45"/>
    <w:rsid w:val="00A678C0"/>
    <w:rsid w:val="00A746A0"/>
    <w:rsid w:val="00A90EEC"/>
    <w:rsid w:val="00A96A5D"/>
    <w:rsid w:val="00AA1FDB"/>
    <w:rsid w:val="00AA62D7"/>
    <w:rsid w:val="00AC134F"/>
    <w:rsid w:val="00AD57D4"/>
    <w:rsid w:val="00B067D0"/>
    <w:rsid w:val="00B26098"/>
    <w:rsid w:val="00B31057"/>
    <w:rsid w:val="00B3406E"/>
    <w:rsid w:val="00B44E11"/>
    <w:rsid w:val="00B457D4"/>
    <w:rsid w:val="00B540C8"/>
    <w:rsid w:val="00B62B1E"/>
    <w:rsid w:val="00B727D8"/>
    <w:rsid w:val="00B9491F"/>
    <w:rsid w:val="00BA3ABD"/>
    <w:rsid w:val="00BA66D3"/>
    <w:rsid w:val="00BA6B0A"/>
    <w:rsid w:val="00BC7577"/>
    <w:rsid w:val="00BE4C60"/>
    <w:rsid w:val="00C070B0"/>
    <w:rsid w:val="00C1000A"/>
    <w:rsid w:val="00C221EA"/>
    <w:rsid w:val="00C33595"/>
    <w:rsid w:val="00C3423B"/>
    <w:rsid w:val="00C43D15"/>
    <w:rsid w:val="00C57689"/>
    <w:rsid w:val="00C60EC8"/>
    <w:rsid w:val="00C65EB2"/>
    <w:rsid w:val="00C77C0A"/>
    <w:rsid w:val="00CB0F41"/>
    <w:rsid w:val="00CC7462"/>
    <w:rsid w:val="00CE6DA3"/>
    <w:rsid w:val="00CF605A"/>
    <w:rsid w:val="00D103DA"/>
    <w:rsid w:val="00D12DE8"/>
    <w:rsid w:val="00D252A7"/>
    <w:rsid w:val="00D50DB6"/>
    <w:rsid w:val="00D529B3"/>
    <w:rsid w:val="00D53037"/>
    <w:rsid w:val="00D5515F"/>
    <w:rsid w:val="00D66DD4"/>
    <w:rsid w:val="00DB106F"/>
    <w:rsid w:val="00DD071C"/>
    <w:rsid w:val="00E351C1"/>
    <w:rsid w:val="00E35B86"/>
    <w:rsid w:val="00E438E3"/>
    <w:rsid w:val="00E52109"/>
    <w:rsid w:val="00E62EAE"/>
    <w:rsid w:val="00EA5560"/>
    <w:rsid w:val="00EB44AB"/>
    <w:rsid w:val="00EC776F"/>
    <w:rsid w:val="00F00BF4"/>
    <w:rsid w:val="00F358FF"/>
    <w:rsid w:val="00F35CCA"/>
    <w:rsid w:val="00F370B0"/>
    <w:rsid w:val="00F84B2D"/>
    <w:rsid w:val="00F904C9"/>
    <w:rsid w:val="00FC06B7"/>
    <w:rsid w:val="00FC4F18"/>
    <w:rsid w:val="00FE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CA39A38-6865-4E72-AC78-C5A19CDA8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6846"/>
  </w:style>
  <w:style w:type="paragraph" w:styleId="Pieddepage">
    <w:name w:val="footer"/>
    <w:basedOn w:val="Normal"/>
    <w:link w:val="PieddepageC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6846"/>
  </w:style>
  <w:style w:type="paragraph" w:styleId="Textedebulles">
    <w:name w:val="Balloon Text"/>
    <w:basedOn w:val="Normal"/>
    <w:link w:val="TextedebullesCar"/>
    <w:uiPriority w:val="99"/>
    <w:semiHidden/>
    <w:unhideWhenUsed/>
    <w:rsid w:val="006D6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6846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uiPriority w:val="99"/>
    <w:rsid w:val="00DB106F"/>
    <w:pPr>
      <w:tabs>
        <w:tab w:val="right" w:leader="dot" w:pos="9771"/>
      </w:tabs>
      <w:spacing w:before="120" w:after="120" w:line="240" w:lineRule="auto"/>
      <w:jc w:val="both"/>
    </w:pPr>
    <w:rPr>
      <w:rFonts w:ascii="Times New Roman" w:eastAsia="MS Mincho" w:hAnsi="Times New Roman" w:cs="Times New Roman"/>
      <w:b/>
      <w:caps/>
      <w:noProof/>
      <w:sz w:val="32"/>
      <w:szCs w:val="32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B26098"/>
    <w:pPr>
      <w:ind w:left="720"/>
      <w:contextualSpacing/>
    </w:pPr>
  </w:style>
  <w:style w:type="table" w:styleId="Grilledutableau">
    <w:name w:val="Table Grid"/>
    <w:basedOn w:val="TableauNormal"/>
    <w:uiPriority w:val="59"/>
    <w:rsid w:val="001B1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">
    <w:name w:val="norm"/>
    <w:basedOn w:val="Normal"/>
    <w:link w:val="normChar"/>
    <w:uiPriority w:val="99"/>
    <w:rsid w:val="00CE6DA3"/>
    <w:pPr>
      <w:tabs>
        <w:tab w:val="left" w:pos="851"/>
        <w:tab w:val="right" w:pos="9356"/>
      </w:tabs>
      <w:spacing w:before="60" w:after="60" w:line="360" w:lineRule="atLeast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ormChar">
    <w:name w:val="norm Char"/>
    <w:link w:val="norm"/>
    <w:uiPriority w:val="99"/>
    <w:locked/>
    <w:rsid w:val="00CE6DA3"/>
    <w:rPr>
      <w:rFonts w:ascii="Times New Roman" w:eastAsia="Times New Roman" w:hAnsi="Times New Roman" w:cs="Times New Roman"/>
      <w:szCs w:val="20"/>
    </w:rPr>
  </w:style>
  <w:style w:type="paragraph" w:customStyle="1" w:styleId="CM1">
    <w:name w:val="CM1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3">
    <w:name w:val="CM3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4">
    <w:name w:val="CM4"/>
    <w:basedOn w:val="Normal"/>
    <w:next w:val="Normal"/>
    <w:uiPriority w:val="99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Default">
    <w:name w:val="Default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391379C3</Template>
  <TotalTime>6</TotalTime>
  <Pages>2</Pages>
  <Words>401</Words>
  <Characters>2210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Cognizant Technology Solutions</Company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Cognizant Technology Solutions</dc:creator>
  <cp:lastModifiedBy>de Sousa, Maria</cp:lastModifiedBy>
  <cp:revision>3</cp:revision>
  <cp:lastPrinted>2015-10-09T10:36:00Z</cp:lastPrinted>
  <dcterms:created xsi:type="dcterms:W3CDTF">2016-05-16T15:57:00Z</dcterms:created>
  <dcterms:modified xsi:type="dcterms:W3CDTF">2016-05-16T16:02:00Z</dcterms:modified>
</cp:coreProperties>
</file>