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Default="00887FFA" w:rsidP="00887FFA">
      <w:pPr>
        <w:pBdr>
          <w:top w:val="single" w:sz="4" w:space="0" w:color="auto"/>
          <w:left w:val="single" w:sz="4" w:space="4" w:color="auto"/>
          <w:bottom w:val="single" w:sz="4" w:space="1" w:color="auto"/>
          <w:right w:val="single" w:sz="4" w:space="4" w:color="auto"/>
        </w:pBdr>
        <w:shd w:val="pct12" w:color="000000" w:fill="FFFFFF"/>
        <w:spacing w:after="0"/>
        <w:jc w:val="center"/>
        <w:rPr>
          <w:b/>
          <w:noProof/>
          <w:sz w:val="36"/>
        </w:rPr>
      </w:pPr>
      <w:r>
        <w:rPr>
          <w:b/>
          <w:noProof/>
          <w:sz w:val="36"/>
        </w:rPr>
        <w:t>Conversions</w:t>
      </w:r>
    </w:p>
    <w:p w:rsidR="00887FFA" w:rsidRPr="00B3406E" w:rsidRDefault="00887FFA"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Pr>
          <w:b/>
          <w:noProof/>
          <w:sz w:val="36"/>
        </w:rPr>
        <w:t>(Change in the form of securities)</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971207" w:rsidP="00776CD9">
            <w:pPr>
              <w:tabs>
                <w:tab w:val="left" w:pos="9356"/>
              </w:tabs>
              <w:ind w:right="-279"/>
              <w:rPr>
                <w:lang w:val="fr-FR"/>
              </w:rPr>
            </w:pPr>
            <w:r>
              <w:rPr>
                <w:lang w:val="fr-FR"/>
              </w:rPr>
              <w:t>2</w:t>
            </w:r>
            <w:r w:rsidR="00140482">
              <w:rPr>
                <w:lang w:val="fr-FR"/>
              </w:rPr>
              <w:t>.</w:t>
            </w:r>
            <w:r w:rsidR="00776CD9">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0E651B">
            <w:pPr>
              <w:tabs>
                <w:tab w:val="left" w:pos="9356"/>
              </w:tabs>
              <w:ind w:right="-279"/>
              <w:rPr>
                <w:lang w:val="fr-FR"/>
              </w:rPr>
            </w:pPr>
            <w:r>
              <w:rPr>
                <w:lang w:val="fr-FR"/>
              </w:rPr>
              <w:t>Publication date</w:t>
            </w:r>
          </w:p>
        </w:tc>
        <w:tc>
          <w:tcPr>
            <w:tcW w:w="4932" w:type="dxa"/>
          </w:tcPr>
          <w:p w:rsidR="00B3406E" w:rsidRDefault="007B4D1C" w:rsidP="00887FFA">
            <w:pPr>
              <w:tabs>
                <w:tab w:val="left" w:pos="9356"/>
              </w:tabs>
              <w:ind w:right="-279"/>
              <w:rPr>
                <w:lang w:val="fr-FR"/>
              </w:rPr>
            </w:pPr>
            <w:r>
              <w:rPr>
                <w:lang w:val="fr-FR"/>
              </w:rPr>
              <w:t xml:space="preserve">August </w:t>
            </w:r>
            <w:r w:rsidR="00887FFA">
              <w:rPr>
                <w:lang w:val="fr-FR"/>
              </w:rPr>
              <w:t>29</w:t>
            </w:r>
            <w:r>
              <w:rPr>
                <w:lang w:val="fr-FR"/>
              </w:rPr>
              <w:t>th</w:t>
            </w:r>
            <w:r w:rsidR="00B3406E">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7B4D1C" w:rsidTr="0091257E">
        <w:tc>
          <w:tcPr>
            <w:tcW w:w="2093" w:type="dxa"/>
            <w:tcBorders>
              <w:bottom w:val="single" w:sz="4" w:space="0" w:color="auto"/>
            </w:tcBorders>
            <w:shd w:val="clear" w:color="auto" w:fill="BFBFBF" w:themeFill="background1" w:themeFillShade="BF"/>
          </w:tcPr>
          <w:p w:rsidR="00B3406E" w:rsidRPr="000C4CA6" w:rsidRDefault="00B3406E" w:rsidP="000E651B">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FF1C23" w:rsidRDefault="00887FFA" w:rsidP="00887FFA">
            <w:pPr>
              <w:spacing w:before="120"/>
              <w:jc w:val="both"/>
              <w:rPr>
                <w:rFonts w:eastAsia="MS Mincho" w:cs="Times New Roman"/>
                <w:noProof/>
                <w:szCs w:val="32"/>
              </w:rPr>
            </w:pPr>
            <w:r>
              <w:rPr>
                <w:rFonts w:eastAsia="MS Mincho" w:cs="Times New Roman"/>
                <w:noProof/>
                <w:szCs w:val="32"/>
              </w:rPr>
              <w:t xml:space="preserve">Changes in the form of securities (from ‘pure’ registered </w:t>
            </w:r>
            <w:r w:rsidR="00926B03">
              <w:rPr>
                <w:rFonts w:eastAsia="MS Mincho" w:cs="Times New Roman"/>
                <w:noProof/>
                <w:szCs w:val="32"/>
              </w:rPr>
              <w:t>(</w:t>
            </w:r>
            <w:r w:rsidR="00926B03" w:rsidRPr="00926B03">
              <w:rPr>
                <w:rFonts w:eastAsia="MS Mincho" w:cs="Times New Roman"/>
                <w:i/>
                <w:noProof/>
                <w:szCs w:val="32"/>
              </w:rPr>
              <w:t>‘nominatif pur’</w:t>
            </w:r>
            <w:r w:rsidR="00926B03">
              <w:rPr>
                <w:rFonts w:eastAsia="MS Mincho" w:cs="Times New Roman"/>
                <w:noProof/>
                <w:szCs w:val="32"/>
              </w:rPr>
              <w:t xml:space="preserve">) </w:t>
            </w:r>
            <w:r>
              <w:rPr>
                <w:rFonts w:eastAsia="MS Mincho" w:cs="Times New Roman"/>
                <w:noProof/>
                <w:szCs w:val="32"/>
              </w:rPr>
              <w:t>to ‘administered’ registered</w:t>
            </w:r>
            <w:r w:rsidR="00926B03">
              <w:rPr>
                <w:rFonts w:eastAsia="MS Mincho" w:cs="Times New Roman"/>
                <w:noProof/>
                <w:szCs w:val="32"/>
              </w:rPr>
              <w:t xml:space="preserve"> (‘</w:t>
            </w:r>
            <w:r w:rsidR="00926B03">
              <w:rPr>
                <w:rFonts w:eastAsia="MS Mincho" w:cs="Times New Roman"/>
                <w:i/>
                <w:noProof/>
                <w:szCs w:val="32"/>
              </w:rPr>
              <w:t>nominatif administré’)</w:t>
            </w:r>
            <w:r>
              <w:rPr>
                <w:rFonts w:eastAsia="MS Mincho" w:cs="Times New Roman"/>
                <w:noProof/>
                <w:szCs w:val="32"/>
              </w:rPr>
              <w:t>, from ‘administered’ registered to ‘pure’ registered, from ‘pure’ registered to bearer, from bearer to ‘pure’ registered) are carried out through the use of ‘unilateral’ free of payment instructions, complemented by a ‘Bordereau de Référence Nominative’ or ‘BRN’, which should present the date of purchase.</w:t>
            </w:r>
          </w:p>
          <w:p w:rsidR="00887FFA" w:rsidRDefault="00887FFA" w:rsidP="00887FFA">
            <w:pPr>
              <w:spacing w:before="120"/>
              <w:jc w:val="both"/>
              <w:rPr>
                <w:rFonts w:eastAsia="MS Mincho" w:cs="Times New Roman"/>
                <w:noProof/>
                <w:szCs w:val="32"/>
              </w:rPr>
            </w:pPr>
            <w:r>
              <w:rPr>
                <w:rFonts w:eastAsia="MS Mincho" w:cs="Times New Roman"/>
                <w:noProof/>
                <w:szCs w:val="32"/>
              </w:rPr>
              <w:t>As a reminder, when the ‘unilateral’ free of payment instruction is issued by Euroclear, the date of purchase presented i</w:t>
            </w:r>
            <w:r w:rsidR="00926B03">
              <w:rPr>
                <w:rFonts w:eastAsia="MS Mincho" w:cs="Times New Roman"/>
                <w:noProof/>
                <w:szCs w:val="32"/>
              </w:rPr>
              <w:t>n the BRN is integrated in a de</w:t>
            </w:r>
            <w:r>
              <w:rPr>
                <w:rFonts w:eastAsia="MS Mincho" w:cs="Times New Roman"/>
                <w:noProof/>
                <w:szCs w:val="32"/>
              </w:rPr>
              <w:t>dicated field in the instruction.</w:t>
            </w:r>
          </w:p>
          <w:p w:rsidR="00887FFA" w:rsidRDefault="00887FFA" w:rsidP="00887FFA">
            <w:pPr>
              <w:spacing w:before="120"/>
              <w:jc w:val="both"/>
              <w:rPr>
                <w:rFonts w:eastAsia="MS Mincho" w:cs="Times New Roman"/>
                <w:noProof/>
                <w:szCs w:val="32"/>
              </w:rPr>
            </w:pPr>
            <w:r>
              <w:rPr>
                <w:rFonts w:eastAsia="MS Mincho" w:cs="Times New Roman"/>
                <w:noProof/>
                <w:szCs w:val="32"/>
              </w:rPr>
              <w:t>Participants have also contemplated the possibility to complement this procedure with a transfer of fiscal data, in the form of a bilateral exchange of additional information agreed upon by both parties.</w:t>
            </w:r>
          </w:p>
          <w:p w:rsidR="00887FFA" w:rsidRDefault="00887FFA" w:rsidP="00887FFA">
            <w:pPr>
              <w:spacing w:before="120"/>
              <w:jc w:val="both"/>
              <w:rPr>
                <w:rFonts w:eastAsia="MS Mincho" w:cs="Times New Roman"/>
                <w:noProof/>
                <w:szCs w:val="32"/>
              </w:rPr>
            </w:pPr>
            <w:r>
              <w:rPr>
                <w:rFonts w:eastAsia="MS Mincho" w:cs="Times New Roman"/>
                <w:noProof/>
                <w:szCs w:val="32"/>
              </w:rPr>
              <w:t xml:space="preserve">Such a practice would correspond to the one described in CFONB communication #20150024 </w:t>
            </w:r>
            <w:r w:rsidR="00926B03">
              <w:rPr>
                <w:rFonts w:eastAsia="MS Mincho" w:cs="Times New Roman"/>
                <w:noProof/>
                <w:szCs w:val="32"/>
              </w:rPr>
              <w:t xml:space="preserve">of </w:t>
            </w:r>
            <w:r>
              <w:rPr>
                <w:rFonts w:eastAsia="MS Mincho" w:cs="Times New Roman"/>
                <w:noProof/>
                <w:szCs w:val="32"/>
              </w:rPr>
              <w:t>May 5</w:t>
            </w:r>
            <w:r w:rsidRPr="00887FFA">
              <w:rPr>
                <w:rFonts w:eastAsia="MS Mincho" w:cs="Times New Roman"/>
                <w:noProof/>
                <w:szCs w:val="32"/>
                <w:vertAlign w:val="superscript"/>
              </w:rPr>
              <w:t>th</w:t>
            </w:r>
            <w:r>
              <w:rPr>
                <w:rFonts w:eastAsia="MS Mincho" w:cs="Times New Roman"/>
                <w:noProof/>
                <w:szCs w:val="32"/>
              </w:rPr>
              <w:t xml:space="preserve">, 2015, in vigor for portfolio transfers between custodians, which itself refers to CFONB communication #2006378 </w:t>
            </w:r>
            <w:r w:rsidR="00926B03">
              <w:rPr>
                <w:rFonts w:eastAsia="MS Mincho" w:cs="Times New Roman"/>
                <w:noProof/>
                <w:szCs w:val="32"/>
              </w:rPr>
              <w:t xml:space="preserve">of </w:t>
            </w:r>
            <w:r>
              <w:rPr>
                <w:rFonts w:eastAsia="MS Mincho" w:cs="Times New Roman"/>
                <w:noProof/>
                <w:szCs w:val="32"/>
              </w:rPr>
              <w:t>November 14</w:t>
            </w:r>
            <w:r w:rsidRPr="00887FFA">
              <w:rPr>
                <w:rFonts w:eastAsia="MS Mincho" w:cs="Times New Roman"/>
                <w:noProof/>
                <w:szCs w:val="32"/>
                <w:vertAlign w:val="superscript"/>
              </w:rPr>
              <w:t>th</w:t>
            </w:r>
            <w:r>
              <w:rPr>
                <w:rFonts w:eastAsia="MS Mincho" w:cs="Times New Roman"/>
                <w:noProof/>
                <w:szCs w:val="32"/>
              </w:rPr>
              <w:t>, 2006.</w:t>
            </w:r>
          </w:p>
          <w:p w:rsidR="00887FFA" w:rsidRPr="00971207" w:rsidRDefault="00887FFA" w:rsidP="00887FFA">
            <w:pPr>
              <w:spacing w:before="120"/>
              <w:jc w:val="both"/>
              <w:rPr>
                <w:rFonts w:eastAsia="MS Mincho" w:cs="Times New Roman"/>
                <w:noProof/>
                <w:szCs w:val="32"/>
              </w:rPr>
            </w:pPr>
            <w:r>
              <w:rPr>
                <w:rFonts w:eastAsia="MS Mincho" w:cs="Times New Roman"/>
                <w:noProof/>
                <w:szCs w:val="32"/>
              </w:rPr>
              <w:t>This would allow custodians as well as registrars to enrich their fiscal reference data.</w:t>
            </w:r>
          </w:p>
        </w:tc>
      </w:tr>
      <w:tr w:rsidR="00B3406E" w:rsidRPr="007B4D1C" w:rsidTr="0091257E">
        <w:tc>
          <w:tcPr>
            <w:tcW w:w="2093" w:type="dxa"/>
            <w:tcBorders>
              <w:left w:val="nil"/>
              <w:right w:val="nil"/>
            </w:tcBorders>
          </w:tcPr>
          <w:p w:rsidR="00B3406E" w:rsidRPr="007B4D1C" w:rsidRDefault="00B3406E" w:rsidP="000E651B">
            <w:pPr>
              <w:rPr>
                <w:rFonts w:eastAsia="MS Mincho" w:cs="Times New Roman"/>
                <w:b/>
                <w:noProof/>
                <w:szCs w:val="32"/>
              </w:rPr>
            </w:pPr>
          </w:p>
        </w:tc>
        <w:tc>
          <w:tcPr>
            <w:tcW w:w="7513" w:type="dxa"/>
            <w:tcBorders>
              <w:left w:val="nil"/>
              <w:right w:val="nil"/>
            </w:tcBorders>
          </w:tcPr>
          <w:p w:rsidR="00B3406E" w:rsidRPr="007B4D1C" w:rsidRDefault="00B3406E" w:rsidP="00B26098">
            <w:pPr>
              <w:rPr>
                <w:rFonts w:eastAsia="MS Mincho" w:cs="Times New Roman"/>
                <w:noProof/>
                <w:szCs w:val="32"/>
              </w:rPr>
            </w:pPr>
          </w:p>
        </w:tc>
      </w:tr>
      <w:tr w:rsidR="00B3406E" w:rsidRPr="007B4D1C" w:rsidTr="0081511D">
        <w:tc>
          <w:tcPr>
            <w:tcW w:w="2093" w:type="dxa"/>
            <w:tcBorders>
              <w:bottom w:val="single" w:sz="4" w:space="0" w:color="auto"/>
            </w:tcBorders>
            <w:shd w:val="clear" w:color="auto" w:fill="BFBFBF" w:themeFill="background1" w:themeFillShade="BF"/>
          </w:tcPr>
          <w:p w:rsidR="00B3406E" w:rsidRPr="00343E9C" w:rsidRDefault="00B3406E" w:rsidP="000E651B">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0A0704" w:rsidRDefault="00887FFA" w:rsidP="00802269">
            <w:pPr>
              <w:spacing w:before="120" w:after="60"/>
              <w:jc w:val="both"/>
              <w:rPr>
                <w:rFonts w:eastAsia="MS Mincho" w:cs="Times New Roman"/>
                <w:noProof/>
                <w:szCs w:val="32"/>
              </w:rPr>
            </w:pPr>
            <w:r>
              <w:rPr>
                <w:rFonts w:eastAsia="MS Mincho" w:cs="Times New Roman"/>
                <w:noProof/>
                <w:szCs w:val="32"/>
              </w:rPr>
              <w:t xml:space="preserve">The elements mentioned below </w:t>
            </w:r>
            <w:r w:rsidR="002E3B75">
              <w:rPr>
                <w:rFonts w:eastAsia="MS Mincho" w:cs="Times New Roman"/>
                <w:noProof/>
                <w:szCs w:val="32"/>
              </w:rPr>
              <w:t>correspond to the period that will immediately follow the launch of T2S during which participants of Euroclear France will all use the service ‘Free of Payment Without Matching’ (’already matched’).</w:t>
            </w:r>
          </w:p>
          <w:p w:rsidR="002E3B75" w:rsidRDefault="002E3B75" w:rsidP="007F06A7">
            <w:pPr>
              <w:spacing w:before="120" w:after="60"/>
              <w:jc w:val="both"/>
              <w:rPr>
                <w:rFonts w:eastAsia="MS Mincho" w:cs="Times New Roman"/>
                <w:noProof/>
                <w:szCs w:val="32"/>
              </w:rPr>
            </w:pPr>
            <w:r>
              <w:rPr>
                <w:rFonts w:eastAsia="MS Mincho" w:cs="Times New Roman"/>
                <w:noProof/>
                <w:szCs w:val="32"/>
              </w:rPr>
              <w:t xml:space="preserve">In T2S, all settlement instructions </w:t>
            </w:r>
            <w:r w:rsidR="007F06A7">
              <w:rPr>
                <w:rFonts w:eastAsia="MS Mincho" w:cs="Times New Roman"/>
                <w:noProof/>
                <w:szCs w:val="32"/>
              </w:rPr>
              <w:t>must be matched. ‘Unilateral’ free of payment in</w:t>
            </w:r>
            <w:r w:rsidR="00926B03">
              <w:rPr>
                <w:rFonts w:eastAsia="MS Mincho" w:cs="Times New Roman"/>
                <w:noProof/>
                <w:szCs w:val="32"/>
              </w:rPr>
              <w:t>s</w:t>
            </w:r>
            <w:r w:rsidR="007F06A7">
              <w:rPr>
                <w:rFonts w:eastAsia="MS Mincho" w:cs="Times New Roman"/>
                <w:noProof/>
                <w:szCs w:val="32"/>
              </w:rPr>
              <w:t>tructions can be replaced by ‘Free of Payment without matching’ for participants who will have access to this service from Euroclear, or should be replaced by ‘to be matched’ free of payment instructions in other cases.</w:t>
            </w:r>
          </w:p>
          <w:p w:rsidR="007F06A7" w:rsidRPr="00802269" w:rsidRDefault="007F06A7" w:rsidP="00926B03">
            <w:pPr>
              <w:spacing w:before="120" w:after="60"/>
              <w:jc w:val="both"/>
              <w:rPr>
                <w:rFonts w:eastAsia="MS Mincho" w:cs="Times New Roman"/>
                <w:noProof/>
                <w:szCs w:val="32"/>
              </w:rPr>
            </w:pPr>
            <w:r>
              <w:rPr>
                <w:rFonts w:eastAsia="MS Mincho" w:cs="Times New Roman"/>
                <w:noProof/>
                <w:szCs w:val="32"/>
              </w:rPr>
              <w:lastRenderedPageBreak/>
              <w:t xml:space="preserve">There is no specific field in T2S to mention neither the date of purchase nor </w:t>
            </w:r>
            <w:r w:rsidR="00926B03">
              <w:rPr>
                <w:rFonts w:eastAsia="MS Mincho" w:cs="Times New Roman"/>
                <w:noProof/>
                <w:szCs w:val="32"/>
              </w:rPr>
              <w:t>the</w:t>
            </w:r>
            <w:r>
              <w:rPr>
                <w:rFonts w:eastAsia="MS Mincho" w:cs="Times New Roman"/>
                <w:noProof/>
                <w:szCs w:val="32"/>
              </w:rPr>
              <w:t xml:space="preserve"> complementary fiscal data considered by CFONB communication #20150024 </w:t>
            </w:r>
            <w:r w:rsidR="00926B03">
              <w:rPr>
                <w:rFonts w:eastAsia="MS Mincho" w:cs="Times New Roman"/>
                <w:noProof/>
                <w:szCs w:val="32"/>
              </w:rPr>
              <w:t xml:space="preserve">of </w:t>
            </w:r>
            <w:r>
              <w:rPr>
                <w:rFonts w:eastAsia="MS Mincho" w:cs="Times New Roman"/>
                <w:noProof/>
                <w:szCs w:val="32"/>
              </w:rPr>
              <w:t>May 5</w:t>
            </w:r>
            <w:r w:rsidRPr="007F06A7">
              <w:rPr>
                <w:rFonts w:eastAsia="MS Mincho" w:cs="Times New Roman"/>
                <w:noProof/>
                <w:szCs w:val="32"/>
                <w:vertAlign w:val="superscript"/>
              </w:rPr>
              <w:t>th</w:t>
            </w:r>
            <w:r>
              <w:rPr>
                <w:rFonts w:eastAsia="MS Mincho" w:cs="Times New Roman"/>
                <w:noProof/>
                <w:szCs w:val="32"/>
              </w:rPr>
              <w:t>, 2015.</w:t>
            </w:r>
          </w:p>
        </w:tc>
      </w:tr>
      <w:tr w:rsidR="0081511D" w:rsidRPr="007B4D1C" w:rsidTr="0081511D">
        <w:tc>
          <w:tcPr>
            <w:tcW w:w="2093" w:type="dxa"/>
            <w:tcBorders>
              <w:left w:val="nil"/>
              <w:right w:val="nil"/>
            </w:tcBorders>
            <w:shd w:val="clear" w:color="auto" w:fill="auto"/>
          </w:tcPr>
          <w:p w:rsidR="0081511D" w:rsidRPr="007B4D1C"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7B4D1C" w:rsidRDefault="0081511D" w:rsidP="0081511D">
            <w:pPr>
              <w:rPr>
                <w:rFonts w:eastAsia="MS Mincho" w:cs="Times New Roman"/>
                <w:b/>
                <w:noProof/>
                <w:szCs w:val="32"/>
              </w:rPr>
            </w:pPr>
          </w:p>
        </w:tc>
      </w:tr>
      <w:tr w:rsidR="00B3406E" w:rsidRPr="00CB5DDB" w:rsidTr="0081511D">
        <w:tc>
          <w:tcPr>
            <w:tcW w:w="2093" w:type="dxa"/>
            <w:shd w:val="clear" w:color="auto" w:fill="BFBFBF" w:themeFill="background1" w:themeFillShade="BF"/>
          </w:tcPr>
          <w:p w:rsidR="00B3406E" w:rsidRPr="000C4CA6" w:rsidRDefault="00B3406E" w:rsidP="000E651B">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BB283B" w:rsidRDefault="007F06A7" w:rsidP="007F06A7">
            <w:pPr>
              <w:spacing w:before="120" w:after="60"/>
              <w:ind w:left="34"/>
              <w:jc w:val="both"/>
              <w:rPr>
                <w:rFonts w:eastAsia="MS Mincho" w:cs="Times New Roman"/>
                <w:noProof/>
                <w:szCs w:val="32"/>
              </w:rPr>
            </w:pPr>
            <w:r w:rsidRPr="00D01A0C">
              <w:rPr>
                <w:rFonts w:eastAsia="MS Mincho" w:cs="Times New Roman"/>
                <w:noProof/>
                <w:szCs w:val="32"/>
              </w:rPr>
              <w:t xml:space="preserve">French institutions look for a level of automation </w:t>
            </w:r>
            <w:r>
              <w:rPr>
                <w:rFonts w:eastAsia="MS Mincho" w:cs="Times New Roman"/>
                <w:noProof/>
                <w:szCs w:val="32"/>
              </w:rPr>
              <w:t>equivalent to that observed with the use of ‘unilateral free of payment’ instructions and BRN, and also allow participants, when appropriate, to send or receive fiscal data necessary for their activities (data relating to capital gains and to the requirement to notify capital gains of French origine by non-resident clients).</w:t>
            </w:r>
          </w:p>
          <w:p w:rsidR="007F06A7" w:rsidRDefault="007F06A7" w:rsidP="007F06A7">
            <w:pPr>
              <w:spacing w:before="120" w:after="60"/>
              <w:ind w:left="34"/>
              <w:jc w:val="both"/>
              <w:rPr>
                <w:rFonts w:eastAsia="MS Mincho" w:cs="Times New Roman"/>
                <w:noProof/>
                <w:szCs w:val="32"/>
              </w:rPr>
            </w:pPr>
            <w:r>
              <w:rPr>
                <w:rFonts w:eastAsia="MS Mincho" w:cs="Times New Roman"/>
                <w:noProof/>
                <w:szCs w:val="32"/>
              </w:rPr>
              <w:t>The intermediaries involved, as well as the issuer servicers who maintain the register of shareholders, have contemplated to complement the current market practice on conversions and enrich when appropriate their capital gains counter. It would be necessary to adopt a market practice whereby bilateral complementary information would be exchanged between both parties.</w:t>
            </w:r>
          </w:p>
          <w:p w:rsidR="007F06A7" w:rsidRDefault="007F06A7" w:rsidP="007F06A7">
            <w:pPr>
              <w:spacing w:before="120" w:after="60"/>
              <w:ind w:left="34"/>
              <w:jc w:val="both"/>
              <w:rPr>
                <w:rFonts w:eastAsia="MS Mincho" w:cs="Times New Roman"/>
                <w:noProof/>
                <w:szCs w:val="32"/>
              </w:rPr>
            </w:pPr>
            <w:r>
              <w:rPr>
                <w:rFonts w:eastAsia="MS Mincho" w:cs="Times New Roman"/>
                <w:noProof/>
                <w:szCs w:val="32"/>
              </w:rPr>
              <w:t xml:space="preserve">Such practice on conversions would correspond to the one described in CFONB communication #20150024 </w:t>
            </w:r>
            <w:r w:rsidR="00926B03">
              <w:rPr>
                <w:rFonts w:eastAsia="MS Mincho" w:cs="Times New Roman"/>
                <w:noProof/>
                <w:szCs w:val="32"/>
              </w:rPr>
              <w:t xml:space="preserve">of </w:t>
            </w:r>
            <w:r>
              <w:rPr>
                <w:rFonts w:eastAsia="MS Mincho" w:cs="Times New Roman"/>
                <w:noProof/>
                <w:szCs w:val="32"/>
              </w:rPr>
              <w:t>May 5</w:t>
            </w:r>
            <w:r w:rsidRPr="00887FFA">
              <w:rPr>
                <w:rFonts w:eastAsia="MS Mincho" w:cs="Times New Roman"/>
                <w:noProof/>
                <w:szCs w:val="32"/>
                <w:vertAlign w:val="superscript"/>
              </w:rPr>
              <w:t>th</w:t>
            </w:r>
            <w:r>
              <w:rPr>
                <w:rFonts w:eastAsia="MS Mincho" w:cs="Times New Roman"/>
                <w:noProof/>
                <w:szCs w:val="32"/>
              </w:rPr>
              <w:t xml:space="preserve">, 2015, in vigor for portfolio transfers between custodians, which itself refers to CFONB communication #2006378 </w:t>
            </w:r>
            <w:r w:rsidR="00926B03">
              <w:rPr>
                <w:rFonts w:eastAsia="MS Mincho" w:cs="Times New Roman"/>
                <w:noProof/>
                <w:szCs w:val="32"/>
              </w:rPr>
              <w:t xml:space="preserve">of </w:t>
            </w:r>
            <w:r>
              <w:rPr>
                <w:rFonts w:eastAsia="MS Mincho" w:cs="Times New Roman"/>
                <w:noProof/>
                <w:szCs w:val="32"/>
              </w:rPr>
              <w:t>November 14</w:t>
            </w:r>
            <w:r w:rsidRPr="00887FFA">
              <w:rPr>
                <w:rFonts w:eastAsia="MS Mincho" w:cs="Times New Roman"/>
                <w:noProof/>
                <w:szCs w:val="32"/>
                <w:vertAlign w:val="superscript"/>
              </w:rPr>
              <w:t>th</w:t>
            </w:r>
            <w:r>
              <w:rPr>
                <w:rFonts w:eastAsia="MS Mincho" w:cs="Times New Roman"/>
                <w:noProof/>
                <w:szCs w:val="32"/>
              </w:rPr>
              <w:t>, 2006, considering the latter only applies to portfolio transfers.</w:t>
            </w:r>
          </w:p>
          <w:p w:rsidR="007F06A7" w:rsidRPr="007F06A7" w:rsidRDefault="007F06A7" w:rsidP="007879D1">
            <w:pPr>
              <w:spacing w:before="120" w:after="60"/>
              <w:ind w:left="34"/>
              <w:jc w:val="both"/>
              <w:rPr>
                <w:rFonts w:eastAsia="MS Mincho" w:cs="Times New Roman"/>
                <w:bCs/>
                <w:noProof/>
                <w:szCs w:val="32"/>
              </w:rPr>
            </w:pPr>
            <w:r>
              <w:rPr>
                <w:rFonts w:eastAsia="MS Mincho" w:cs="Times New Roman"/>
                <w:noProof/>
                <w:szCs w:val="32"/>
              </w:rPr>
              <w:t xml:space="preserve">The current practice on the French market on portfolio transfers should be replaced on the longer term by the European practice currently being validated. The management of conversions should </w:t>
            </w:r>
            <w:r w:rsidR="007879D1">
              <w:rPr>
                <w:rFonts w:eastAsia="MS Mincho" w:cs="Times New Roman"/>
                <w:noProof/>
                <w:szCs w:val="32"/>
              </w:rPr>
              <w:t xml:space="preserve">thus </w:t>
            </w:r>
            <w:r>
              <w:rPr>
                <w:rFonts w:eastAsia="MS Mincho" w:cs="Times New Roman"/>
                <w:noProof/>
                <w:szCs w:val="32"/>
              </w:rPr>
              <w:t xml:space="preserve">evolve </w:t>
            </w:r>
            <w:r w:rsidR="007879D1">
              <w:rPr>
                <w:rFonts w:eastAsia="MS Mincho" w:cs="Times New Roman"/>
                <w:noProof/>
                <w:szCs w:val="32"/>
              </w:rPr>
              <w:t>to integrate this target European practice.</w:t>
            </w:r>
          </w:p>
        </w:tc>
      </w:tr>
      <w:tr w:rsidR="00B3406E" w:rsidRPr="00CB5DDB" w:rsidTr="006542ED">
        <w:tc>
          <w:tcPr>
            <w:tcW w:w="2093" w:type="dxa"/>
            <w:tcBorders>
              <w:left w:val="nil"/>
              <w:right w:val="nil"/>
            </w:tcBorders>
            <w:shd w:val="clear" w:color="auto" w:fill="auto"/>
          </w:tcPr>
          <w:p w:rsidR="00B3406E" w:rsidRPr="00CB5DDB"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CB5DDB" w:rsidRDefault="00B3406E" w:rsidP="006542ED">
            <w:pPr>
              <w:rPr>
                <w:rFonts w:eastAsia="MS Mincho" w:cs="Times New Roman"/>
                <w:b/>
                <w:noProof/>
                <w:szCs w:val="32"/>
              </w:rPr>
            </w:pPr>
          </w:p>
        </w:tc>
      </w:tr>
      <w:tr w:rsidR="00B3406E" w:rsidRPr="005E593C" w:rsidTr="0081511D">
        <w:tc>
          <w:tcPr>
            <w:tcW w:w="2093" w:type="dxa"/>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5E593C" w:rsidRDefault="00B3406E" w:rsidP="005E593C">
            <w:pPr>
              <w:spacing w:beforeLines="60" w:before="144"/>
              <w:jc w:val="both"/>
              <w:rPr>
                <w:rFonts w:cs="Tahoma"/>
                <w:lang w:eastAsia="fr-FR"/>
              </w:rPr>
            </w:pPr>
          </w:p>
        </w:tc>
      </w:tr>
      <w:tr w:rsidR="00B3406E" w:rsidRPr="005E593C" w:rsidTr="006542ED">
        <w:tc>
          <w:tcPr>
            <w:tcW w:w="2093" w:type="dxa"/>
            <w:tcBorders>
              <w:left w:val="nil"/>
              <w:right w:val="nil"/>
            </w:tcBorders>
            <w:shd w:val="clear" w:color="auto" w:fill="auto"/>
          </w:tcPr>
          <w:p w:rsidR="00B3406E" w:rsidRPr="005E593C"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5E593C" w:rsidRDefault="00B3406E" w:rsidP="006542ED">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Default="00B3406E" w:rsidP="000E651B">
            <w:pPr>
              <w:rPr>
                <w:rFonts w:eastAsia="MS Mincho" w:cs="Times New Roman"/>
                <w:b/>
                <w:noProof/>
                <w:szCs w:val="32"/>
                <w:lang w:val="fr-FR"/>
              </w:rPr>
            </w:pPr>
            <w:r>
              <w:rPr>
                <w:rFonts w:eastAsia="MS Mincho" w:cs="Times New Roman"/>
                <w:b/>
                <w:noProof/>
                <w:szCs w:val="32"/>
                <w:lang w:val="fr-FR"/>
              </w:rPr>
              <w:t>Workflows</w:t>
            </w:r>
          </w:p>
          <w:p w:rsidR="00B3406E"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6542ED">
        <w:tc>
          <w:tcPr>
            <w:tcW w:w="2093" w:type="dxa"/>
            <w:tcBorders>
              <w:left w:val="nil"/>
              <w:right w:val="nil"/>
            </w:tcBorders>
            <w:shd w:val="clear" w:color="auto" w:fill="auto"/>
          </w:tcPr>
          <w:p w:rsidR="00B3406E" w:rsidRDefault="00B3406E" w:rsidP="000E651B">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6542ED">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B3406E" w:rsidRPr="007879D1" w:rsidRDefault="00BB283B" w:rsidP="007879D1">
            <w:pPr>
              <w:pStyle w:val="ListParagraph"/>
              <w:numPr>
                <w:ilvl w:val="0"/>
                <w:numId w:val="12"/>
              </w:numPr>
              <w:ind w:left="317" w:hanging="241"/>
              <w:rPr>
                <w:rFonts w:eastAsia="MS Mincho" w:cs="Times New Roman"/>
                <w:noProof/>
                <w:szCs w:val="32"/>
                <w:lang w:val="fr-FR"/>
              </w:rPr>
            </w:pPr>
            <w:r w:rsidRPr="00BB283B">
              <w:rPr>
                <w:rFonts w:eastAsia="MS Mincho" w:cs="Times New Roman"/>
                <w:noProof/>
                <w:szCs w:val="32"/>
                <w:lang w:val="fr-FR"/>
              </w:rPr>
              <w:t>MS-</w:t>
            </w:r>
            <w:r w:rsidR="007879D1">
              <w:rPr>
                <w:rFonts w:eastAsia="MS Mincho" w:cs="Times New Roman"/>
                <w:noProof/>
                <w:szCs w:val="32"/>
                <w:lang w:val="fr-FR"/>
              </w:rPr>
              <w:t>SETTL</w:t>
            </w:r>
            <w:r w:rsidRPr="00BB283B">
              <w:rPr>
                <w:rFonts w:eastAsia="MS Mincho" w:cs="Times New Roman"/>
                <w:noProof/>
                <w:szCs w:val="32"/>
                <w:lang w:val="fr-FR"/>
              </w:rPr>
              <w:t>-</w:t>
            </w:r>
            <w:r w:rsidR="007879D1">
              <w:rPr>
                <w:rFonts w:eastAsia="MS Mincho" w:cs="Times New Roman"/>
                <w:noProof/>
                <w:szCs w:val="32"/>
                <w:lang w:val="fr-FR"/>
              </w:rPr>
              <w:t>FRANCO</w:t>
            </w:r>
            <w:r w:rsidRPr="00BB283B">
              <w:rPr>
                <w:rFonts w:eastAsia="MS Mincho" w:cs="Times New Roman"/>
                <w:noProof/>
                <w:szCs w:val="32"/>
                <w:lang w:val="fr-FR"/>
              </w:rPr>
              <w:t xml:space="preserve">-02 </w:t>
            </w:r>
          </w:p>
        </w:tc>
      </w:tr>
    </w:tbl>
    <w:p w:rsidR="001E0D83" w:rsidRPr="00AE20EB" w:rsidRDefault="001E0D83" w:rsidP="00D103DA">
      <w:pPr>
        <w:spacing w:after="0" w:line="240" w:lineRule="auto"/>
        <w:rPr>
          <w:rFonts w:eastAsia="MS Mincho" w:cs="Times New Roman"/>
          <w:noProof/>
          <w:szCs w:val="32"/>
        </w:rPr>
      </w:pPr>
    </w:p>
    <w:p w:rsidR="0081511D" w:rsidRPr="00AE20EB" w:rsidRDefault="0081511D" w:rsidP="00D103DA">
      <w:pPr>
        <w:spacing w:after="0" w:line="240" w:lineRule="auto"/>
        <w:rPr>
          <w:rFonts w:eastAsia="MS Mincho" w:cs="Times New Roman"/>
          <w:noProof/>
          <w:szCs w:val="32"/>
        </w:rPr>
      </w:pPr>
    </w:p>
    <w:p w:rsidR="007879D1" w:rsidRDefault="007879D1">
      <w:pPr>
        <w:rPr>
          <w:rFonts w:eastAsia="MS Mincho" w:cs="Times New Roman"/>
          <w:b/>
          <w:caps/>
          <w:noProof/>
          <w:sz w:val="32"/>
          <w:szCs w:val="32"/>
          <w:lang w:val="fr-FR"/>
        </w:rPr>
      </w:pPr>
      <w:r>
        <w:rPr>
          <w:rFonts w:eastAsia="MS Mincho" w:cs="Times New Roman"/>
          <w:b/>
          <w:caps/>
          <w:noProof/>
          <w:sz w:val="32"/>
          <w:szCs w:val="32"/>
          <w:lang w:val="fr-FR"/>
        </w:rPr>
        <w:br w:type="page"/>
      </w: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8D0CDE" w:rsidTr="0081511D">
        <w:trPr>
          <w:gridAfter w:val="1"/>
          <w:wAfter w:w="30" w:type="dxa"/>
        </w:trPr>
        <w:tc>
          <w:tcPr>
            <w:tcW w:w="2093" w:type="dxa"/>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8214BC" w:rsidRDefault="007879D1" w:rsidP="007879D1">
            <w:pPr>
              <w:spacing w:before="120"/>
              <w:jc w:val="both"/>
              <w:rPr>
                <w:rFonts w:eastAsia="MS Mincho" w:cs="Times New Roman"/>
                <w:noProof/>
                <w:szCs w:val="32"/>
              </w:rPr>
            </w:pPr>
            <w:r>
              <w:rPr>
                <w:rFonts w:cs="Tahoma"/>
                <w:lang w:eastAsia="fr-FR"/>
              </w:rPr>
              <w:t xml:space="preserve">The exchange of data on capital gains apply to conversions </w:t>
            </w:r>
            <w:r>
              <w:rPr>
                <w:rFonts w:eastAsia="MS Mincho" w:cs="Times New Roman"/>
                <w:noProof/>
                <w:szCs w:val="32"/>
              </w:rPr>
              <w:t>from ‘pure’ registered to ‘administered’ registered, from ‘administered’ registered to ‘pure’ registered, from ‘pure’ registered to bearer, or from bearer to ‘pure’ registered.</w:t>
            </w:r>
          </w:p>
          <w:p w:rsidR="007879D1" w:rsidRDefault="007879D1" w:rsidP="007879D1">
            <w:pPr>
              <w:spacing w:before="120"/>
              <w:jc w:val="both"/>
              <w:rPr>
                <w:rFonts w:cs="Tahoma"/>
                <w:lang w:eastAsia="fr-FR"/>
              </w:rPr>
            </w:pPr>
            <w:r>
              <w:rPr>
                <w:rFonts w:cs="Tahoma"/>
                <w:lang w:eastAsia="fr-FR"/>
              </w:rPr>
              <w:t>After analysis of the existing procedure for portfolio transfers, participants involved in these operations have considered that modifying the current conversion process to add a bilateral exchange of complementary data was premature.</w:t>
            </w:r>
          </w:p>
          <w:p w:rsidR="007879D1" w:rsidRDefault="007879D1" w:rsidP="007879D1">
            <w:pPr>
              <w:spacing w:before="120"/>
              <w:jc w:val="both"/>
              <w:rPr>
                <w:rFonts w:cs="Tahoma"/>
                <w:lang w:eastAsia="fr-FR"/>
              </w:rPr>
            </w:pPr>
            <w:r>
              <w:rPr>
                <w:rFonts w:cs="Tahoma"/>
                <w:lang w:eastAsia="fr-FR"/>
              </w:rPr>
              <w:t>Participants have agreed to wait for the European market practice on portfolio transfers, to enrich the existing procedure on fiscal data. This issue will then be re-examined in this perspective and the related data will be sent according to the target European market practice on portfolio transfers between custodians.</w:t>
            </w:r>
          </w:p>
          <w:p w:rsidR="007879D1" w:rsidRDefault="007879D1" w:rsidP="007879D1">
            <w:pPr>
              <w:spacing w:before="120"/>
              <w:jc w:val="both"/>
              <w:rPr>
                <w:rFonts w:cs="Tahoma"/>
                <w:lang w:eastAsia="fr-FR"/>
              </w:rPr>
            </w:pPr>
            <w:r>
              <w:rPr>
                <w:rFonts w:cs="Tahoma"/>
                <w:lang w:eastAsia="fr-FR"/>
              </w:rPr>
              <w:t xml:space="preserve">The procedure will rely on Euroclear France’s ‘Free of payment without matching’ service, which will be provided in ISO 15022 and ISO 20022 and will also be available on </w:t>
            </w:r>
            <w:proofErr w:type="spellStart"/>
            <w:r>
              <w:rPr>
                <w:rFonts w:cs="Tahoma"/>
                <w:lang w:eastAsia="fr-FR"/>
              </w:rPr>
              <w:t>EuroclearConnect</w:t>
            </w:r>
            <w:proofErr w:type="spellEnd"/>
            <w:r>
              <w:rPr>
                <w:rFonts w:cs="Tahoma"/>
                <w:lang w:eastAsia="fr-FR"/>
              </w:rPr>
              <w:t xml:space="preserve"> for Screens.</w:t>
            </w:r>
          </w:p>
          <w:p w:rsidR="007879D1" w:rsidRPr="007879D1" w:rsidRDefault="007879D1" w:rsidP="007879D1">
            <w:pPr>
              <w:spacing w:before="120"/>
              <w:jc w:val="both"/>
              <w:rPr>
                <w:rFonts w:cs="Tahoma"/>
                <w:b/>
                <w:u w:val="single"/>
                <w:lang w:eastAsia="fr-FR"/>
              </w:rPr>
            </w:pPr>
            <w:r w:rsidRPr="007879D1">
              <w:rPr>
                <w:rFonts w:cs="Tahoma"/>
                <w:b/>
                <w:u w:val="single"/>
                <w:lang w:eastAsia="fr-FR"/>
              </w:rPr>
              <w:t>General principles</w:t>
            </w:r>
          </w:p>
          <w:p w:rsidR="007879D1" w:rsidRDefault="007879D1" w:rsidP="007879D1">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‘Hold’ functionality should not be used,</w:t>
            </w:r>
          </w:p>
          <w:p w:rsidR="007879D1" w:rsidRDefault="007879D1" w:rsidP="007879D1">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‘partial settlement’ functionality should not be used,</w:t>
            </w:r>
          </w:p>
          <w:p w:rsidR="007879D1" w:rsidRDefault="007879D1" w:rsidP="007879D1">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‘Transaction type’ must be ‘OWNE’, who is reserved to ‘Free of Payment Without Matching’ instructions.</w:t>
            </w:r>
          </w:p>
          <w:p w:rsidR="007879D1" w:rsidRDefault="007879D1" w:rsidP="007879D1">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These instructions being eligible to the detection of market claims and transformations </w:t>
            </w:r>
            <w:r>
              <w:rPr>
                <w:rFonts w:eastAsia="MS Mincho" w:cs="Times New Roman"/>
                <w:noProof/>
                <w:szCs w:val="32"/>
              </w:rPr>
              <w:t>(awaiting correction of defect #27092), to avoid generating market claims, the trade date must be equal to the settlement date</w:t>
            </w:r>
            <w:r>
              <w:rPr>
                <w:rFonts w:eastAsia="MS Mincho" w:cs="Times New Roman"/>
                <w:bCs/>
                <w:noProof/>
                <w:szCs w:val="32"/>
              </w:rPr>
              <w:t>.</w:t>
            </w:r>
          </w:p>
          <w:p w:rsidR="007879D1" w:rsidRPr="003D246C" w:rsidRDefault="003D246C" w:rsidP="007879D1">
            <w:pPr>
              <w:spacing w:before="120"/>
              <w:jc w:val="both"/>
              <w:rPr>
                <w:rFonts w:eastAsia="MS Mincho" w:cs="Times New Roman"/>
                <w:b/>
                <w:bCs/>
                <w:noProof/>
                <w:szCs w:val="32"/>
                <w:u w:val="single"/>
              </w:rPr>
            </w:pPr>
            <w:r w:rsidRPr="003D246C">
              <w:rPr>
                <w:rFonts w:eastAsia="MS Mincho" w:cs="Times New Roman"/>
                <w:b/>
                <w:bCs/>
                <w:noProof/>
                <w:szCs w:val="32"/>
                <w:u w:val="single"/>
              </w:rPr>
              <w:t>Detailed data</w:t>
            </w:r>
          </w:p>
          <w:p w:rsidR="007879D1" w:rsidRDefault="003D246C" w:rsidP="007879D1">
            <w:pPr>
              <w:spacing w:before="120"/>
              <w:jc w:val="both"/>
              <w:rPr>
                <w:rFonts w:eastAsia="MS Mincho" w:cs="Times New Roman"/>
                <w:noProof/>
                <w:szCs w:val="32"/>
              </w:rPr>
            </w:pPr>
            <w:r>
              <w:rPr>
                <w:rFonts w:eastAsia="MS Mincho" w:cs="Times New Roman"/>
                <w:bCs/>
                <w:noProof/>
                <w:szCs w:val="32"/>
              </w:rPr>
              <w:t xml:space="preserve">For more specifics, please refer to </w:t>
            </w:r>
            <w:r w:rsidRPr="003D246C">
              <w:rPr>
                <w:i/>
              </w:rPr>
              <w:t xml:space="preserve">MS-SETTL-FRANCO-02 </w:t>
            </w:r>
            <w:r w:rsidRPr="003D246C">
              <w:rPr>
                <w:rFonts w:eastAsia="MS Mincho" w:cs="Times New Roman"/>
                <w:noProof/>
                <w:szCs w:val="32"/>
              </w:rPr>
              <w:t>« </w:t>
            </w:r>
            <w:r>
              <w:rPr>
                <w:rFonts w:eastAsia="MS Mincho" w:cs="Times New Roman"/>
                <w:noProof/>
                <w:szCs w:val="32"/>
              </w:rPr>
              <w:t>Portfolio transfer</w:t>
            </w:r>
            <w:r w:rsidRPr="003D246C">
              <w:rPr>
                <w:rFonts w:eastAsia="MS Mincho" w:cs="Times New Roman"/>
                <w:noProof/>
                <w:szCs w:val="32"/>
              </w:rPr>
              <w:t> »</w:t>
            </w:r>
            <w:r>
              <w:rPr>
                <w:rFonts w:eastAsia="MS Mincho" w:cs="Times New Roman"/>
                <w:noProof/>
                <w:szCs w:val="32"/>
              </w:rPr>
              <w:t>.</w:t>
            </w:r>
          </w:p>
          <w:p w:rsidR="003D246C" w:rsidRDefault="003D246C" w:rsidP="003D246C">
            <w:pPr>
              <w:pStyle w:val="ListParagraph"/>
              <w:numPr>
                <w:ilvl w:val="0"/>
                <w:numId w:val="21"/>
              </w:numPr>
              <w:spacing w:before="120"/>
              <w:jc w:val="both"/>
              <w:rPr>
                <w:rFonts w:eastAsia="MS Mincho" w:cs="Times New Roman"/>
                <w:bCs/>
                <w:noProof/>
                <w:szCs w:val="32"/>
              </w:rPr>
            </w:pPr>
            <w:r>
              <w:rPr>
                <w:rFonts w:eastAsia="MS Mincho" w:cs="Times New Roman"/>
                <w:bCs/>
                <w:noProof/>
                <w:szCs w:val="32"/>
              </w:rPr>
              <w:t>RIB</w:t>
            </w:r>
          </w:p>
          <w:p w:rsidR="003D246C" w:rsidRDefault="003D246C" w:rsidP="003D246C">
            <w:pPr>
              <w:pStyle w:val="ListParagraph"/>
              <w:numPr>
                <w:ilvl w:val="0"/>
                <w:numId w:val="21"/>
              </w:numPr>
              <w:spacing w:before="120"/>
              <w:jc w:val="both"/>
              <w:rPr>
                <w:rFonts w:eastAsia="MS Mincho" w:cs="Times New Roman"/>
                <w:bCs/>
                <w:noProof/>
                <w:szCs w:val="32"/>
              </w:rPr>
            </w:pPr>
            <w:r>
              <w:rPr>
                <w:rFonts w:eastAsia="MS Mincho" w:cs="Times New Roman"/>
                <w:bCs/>
                <w:noProof/>
                <w:szCs w:val="32"/>
              </w:rPr>
              <w:t>Date of purchase</w:t>
            </w:r>
          </w:p>
          <w:p w:rsidR="003D246C" w:rsidRDefault="003D246C" w:rsidP="003D246C">
            <w:pPr>
              <w:pStyle w:val="ListParagraph"/>
              <w:numPr>
                <w:ilvl w:val="0"/>
                <w:numId w:val="21"/>
              </w:numPr>
              <w:spacing w:before="120"/>
              <w:jc w:val="both"/>
              <w:rPr>
                <w:rFonts w:eastAsia="MS Mincho" w:cs="Times New Roman"/>
                <w:bCs/>
                <w:noProof/>
                <w:szCs w:val="32"/>
              </w:rPr>
            </w:pPr>
            <w:r>
              <w:rPr>
                <w:rFonts w:eastAsia="MS Mincho" w:cs="Times New Roman"/>
                <w:bCs/>
                <w:noProof/>
                <w:szCs w:val="32"/>
              </w:rPr>
              <w:t>Average price, price type</w:t>
            </w:r>
          </w:p>
          <w:p w:rsidR="003D246C" w:rsidRDefault="003D246C" w:rsidP="003D246C">
            <w:pPr>
              <w:pStyle w:val="ListParagraph"/>
              <w:numPr>
                <w:ilvl w:val="0"/>
                <w:numId w:val="21"/>
              </w:numPr>
              <w:spacing w:before="120"/>
              <w:jc w:val="both"/>
              <w:rPr>
                <w:rFonts w:eastAsia="MS Mincho" w:cs="Times New Roman"/>
                <w:bCs/>
                <w:noProof/>
                <w:szCs w:val="32"/>
              </w:rPr>
            </w:pPr>
            <w:r>
              <w:rPr>
                <w:rFonts w:eastAsia="MS Mincho" w:cs="Times New Roman"/>
                <w:bCs/>
                <w:noProof/>
                <w:szCs w:val="32"/>
              </w:rPr>
              <w:t>Recipient name</w:t>
            </w:r>
          </w:p>
          <w:p w:rsidR="003D246C" w:rsidRDefault="003D246C" w:rsidP="003D246C">
            <w:pPr>
              <w:pStyle w:val="ListParagraph"/>
              <w:numPr>
                <w:ilvl w:val="0"/>
                <w:numId w:val="21"/>
              </w:numPr>
              <w:spacing w:before="120"/>
              <w:jc w:val="both"/>
              <w:rPr>
                <w:rFonts w:eastAsia="MS Mincho" w:cs="Times New Roman"/>
                <w:bCs/>
                <w:noProof/>
                <w:szCs w:val="32"/>
              </w:rPr>
            </w:pPr>
            <w:r>
              <w:rPr>
                <w:rFonts w:eastAsia="MS Mincho" w:cs="Times New Roman"/>
                <w:bCs/>
                <w:noProof/>
                <w:szCs w:val="32"/>
              </w:rPr>
              <w:t>Account structure</w:t>
            </w:r>
          </w:p>
          <w:p w:rsidR="003D246C" w:rsidRDefault="003D246C" w:rsidP="003D246C">
            <w:pPr>
              <w:pStyle w:val="ListParagraph"/>
              <w:numPr>
                <w:ilvl w:val="0"/>
                <w:numId w:val="21"/>
              </w:numPr>
              <w:spacing w:before="120"/>
              <w:jc w:val="both"/>
              <w:rPr>
                <w:rFonts w:eastAsia="MS Mincho" w:cs="Times New Roman"/>
                <w:bCs/>
                <w:noProof/>
                <w:szCs w:val="32"/>
              </w:rPr>
            </w:pPr>
            <w:r>
              <w:rPr>
                <w:rFonts w:eastAsia="MS Mincho" w:cs="Times New Roman"/>
                <w:bCs/>
                <w:noProof/>
                <w:szCs w:val="32"/>
              </w:rPr>
              <w:t>Complementary comment when appropriate</w:t>
            </w:r>
          </w:p>
          <w:p w:rsidR="003D246C" w:rsidRPr="00D91E87" w:rsidRDefault="00D91E87" w:rsidP="003D246C">
            <w:pPr>
              <w:spacing w:before="120"/>
              <w:jc w:val="both"/>
              <w:rPr>
                <w:rFonts w:eastAsia="MS Mincho" w:cs="Times New Roman"/>
                <w:b/>
                <w:bCs/>
                <w:noProof/>
                <w:szCs w:val="32"/>
                <w:u w:val="single"/>
              </w:rPr>
            </w:pPr>
            <w:r w:rsidRPr="00D91E87">
              <w:rPr>
                <w:rFonts w:eastAsia="MS Mincho" w:cs="Times New Roman"/>
                <w:b/>
                <w:bCs/>
                <w:noProof/>
                <w:szCs w:val="32"/>
                <w:u w:val="single"/>
              </w:rPr>
              <w:t xml:space="preserve">Matching reference </w:t>
            </w:r>
            <w:r w:rsidR="005D47D4">
              <w:rPr>
                <w:rFonts w:eastAsia="MS Mincho" w:cs="Times New Roman"/>
                <w:b/>
                <w:bCs/>
                <w:noProof/>
                <w:szCs w:val="32"/>
                <w:u w:val="single"/>
              </w:rPr>
              <w:t xml:space="preserve">with </w:t>
            </w:r>
            <w:r w:rsidRPr="00D91E87">
              <w:rPr>
                <w:rFonts w:eastAsia="MS Mincho" w:cs="Times New Roman"/>
                <w:b/>
                <w:bCs/>
                <w:noProof/>
                <w:szCs w:val="32"/>
                <w:u w:val="single"/>
              </w:rPr>
              <w:t>the BRN</w:t>
            </w:r>
          </w:p>
          <w:p w:rsidR="007879D1" w:rsidRDefault="005D47D4" w:rsidP="007879D1">
            <w:pPr>
              <w:spacing w:before="120"/>
              <w:jc w:val="both"/>
              <w:rPr>
                <w:rFonts w:eastAsia="MS Mincho" w:cs="Times New Roman"/>
                <w:bCs/>
                <w:noProof/>
                <w:szCs w:val="32"/>
              </w:rPr>
            </w:pPr>
            <w:r>
              <w:rPr>
                <w:rFonts w:eastAsia="MS Mincho" w:cs="Times New Roman"/>
                <w:bCs/>
                <w:noProof/>
                <w:szCs w:val="32"/>
              </w:rPr>
              <w:t>The matching reference with the BRN must b</w:t>
            </w:r>
            <w:r w:rsidR="00926B03">
              <w:rPr>
                <w:rFonts w:eastAsia="MS Mincho" w:cs="Times New Roman"/>
                <w:bCs/>
                <w:noProof/>
                <w:szCs w:val="32"/>
              </w:rPr>
              <w:t>e filled in the instructions acc</w:t>
            </w:r>
            <w:r>
              <w:rPr>
                <w:rFonts w:eastAsia="MS Mincho" w:cs="Times New Roman"/>
                <w:bCs/>
                <w:noProof/>
                <w:szCs w:val="32"/>
              </w:rPr>
              <w:t>ording to the following rules:</w:t>
            </w:r>
          </w:p>
          <w:p w:rsidR="005D47D4" w:rsidRDefault="005D47D4" w:rsidP="007879D1">
            <w:pPr>
              <w:spacing w:before="120"/>
              <w:jc w:val="both"/>
              <w:rPr>
                <w:rFonts w:eastAsia="MS Mincho" w:cs="Times New Roman"/>
                <w:bCs/>
                <w:noProof/>
                <w:szCs w:val="32"/>
              </w:rPr>
            </w:pPr>
          </w:p>
          <w:p w:rsidR="005D47D4" w:rsidRDefault="005D47D4" w:rsidP="007879D1">
            <w:pPr>
              <w:spacing w:before="120"/>
              <w:jc w:val="both"/>
              <w:rPr>
                <w:rFonts w:eastAsia="MS Mincho" w:cs="Times New Roman"/>
                <w:bCs/>
                <w:noProof/>
                <w:szCs w:val="32"/>
              </w:rPr>
            </w:pPr>
          </w:p>
          <w:p w:rsidR="005D47D4" w:rsidRDefault="005D47D4" w:rsidP="007879D1">
            <w:pPr>
              <w:spacing w:before="120"/>
              <w:jc w:val="both"/>
              <w:rPr>
                <w:rFonts w:eastAsia="MS Mincho" w:cs="Times New Roman"/>
                <w:bCs/>
                <w:noProof/>
                <w:szCs w:val="32"/>
              </w:rPr>
            </w:pPr>
          </w:p>
          <w:tbl>
            <w:tblPr>
              <w:tblStyle w:val="TableGrid"/>
              <w:tblW w:w="6925" w:type="dxa"/>
              <w:tblLook w:val="04A0" w:firstRow="1" w:lastRow="0" w:firstColumn="1" w:lastColumn="0" w:noHBand="0" w:noVBand="1"/>
            </w:tblPr>
            <w:tblGrid>
              <w:gridCol w:w="1057"/>
              <w:gridCol w:w="868"/>
              <w:gridCol w:w="3686"/>
              <w:gridCol w:w="1374"/>
            </w:tblGrid>
            <w:tr w:rsidR="005D47D4" w:rsidRPr="00CA3515" w:rsidTr="00437494">
              <w:trPr>
                <w:trHeight w:val="193"/>
              </w:trPr>
              <w:tc>
                <w:tcPr>
                  <w:tcW w:w="994" w:type="dxa"/>
                  <w:shd w:val="clear" w:color="auto" w:fill="BFBFBF" w:themeFill="background1" w:themeFillShade="BF"/>
                  <w:vAlign w:val="center"/>
                </w:tcPr>
                <w:p w:rsidR="005D47D4" w:rsidRPr="00926B03" w:rsidRDefault="005D47D4" w:rsidP="00437494">
                  <w:pPr>
                    <w:jc w:val="center"/>
                    <w:rPr>
                      <w:rFonts w:eastAsia="MS Mincho" w:cstheme="minorHAnsi"/>
                      <w:noProof/>
                      <w:sz w:val="16"/>
                      <w:szCs w:val="16"/>
                    </w:rPr>
                  </w:pPr>
                </w:p>
              </w:tc>
              <w:tc>
                <w:tcPr>
                  <w:tcW w:w="978" w:type="dxa"/>
                  <w:shd w:val="clear" w:color="auto" w:fill="BFBFBF" w:themeFill="background1" w:themeFillShade="BF"/>
                  <w:vAlign w:val="center"/>
                </w:tcPr>
                <w:p w:rsidR="005D47D4" w:rsidRPr="0050662A" w:rsidRDefault="005D47D4" w:rsidP="00437494">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525" w:type="dxa"/>
                  <w:shd w:val="clear" w:color="auto" w:fill="BFBFBF" w:themeFill="background1" w:themeFillShade="BF"/>
                  <w:vAlign w:val="center"/>
                </w:tcPr>
                <w:p w:rsidR="005D47D4" w:rsidRPr="0050662A" w:rsidRDefault="005D47D4" w:rsidP="00437494">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428" w:type="dxa"/>
                  <w:shd w:val="clear" w:color="auto" w:fill="BFBFBF" w:themeFill="background1" w:themeFillShade="BF"/>
                  <w:vAlign w:val="center"/>
                </w:tcPr>
                <w:p w:rsidR="005D47D4" w:rsidRPr="0050662A" w:rsidRDefault="005D47D4" w:rsidP="00437494">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5D47D4" w:rsidRPr="00CA3515" w:rsidTr="00437494">
              <w:trPr>
                <w:trHeight w:val="178"/>
              </w:trPr>
              <w:tc>
                <w:tcPr>
                  <w:tcW w:w="994" w:type="dxa"/>
                  <w:vMerge w:val="restart"/>
                  <w:shd w:val="clear" w:color="auto" w:fill="BFBFBF" w:themeFill="background1" w:themeFillShade="BF"/>
                  <w:vAlign w:val="center"/>
                </w:tcPr>
                <w:p w:rsidR="005D47D4" w:rsidRPr="0050662A" w:rsidRDefault="005D47D4" w:rsidP="00437494">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978" w:type="dxa"/>
                  <w:vAlign w:val="center"/>
                </w:tcPr>
                <w:p w:rsidR="005D47D4" w:rsidRPr="0050662A" w:rsidRDefault="005D47D4" w:rsidP="00437494">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525" w:type="dxa"/>
                  <w:vAlign w:val="center"/>
                </w:tcPr>
                <w:p w:rsidR="005D47D4" w:rsidRPr="0050662A" w:rsidRDefault="005D47D4" w:rsidP="00437494">
                  <w:pPr>
                    <w:jc w:val="center"/>
                    <w:rPr>
                      <w:rFonts w:eastAsia="MS Mincho" w:cstheme="minorHAnsi"/>
                      <w:noProof/>
                      <w:sz w:val="16"/>
                      <w:szCs w:val="16"/>
                      <w:lang w:val="fr-FR"/>
                    </w:rPr>
                  </w:pPr>
                  <w:r>
                    <w:rPr>
                      <w:rFonts w:eastAsia="MS Mincho" w:cstheme="minorHAnsi"/>
                      <w:noProof/>
                      <w:sz w:val="16"/>
                      <w:szCs w:val="16"/>
                      <w:lang w:val="fr-FR"/>
                    </w:rPr>
                    <w:t>Sese.023</w:t>
                  </w:r>
                </w:p>
              </w:tc>
              <w:tc>
                <w:tcPr>
                  <w:tcW w:w="1428" w:type="dxa"/>
                  <w:vMerge w:val="restart"/>
                  <w:vAlign w:val="center"/>
                </w:tcPr>
                <w:p w:rsidR="005D47D4" w:rsidRPr="0050662A" w:rsidRDefault="005D47D4" w:rsidP="00437494">
                  <w:pPr>
                    <w:jc w:val="center"/>
                    <w:rPr>
                      <w:rFonts w:eastAsia="MS Mincho" w:cstheme="minorHAnsi"/>
                      <w:noProof/>
                      <w:sz w:val="16"/>
                      <w:szCs w:val="16"/>
                      <w:lang w:val="fr-FR"/>
                    </w:rPr>
                  </w:pPr>
                  <w:r w:rsidRPr="00CA3515">
                    <w:rPr>
                      <w:rFonts w:eastAsia="MS Mincho" w:cstheme="minorHAnsi"/>
                      <w:noProof/>
                      <w:sz w:val="16"/>
                      <w:szCs w:val="16"/>
                      <w:lang w:val="fr-FR"/>
                    </w:rPr>
                    <w:t>Processing I</w:t>
                  </w:r>
                  <w:r>
                    <w:rPr>
                      <w:rFonts w:eastAsia="MS Mincho" w:cstheme="minorHAnsi"/>
                      <w:noProof/>
                      <w:sz w:val="16"/>
                      <w:szCs w:val="16"/>
                      <w:lang w:val="fr-FR"/>
                    </w:rPr>
                    <w:t>dentification</w:t>
                  </w:r>
                </w:p>
              </w:tc>
            </w:tr>
            <w:tr w:rsidR="005D47D4" w:rsidRPr="00F023EB" w:rsidTr="00437494">
              <w:trPr>
                <w:trHeight w:val="983"/>
              </w:trPr>
              <w:tc>
                <w:tcPr>
                  <w:tcW w:w="994" w:type="dxa"/>
                  <w:vMerge/>
                  <w:shd w:val="clear" w:color="auto" w:fill="BFBFBF" w:themeFill="background1" w:themeFillShade="BF"/>
                  <w:vAlign w:val="center"/>
                </w:tcPr>
                <w:p w:rsidR="005D47D4" w:rsidRPr="0050662A" w:rsidRDefault="005D47D4" w:rsidP="00437494">
                  <w:pPr>
                    <w:jc w:val="center"/>
                    <w:rPr>
                      <w:rFonts w:eastAsia="MS Mincho" w:cstheme="minorHAnsi"/>
                      <w:noProof/>
                      <w:sz w:val="16"/>
                      <w:szCs w:val="16"/>
                      <w:lang w:val="fr-FR"/>
                    </w:rPr>
                  </w:pPr>
                </w:p>
              </w:tc>
              <w:tc>
                <w:tcPr>
                  <w:tcW w:w="978" w:type="dxa"/>
                  <w:vAlign w:val="center"/>
                </w:tcPr>
                <w:p w:rsidR="005D47D4" w:rsidRPr="005D47D4" w:rsidRDefault="005D47D4" w:rsidP="005D47D4">
                  <w:pPr>
                    <w:jc w:val="center"/>
                    <w:rPr>
                      <w:rFonts w:eastAsia="MS Mincho" w:cstheme="minorHAnsi"/>
                      <w:noProof/>
                      <w:sz w:val="16"/>
                      <w:szCs w:val="16"/>
                    </w:rPr>
                  </w:pPr>
                  <w:r w:rsidRPr="005D47D4">
                    <w:rPr>
                      <w:rFonts w:eastAsia="MS Mincho" w:cstheme="minorHAnsi"/>
                      <w:noProof/>
                      <w:sz w:val="16"/>
                      <w:szCs w:val="16"/>
                    </w:rPr>
                    <w:t xml:space="preserve">20C:PROC of blocks DEAG </w:t>
                  </w:r>
                  <w:r>
                    <w:rPr>
                      <w:rFonts w:eastAsia="MS Mincho" w:cstheme="minorHAnsi"/>
                      <w:noProof/>
                      <w:sz w:val="16"/>
                      <w:szCs w:val="16"/>
                    </w:rPr>
                    <w:t>and</w:t>
                  </w:r>
                  <w:r w:rsidRPr="005D47D4">
                    <w:rPr>
                      <w:rFonts w:eastAsia="MS Mincho" w:cstheme="minorHAnsi"/>
                      <w:noProof/>
                      <w:sz w:val="16"/>
                      <w:szCs w:val="16"/>
                    </w:rPr>
                    <w:t xml:space="preserve"> REAG</w:t>
                  </w:r>
                </w:p>
              </w:tc>
              <w:tc>
                <w:tcPr>
                  <w:tcW w:w="3525" w:type="dxa"/>
                  <w:vAlign w:val="center"/>
                </w:tcPr>
                <w:p w:rsidR="005D47D4" w:rsidRPr="00926B03" w:rsidRDefault="005D47D4" w:rsidP="00437494">
                  <w:pPr>
                    <w:jc w:val="center"/>
                    <w:rPr>
                      <w:rFonts w:eastAsia="MS Mincho" w:cstheme="minorHAnsi"/>
                      <w:noProof/>
                      <w:sz w:val="16"/>
                      <w:szCs w:val="16"/>
                    </w:rPr>
                  </w:pPr>
                  <w:r w:rsidRPr="00926B03">
                    <w:rPr>
                      <w:rFonts w:eastAsia="MS Mincho" w:cstheme="minorHAnsi"/>
                      <w:noProof/>
                      <w:sz w:val="16"/>
                      <w:szCs w:val="16"/>
                    </w:rPr>
                    <w:t>SctiesSttlmTxInstr\DlvrgSttlmPties\Pty1\PrcgId</w:t>
                  </w:r>
                </w:p>
                <w:p w:rsidR="005D47D4" w:rsidRPr="00926B03" w:rsidRDefault="005D47D4" w:rsidP="00437494">
                  <w:pPr>
                    <w:jc w:val="center"/>
                    <w:rPr>
                      <w:rFonts w:eastAsia="MS Mincho" w:cstheme="minorHAnsi"/>
                      <w:noProof/>
                      <w:sz w:val="16"/>
                      <w:szCs w:val="16"/>
                    </w:rPr>
                  </w:pPr>
                  <w:r w:rsidRPr="00926B03">
                    <w:rPr>
                      <w:rFonts w:eastAsia="MS Mincho" w:cstheme="minorHAnsi"/>
                      <w:noProof/>
                      <w:sz w:val="16"/>
                      <w:szCs w:val="16"/>
                    </w:rPr>
                    <w:t>Et</w:t>
                  </w:r>
                </w:p>
                <w:p w:rsidR="005D47D4" w:rsidRPr="00926B03" w:rsidRDefault="005D47D4" w:rsidP="00437494">
                  <w:pPr>
                    <w:jc w:val="center"/>
                    <w:rPr>
                      <w:rFonts w:eastAsia="MS Mincho" w:cstheme="minorHAnsi"/>
                      <w:noProof/>
                      <w:sz w:val="16"/>
                      <w:szCs w:val="16"/>
                    </w:rPr>
                  </w:pPr>
                  <w:r w:rsidRPr="00926B03">
                    <w:rPr>
                      <w:rFonts w:eastAsia="MS Mincho" w:cstheme="minorHAnsi"/>
                      <w:noProof/>
                      <w:sz w:val="16"/>
                      <w:szCs w:val="16"/>
                    </w:rPr>
                    <w:t>SctiesSttlmTxInstr\RcvgSttlmPties\Pty1\PrcgId</w:t>
                  </w:r>
                </w:p>
              </w:tc>
              <w:tc>
                <w:tcPr>
                  <w:tcW w:w="1428" w:type="dxa"/>
                  <w:vMerge/>
                  <w:vAlign w:val="center"/>
                </w:tcPr>
                <w:p w:rsidR="005D47D4" w:rsidRPr="00926B03" w:rsidRDefault="005D47D4" w:rsidP="00437494">
                  <w:pPr>
                    <w:jc w:val="center"/>
                    <w:rPr>
                      <w:rFonts w:eastAsia="MS Mincho" w:cstheme="minorHAnsi"/>
                      <w:noProof/>
                      <w:sz w:val="16"/>
                      <w:szCs w:val="16"/>
                    </w:rPr>
                  </w:pPr>
                </w:p>
              </w:tc>
            </w:tr>
            <w:tr w:rsidR="005D47D4" w:rsidRPr="00F65217" w:rsidTr="00437494">
              <w:trPr>
                <w:trHeight w:val="193"/>
              </w:trPr>
              <w:tc>
                <w:tcPr>
                  <w:tcW w:w="994" w:type="dxa"/>
                  <w:vMerge w:val="restart"/>
                  <w:shd w:val="clear" w:color="auto" w:fill="BFBFBF" w:themeFill="background1" w:themeFillShade="BF"/>
                  <w:vAlign w:val="center"/>
                </w:tcPr>
                <w:p w:rsidR="005D47D4" w:rsidRPr="0050662A" w:rsidRDefault="005D47D4" w:rsidP="005D47D4">
                  <w:pPr>
                    <w:jc w:val="center"/>
                    <w:rPr>
                      <w:rFonts w:eastAsia="MS Mincho" w:cstheme="minorHAnsi"/>
                      <w:noProof/>
                      <w:sz w:val="16"/>
                      <w:szCs w:val="16"/>
                      <w:lang w:val="fr-FR"/>
                    </w:rPr>
                  </w:pPr>
                  <w:r>
                    <w:rPr>
                      <w:rFonts w:eastAsia="MS Mincho" w:cstheme="minorHAnsi"/>
                      <w:noProof/>
                      <w:sz w:val="16"/>
                      <w:szCs w:val="16"/>
                      <w:lang w:val="fr-FR"/>
                    </w:rPr>
                    <w:t>Settlement confirmation</w:t>
                  </w:r>
                </w:p>
              </w:tc>
              <w:tc>
                <w:tcPr>
                  <w:tcW w:w="978" w:type="dxa"/>
                  <w:vAlign w:val="center"/>
                </w:tcPr>
                <w:p w:rsidR="005D47D4" w:rsidRPr="0050662A" w:rsidRDefault="005D47D4" w:rsidP="00437494">
                  <w:pPr>
                    <w:jc w:val="center"/>
                    <w:rPr>
                      <w:rFonts w:eastAsia="MS Mincho" w:cstheme="minorHAnsi"/>
                      <w:noProof/>
                      <w:sz w:val="16"/>
                      <w:szCs w:val="16"/>
                      <w:lang w:val="fr-FR"/>
                    </w:rPr>
                  </w:pPr>
                  <w:r>
                    <w:rPr>
                      <w:rFonts w:eastAsia="MS Mincho" w:cstheme="minorHAnsi"/>
                      <w:noProof/>
                      <w:sz w:val="16"/>
                      <w:szCs w:val="16"/>
                      <w:lang w:val="fr-FR"/>
                    </w:rPr>
                    <w:t>MT 54x</w:t>
                  </w:r>
                </w:p>
              </w:tc>
              <w:tc>
                <w:tcPr>
                  <w:tcW w:w="3525" w:type="dxa"/>
                  <w:vAlign w:val="center"/>
                </w:tcPr>
                <w:p w:rsidR="005D47D4" w:rsidRPr="0050662A" w:rsidRDefault="005D47D4" w:rsidP="00437494">
                  <w:pPr>
                    <w:jc w:val="center"/>
                    <w:rPr>
                      <w:rFonts w:eastAsia="MS Mincho" w:cstheme="minorHAnsi"/>
                      <w:noProof/>
                      <w:sz w:val="16"/>
                      <w:szCs w:val="16"/>
                      <w:lang w:val="fr-FR"/>
                    </w:rPr>
                  </w:pPr>
                  <w:r>
                    <w:rPr>
                      <w:rFonts w:eastAsia="MS Mincho" w:cstheme="minorHAnsi"/>
                      <w:noProof/>
                      <w:sz w:val="16"/>
                      <w:szCs w:val="16"/>
                      <w:lang w:val="fr-FR"/>
                    </w:rPr>
                    <w:t>Sese.025</w:t>
                  </w:r>
                </w:p>
              </w:tc>
              <w:tc>
                <w:tcPr>
                  <w:tcW w:w="1428" w:type="dxa"/>
                  <w:vMerge w:val="restart"/>
                  <w:vAlign w:val="center"/>
                </w:tcPr>
                <w:p w:rsidR="005D47D4" w:rsidRPr="0050662A" w:rsidRDefault="005D47D4" w:rsidP="00437494">
                  <w:pPr>
                    <w:jc w:val="center"/>
                    <w:rPr>
                      <w:rFonts w:eastAsia="MS Mincho" w:cstheme="minorHAnsi"/>
                      <w:noProof/>
                      <w:sz w:val="16"/>
                      <w:szCs w:val="16"/>
                      <w:lang w:val="fr-FR"/>
                    </w:rPr>
                  </w:pPr>
                  <w:r w:rsidRPr="00CA3515">
                    <w:rPr>
                      <w:rFonts w:eastAsia="MS Mincho" w:cstheme="minorHAnsi"/>
                      <w:noProof/>
                      <w:sz w:val="16"/>
                      <w:szCs w:val="16"/>
                      <w:lang w:val="fr-FR"/>
                    </w:rPr>
                    <w:t>Processing I</w:t>
                  </w:r>
                  <w:r>
                    <w:rPr>
                      <w:rFonts w:eastAsia="MS Mincho" w:cstheme="minorHAnsi"/>
                      <w:noProof/>
                      <w:sz w:val="16"/>
                      <w:szCs w:val="16"/>
                      <w:lang w:val="fr-FR"/>
                    </w:rPr>
                    <w:t>dentification</w:t>
                  </w:r>
                </w:p>
              </w:tc>
            </w:tr>
            <w:tr w:rsidR="005D47D4" w:rsidRPr="00F65217" w:rsidTr="00437494">
              <w:trPr>
                <w:trHeight w:val="968"/>
              </w:trPr>
              <w:tc>
                <w:tcPr>
                  <w:tcW w:w="994" w:type="dxa"/>
                  <w:vMerge/>
                  <w:shd w:val="clear" w:color="auto" w:fill="BFBFBF" w:themeFill="background1" w:themeFillShade="BF"/>
                  <w:vAlign w:val="center"/>
                </w:tcPr>
                <w:p w:rsidR="005D47D4" w:rsidRPr="0050662A" w:rsidRDefault="005D47D4" w:rsidP="00437494">
                  <w:pPr>
                    <w:jc w:val="center"/>
                    <w:rPr>
                      <w:rFonts w:eastAsia="MS Mincho" w:cstheme="minorHAnsi"/>
                      <w:noProof/>
                      <w:sz w:val="16"/>
                      <w:szCs w:val="16"/>
                      <w:lang w:val="fr-FR"/>
                    </w:rPr>
                  </w:pPr>
                </w:p>
              </w:tc>
              <w:tc>
                <w:tcPr>
                  <w:tcW w:w="978" w:type="dxa"/>
                  <w:vAlign w:val="center"/>
                </w:tcPr>
                <w:p w:rsidR="005D47D4" w:rsidRPr="005D47D4" w:rsidRDefault="005D47D4" w:rsidP="00437494">
                  <w:pPr>
                    <w:jc w:val="center"/>
                    <w:rPr>
                      <w:rFonts w:eastAsia="MS Mincho" w:cstheme="minorHAnsi"/>
                      <w:noProof/>
                      <w:sz w:val="16"/>
                      <w:szCs w:val="16"/>
                    </w:rPr>
                  </w:pPr>
                  <w:r w:rsidRPr="005D47D4">
                    <w:rPr>
                      <w:rFonts w:eastAsia="MS Mincho" w:cstheme="minorHAnsi"/>
                      <w:noProof/>
                      <w:sz w:val="16"/>
                      <w:szCs w:val="16"/>
                    </w:rPr>
                    <w:t xml:space="preserve">20C:PROC of blocks DEAG </w:t>
                  </w:r>
                  <w:r>
                    <w:rPr>
                      <w:rFonts w:eastAsia="MS Mincho" w:cstheme="minorHAnsi"/>
                      <w:noProof/>
                      <w:sz w:val="16"/>
                      <w:szCs w:val="16"/>
                    </w:rPr>
                    <w:t>and</w:t>
                  </w:r>
                  <w:r w:rsidRPr="005D47D4">
                    <w:rPr>
                      <w:rFonts w:eastAsia="MS Mincho" w:cstheme="minorHAnsi"/>
                      <w:noProof/>
                      <w:sz w:val="16"/>
                      <w:szCs w:val="16"/>
                    </w:rPr>
                    <w:t xml:space="preserve"> REAG</w:t>
                  </w:r>
                </w:p>
              </w:tc>
              <w:tc>
                <w:tcPr>
                  <w:tcW w:w="3525" w:type="dxa"/>
                  <w:vAlign w:val="center"/>
                </w:tcPr>
                <w:p w:rsidR="005D47D4" w:rsidRPr="0050662A" w:rsidRDefault="005D47D4" w:rsidP="00437494">
                  <w:pPr>
                    <w:jc w:val="center"/>
                    <w:rPr>
                      <w:rFonts w:eastAsia="MS Mincho" w:cstheme="minorHAnsi"/>
                      <w:noProof/>
                      <w:sz w:val="16"/>
                      <w:szCs w:val="16"/>
                      <w:lang w:val="fr-FR"/>
                    </w:rPr>
                  </w:pPr>
                  <w:r w:rsidRPr="00CA3515">
                    <w:rPr>
                      <w:rFonts w:eastAsia="MS Mincho" w:cstheme="minorHAnsi"/>
                      <w:noProof/>
                      <w:sz w:val="16"/>
                      <w:szCs w:val="16"/>
                      <w:lang w:val="fr-FR"/>
                    </w:rPr>
                    <w:t>Document\SctiesSttlmTxConf\TxIdDtls\AcctOwnrTxId</w:t>
                  </w:r>
                </w:p>
              </w:tc>
              <w:tc>
                <w:tcPr>
                  <w:tcW w:w="1428" w:type="dxa"/>
                  <w:vMerge/>
                  <w:vAlign w:val="center"/>
                </w:tcPr>
                <w:p w:rsidR="005D47D4" w:rsidRPr="0050662A" w:rsidRDefault="005D47D4" w:rsidP="00437494">
                  <w:pPr>
                    <w:jc w:val="center"/>
                    <w:rPr>
                      <w:rFonts w:eastAsia="MS Mincho" w:cstheme="minorHAnsi"/>
                      <w:noProof/>
                      <w:sz w:val="16"/>
                      <w:szCs w:val="16"/>
                      <w:lang w:val="fr-FR"/>
                    </w:rPr>
                  </w:pPr>
                </w:p>
              </w:tc>
            </w:tr>
          </w:tbl>
          <w:p w:rsidR="005D47D4" w:rsidRDefault="005D47D4" w:rsidP="007879D1">
            <w:pPr>
              <w:spacing w:before="120"/>
              <w:jc w:val="both"/>
              <w:rPr>
                <w:rFonts w:eastAsia="MS Mincho" w:cs="Times New Roman"/>
                <w:bCs/>
                <w:noProof/>
                <w:szCs w:val="32"/>
              </w:rPr>
            </w:pPr>
          </w:p>
          <w:p w:rsidR="005D47D4" w:rsidRPr="007879D1" w:rsidRDefault="005D47D4" w:rsidP="007879D1">
            <w:pPr>
              <w:spacing w:before="120"/>
              <w:jc w:val="both"/>
              <w:rPr>
                <w:rFonts w:eastAsia="MS Mincho" w:cs="Times New Roman"/>
                <w:bCs/>
                <w:noProof/>
                <w:szCs w:val="32"/>
              </w:rPr>
            </w:pPr>
          </w:p>
        </w:tc>
      </w:tr>
      <w:tr w:rsidR="0081511D" w:rsidRPr="008D0CDE" w:rsidTr="0081511D">
        <w:tc>
          <w:tcPr>
            <w:tcW w:w="2093" w:type="dxa"/>
            <w:tcBorders>
              <w:left w:val="nil"/>
              <w:right w:val="nil"/>
            </w:tcBorders>
            <w:shd w:val="clear" w:color="auto" w:fill="auto"/>
          </w:tcPr>
          <w:p w:rsidR="0081511D" w:rsidRPr="008D0CDE"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8D0CDE" w:rsidRDefault="0081511D" w:rsidP="006542ED">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0E651B">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0E651B">
            <w:pPr>
              <w:rPr>
                <w:rFonts w:eastAsia="MS Mincho" w:cs="Times New Roman"/>
                <w:b/>
                <w:noProof/>
                <w:szCs w:val="32"/>
              </w:rPr>
            </w:pPr>
            <w:r w:rsidRPr="00F370B0">
              <w:rPr>
                <w:rFonts w:eastAsia="MS Mincho" w:cs="Times New Roman"/>
                <w:b/>
                <w:noProof/>
                <w:szCs w:val="32"/>
              </w:rPr>
              <w:t>Workflows</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bl>
    <w:p w:rsidR="00363E89" w:rsidRPr="00F370B0" w:rsidRDefault="00363E89" w:rsidP="001E0D83">
      <w:pPr>
        <w:spacing w:after="0" w:line="240" w:lineRule="auto"/>
        <w:rPr>
          <w:rFonts w:eastAsia="MS Mincho" w:cs="Times New Roman"/>
          <w:noProof/>
          <w:szCs w:val="32"/>
        </w:rPr>
      </w:pPr>
    </w:p>
    <w:p w:rsidR="0085743B" w:rsidRPr="00F370B0" w:rsidRDefault="0085743B">
      <w:pPr>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B3406E" w:rsidRPr="00B3406E" w:rsidTr="000E651B">
        <w:trPr>
          <w:trHeight w:val="338"/>
        </w:trPr>
        <w:tc>
          <w:tcPr>
            <w:tcW w:w="2302" w:type="dxa"/>
            <w:vMerge w:val="restart"/>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0E651B">
            <w:pPr>
              <w:rPr>
                <w:rFonts w:eastAsia="MS Mincho" w:cs="Times New Roman"/>
                <w:b/>
                <w:noProof/>
                <w:szCs w:val="32"/>
              </w:rPr>
            </w:pPr>
          </w:p>
        </w:tc>
        <w:tc>
          <w:tcPr>
            <w:tcW w:w="2438" w:type="dxa"/>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tcBorders>
              <w:bottom w:val="single" w:sz="4" w:space="0" w:color="auto"/>
            </w:tcBorders>
          </w:tcPr>
          <w:p w:rsidR="00140482" w:rsidRDefault="001F21F9"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1E0D83">
      <w:pPr>
        <w:spacing w:after="0" w:line="240" w:lineRule="auto"/>
        <w:rPr>
          <w:rFonts w:eastAsia="MS Mincho" w:cs="Times New Roman"/>
          <w:noProof/>
          <w:szCs w:val="32"/>
          <w:lang w:val="fr-FR"/>
        </w:rPr>
      </w:pPr>
      <w:bookmarkStart w:id="0" w:name="_GoBack"/>
      <w:bookmarkEnd w:id="0"/>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4DA" w:rsidRDefault="003C14DA" w:rsidP="006D6846">
      <w:pPr>
        <w:spacing w:after="0" w:line="240" w:lineRule="auto"/>
      </w:pPr>
      <w:r>
        <w:separator/>
      </w:r>
    </w:p>
  </w:endnote>
  <w:endnote w:type="continuationSeparator" w:id="0">
    <w:p w:rsidR="003C14DA" w:rsidRDefault="003C14DA"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926B03">
          <w:rPr>
            <w:noProof/>
          </w:rPr>
          <w:t>4</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4DA" w:rsidRDefault="003C14DA" w:rsidP="006D6846">
      <w:pPr>
        <w:spacing w:after="0" w:line="240" w:lineRule="auto"/>
      </w:pPr>
      <w:r>
        <w:separator/>
      </w:r>
    </w:p>
  </w:footnote>
  <w:footnote w:type="continuationSeparator" w:id="0">
    <w:p w:rsidR="003C14DA" w:rsidRDefault="003C14DA"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2650CD" w:rsidRPr="005B1C9D" w:rsidRDefault="002650CD" w:rsidP="002650CD">
          <w:pPr>
            <w:pStyle w:val="Header"/>
            <w:jc w:val="center"/>
            <w:rPr>
              <w:b/>
            </w:rPr>
          </w:pPr>
          <w:r w:rsidRPr="005B1C9D">
            <w:rPr>
              <w:b/>
            </w:rPr>
            <w:t>T2S Market Practice Adaptation Workgroup</w:t>
          </w:r>
        </w:p>
        <w:p w:rsidR="00EC776F" w:rsidRPr="002650CD" w:rsidRDefault="002650CD" w:rsidP="002650CD">
          <w:pPr>
            <w:pStyle w:val="Header"/>
            <w:jc w:val="center"/>
            <w:rPr>
              <w:b/>
            </w:rPr>
          </w:pPr>
          <w:r w:rsidRPr="005B1C9D">
            <w:rPr>
              <w:b/>
            </w:rPr>
            <w:t xml:space="preserve">Market Practice </w:t>
          </w:r>
          <w:r>
            <w:rPr>
              <w:b/>
            </w:rPr>
            <w:t>Sheet</w:t>
          </w:r>
        </w:p>
      </w:tc>
      <w:tc>
        <w:tcPr>
          <w:tcW w:w="3798" w:type="dxa"/>
          <w:vAlign w:val="center"/>
        </w:tcPr>
        <w:p w:rsidR="00EC776F" w:rsidRDefault="00EC776F" w:rsidP="00EC776F">
          <w:pPr>
            <w:pStyle w:val="Header"/>
            <w:jc w:val="center"/>
            <w:rPr>
              <w:b/>
              <w:lang w:val="fr-FR"/>
            </w:rPr>
          </w:pPr>
          <w:r>
            <w:rPr>
              <w:noProof/>
            </w:rPr>
            <w:drawing>
              <wp:inline distT="0" distB="0" distL="0" distR="0" wp14:anchorId="3C813FE5" wp14:editId="457D0232">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F1144C">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54pt" o:ole="">
                <v:imagedata r:id="rId2" o:title=""/>
              </v:shape>
              <o:OLEObject Type="Embed" ProgID="PBrush" ShapeID="_x0000_i1025" DrawAspect="Content" ObjectID="_1537267708" r:id="rId3"/>
            </w:object>
          </w:r>
        </w:p>
      </w:tc>
    </w:tr>
    <w:tr w:rsidR="00EC776F" w:rsidRPr="00776CD9" w:rsidTr="00EC776F">
      <w:tc>
        <w:tcPr>
          <w:tcW w:w="5778" w:type="dxa"/>
          <w:vAlign w:val="center"/>
        </w:tcPr>
        <w:p w:rsidR="00EC776F" w:rsidRPr="001B5915" w:rsidRDefault="00B3406E" w:rsidP="00756030">
          <w:pPr>
            <w:pStyle w:val="Header"/>
            <w:rPr>
              <w:i/>
            </w:rPr>
          </w:pPr>
          <w:r>
            <w:rPr>
              <w:i/>
            </w:rPr>
            <w:t>Practice</w:t>
          </w:r>
          <w:r w:rsidRPr="0033411F">
            <w:rPr>
              <w:i/>
            </w:rPr>
            <w:t xml:space="preserve"> reference</w:t>
          </w:r>
          <w:r w:rsidR="00EC776F" w:rsidRPr="00B3406E">
            <w:rPr>
              <w:i/>
            </w:rPr>
            <w:t xml:space="preserve">: </w:t>
          </w:r>
          <w:r w:rsidR="00887FFA" w:rsidRPr="00887FFA">
            <w:rPr>
              <w:i/>
            </w:rPr>
            <w:t>MS-SETTL-FRANCO-03</w:t>
          </w:r>
        </w:p>
      </w:tc>
      <w:tc>
        <w:tcPr>
          <w:tcW w:w="3798" w:type="dxa"/>
          <w:vAlign w:val="center"/>
        </w:tcPr>
        <w:p w:rsidR="00EC776F" w:rsidRPr="00B3406E" w:rsidRDefault="00EC776F" w:rsidP="00EC776F">
          <w:pPr>
            <w:pStyle w:val="Header"/>
            <w:jc w:val="center"/>
            <w:rPr>
              <w:noProof/>
            </w:rPr>
          </w:pPr>
        </w:p>
      </w:tc>
    </w:tr>
  </w:tbl>
  <w:p w:rsidR="00EC776F" w:rsidRPr="00B3406E" w:rsidRDefault="00EC776F">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2F0CF4"/>
    <w:multiLevelType w:val="hybridMultilevel"/>
    <w:tmpl w:val="8AF4518A"/>
    <w:lvl w:ilvl="0" w:tplc="4DB0C7A4">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FF73F6"/>
    <w:multiLevelType w:val="hybridMultilevel"/>
    <w:tmpl w:val="3210E624"/>
    <w:lvl w:ilvl="0" w:tplc="F6FE39A0">
      <w:start w:val="2"/>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EE0E17"/>
    <w:multiLevelType w:val="hybridMultilevel"/>
    <w:tmpl w:val="31BEA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323478"/>
    <w:multiLevelType w:val="hybridMultilevel"/>
    <w:tmpl w:val="73E6B728"/>
    <w:lvl w:ilvl="0" w:tplc="F6FE39A0">
      <w:start w:val="4"/>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F75D84"/>
    <w:multiLevelType w:val="hybridMultilevel"/>
    <w:tmpl w:val="E21AB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7AE76DE"/>
    <w:multiLevelType w:val="hybridMultilevel"/>
    <w:tmpl w:val="C15C7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A178A8"/>
    <w:multiLevelType w:val="hybridMultilevel"/>
    <w:tmpl w:val="1A7A2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ED2FEF"/>
    <w:multiLevelType w:val="hybridMultilevel"/>
    <w:tmpl w:val="19A66FFE"/>
    <w:lvl w:ilvl="0" w:tplc="F6FE39A0">
      <w:start w:val="9"/>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C22D62"/>
    <w:multiLevelType w:val="hybridMultilevel"/>
    <w:tmpl w:val="A57AE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786FCF"/>
    <w:multiLevelType w:val="hybridMultilevel"/>
    <w:tmpl w:val="5F9A174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EA276D"/>
    <w:multiLevelType w:val="hybridMultilevel"/>
    <w:tmpl w:val="2A869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8479E7"/>
    <w:multiLevelType w:val="hybridMultilevel"/>
    <w:tmpl w:val="0BDE89BE"/>
    <w:lvl w:ilvl="0" w:tplc="DA6629F6">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19"/>
  </w:num>
  <w:num w:numId="4">
    <w:abstractNumId w:val="17"/>
  </w:num>
  <w:num w:numId="5">
    <w:abstractNumId w:val="1"/>
  </w:num>
  <w:num w:numId="6">
    <w:abstractNumId w:val="0"/>
  </w:num>
  <w:num w:numId="7">
    <w:abstractNumId w:val="4"/>
  </w:num>
  <w:num w:numId="8">
    <w:abstractNumId w:val="2"/>
  </w:num>
  <w:num w:numId="9">
    <w:abstractNumId w:val="5"/>
  </w:num>
  <w:num w:numId="10">
    <w:abstractNumId w:val="11"/>
  </w:num>
  <w:num w:numId="11">
    <w:abstractNumId w:val="14"/>
  </w:num>
  <w:num w:numId="12">
    <w:abstractNumId w:val="13"/>
  </w:num>
  <w:num w:numId="13">
    <w:abstractNumId w:val="15"/>
  </w:num>
  <w:num w:numId="14">
    <w:abstractNumId w:val="16"/>
  </w:num>
  <w:num w:numId="15">
    <w:abstractNumId w:val="7"/>
  </w:num>
  <w:num w:numId="16">
    <w:abstractNumId w:val="3"/>
  </w:num>
  <w:num w:numId="17">
    <w:abstractNumId w:val="10"/>
  </w:num>
  <w:num w:numId="18">
    <w:abstractNumId w:val="18"/>
  </w:num>
  <w:num w:numId="19">
    <w:abstractNumId w:val="6"/>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33FBF"/>
    <w:rsid w:val="000706A3"/>
    <w:rsid w:val="000A0704"/>
    <w:rsid w:val="000A6C94"/>
    <w:rsid w:val="000B1F19"/>
    <w:rsid w:val="000C1C9B"/>
    <w:rsid w:val="000D6F4D"/>
    <w:rsid w:val="000F3C24"/>
    <w:rsid w:val="00113071"/>
    <w:rsid w:val="00140482"/>
    <w:rsid w:val="00145ADA"/>
    <w:rsid w:val="001522A5"/>
    <w:rsid w:val="00162BBA"/>
    <w:rsid w:val="00183F7A"/>
    <w:rsid w:val="001A26CA"/>
    <w:rsid w:val="001B0416"/>
    <w:rsid w:val="001B1E38"/>
    <w:rsid w:val="001B5915"/>
    <w:rsid w:val="001C4C4C"/>
    <w:rsid w:val="001C7BAF"/>
    <w:rsid w:val="001D7830"/>
    <w:rsid w:val="001E0D83"/>
    <w:rsid w:val="001F21F9"/>
    <w:rsid w:val="00211814"/>
    <w:rsid w:val="00217510"/>
    <w:rsid w:val="002650CD"/>
    <w:rsid w:val="00280082"/>
    <w:rsid w:val="00283DDE"/>
    <w:rsid w:val="0028538B"/>
    <w:rsid w:val="00291B60"/>
    <w:rsid w:val="002E3B75"/>
    <w:rsid w:val="00343829"/>
    <w:rsid w:val="00343B9E"/>
    <w:rsid w:val="00343E9C"/>
    <w:rsid w:val="003631EA"/>
    <w:rsid w:val="00363E89"/>
    <w:rsid w:val="00367A12"/>
    <w:rsid w:val="003929BA"/>
    <w:rsid w:val="003A4E76"/>
    <w:rsid w:val="003B3DA4"/>
    <w:rsid w:val="003C14DA"/>
    <w:rsid w:val="003D246C"/>
    <w:rsid w:val="003D5E9F"/>
    <w:rsid w:val="003D7060"/>
    <w:rsid w:val="003F58F9"/>
    <w:rsid w:val="00443E07"/>
    <w:rsid w:val="004521D0"/>
    <w:rsid w:val="004522E6"/>
    <w:rsid w:val="00464015"/>
    <w:rsid w:val="004818D8"/>
    <w:rsid w:val="00482296"/>
    <w:rsid w:val="004C6FD4"/>
    <w:rsid w:val="004D78AA"/>
    <w:rsid w:val="004F6025"/>
    <w:rsid w:val="004F751F"/>
    <w:rsid w:val="005010F8"/>
    <w:rsid w:val="005061BA"/>
    <w:rsid w:val="0051485E"/>
    <w:rsid w:val="00567B1D"/>
    <w:rsid w:val="00575F36"/>
    <w:rsid w:val="005B7B22"/>
    <w:rsid w:val="005C2ACA"/>
    <w:rsid w:val="005D47D4"/>
    <w:rsid w:val="005E593C"/>
    <w:rsid w:val="00622E8A"/>
    <w:rsid w:val="00625541"/>
    <w:rsid w:val="00652C13"/>
    <w:rsid w:val="00694503"/>
    <w:rsid w:val="0069580E"/>
    <w:rsid w:val="006D6846"/>
    <w:rsid w:val="00701AE2"/>
    <w:rsid w:val="00714CE6"/>
    <w:rsid w:val="00727BF7"/>
    <w:rsid w:val="0074709E"/>
    <w:rsid w:val="00756030"/>
    <w:rsid w:val="00765664"/>
    <w:rsid w:val="00776CD9"/>
    <w:rsid w:val="007879D1"/>
    <w:rsid w:val="007B4D1C"/>
    <w:rsid w:val="007B7B10"/>
    <w:rsid w:val="007C7303"/>
    <w:rsid w:val="007E66DA"/>
    <w:rsid w:val="007F06A7"/>
    <w:rsid w:val="007F6CFC"/>
    <w:rsid w:val="00802269"/>
    <w:rsid w:val="0080446B"/>
    <w:rsid w:val="0081511D"/>
    <w:rsid w:val="008214BC"/>
    <w:rsid w:val="00830B7B"/>
    <w:rsid w:val="00837334"/>
    <w:rsid w:val="00841E84"/>
    <w:rsid w:val="0085743B"/>
    <w:rsid w:val="0086669A"/>
    <w:rsid w:val="008800A4"/>
    <w:rsid w:val="00887FFA"/>
    <w:rsid w:val="00893912"/>
    <w:rsid w:val="008A30A6"/>
    <w:rsid w:val="008B1A1E"/>
    <w:rsid w:val="008C734C"/>
    <w:rsid w:val="008D0CDE"/>
    <w:rsid w:val="009021B9"/>
    <w:rsid w:val="0091257E"/>
    <w:rsid w:val="0092276F"/>
    <w:rsid w:val="00922A8E"/>
    <w:rsid w:val="00922B9C"/>
    <w:rsid w:val="00926B03"/>
    <w:rsid w:val="009310D4"/>
    <w:rsid w:val="00933237"/>
    <w:rsid w:val="009606C4"/>
    <w:rsid w:val="00971207"/>
    <w:rsid w:val="00982218"/>
    <w:rsid w:val="00995F65"/>
    <w:rsid w:val="009978DE"/>
    <w:rsid w:val="009A0B1C"/>
    <w:rsid w:val="009A24A6"/>
    <w:rsid w:val="009A2F1A"/>
    <w:rsid w:val="009A64D1"/>
    <w:rsid w:val="00A03851"/>
    <w:rsid w:val="00A133A7"/>
    <w:rsid w:val="00A20577"/>
    <w:rsid w:val="00A21489"/>
    <w:rsid w:val="00A35AA8"/>
    <w:rsid w:val="00A40ED4"/>
    <w:rsid w:val="00A45A45"/>
    <w:rsid w:val="00A678C0"/>
    <w:rsid w:val="00A746A0"/>
    <w:rsid w:val="00A90EEC"/>
    <w:rsid w:val="00A96A5D"/>
    <w:rsid w:val="00AA1FDB"/>
    <w:rsid w:val="00AA4C70"/>
    <w:rsid w:val="00AA62D7"/>
    <w:rsid w:val="00AB7D90"/>
    <w:rsid w:val="00AC134F"/>
    <w:rsid w:val="00AD57D4"/>
    <w:rsid w:val="00AE20EB"/>
    <w:rsid w:val="00B067D0"/>
    <w:rsid w:val="00B26098"/>
    <w:rsid w:val="00B31057"/>
    <w:rsid w:val="00B3406E"/>
    <w:rsid w:val="00B40E65"/>
    <w:rsid w:val="00B44E11"/>
    <w:rsid w:val="00B457D4"/>
    <w:rsid w:val="00B540C8"/>
    <w:rsid w:val="00B62B1E"/>
    <w:rsid w:val="00B727D8"/>
    <w:rsid w:val="00B9491F"/>
    <w:rsid w:val="00BA66D3"/>
    <w:rsid w:val="00BA6B0A"/>
    <w:rsid w:val="00BB283B"/>
    <w:rsid w:val="00BC7577"/>
    <w:rsid w:val="00BE4C60"/>
    <w:rsid w:val="00C070B0"/>
    <w:rsid w:val="00C1000A"/>
    <w:rsid w:val="00C12FF7"/>
    <w:rsid w:val="00C221EA"/>
    <w:rsid w:val="00C33595"/>
    <w:rsid w:val="00C3423B"/>
    <w:rsid w:val="00C43D15"/>
    <w:rsid w:val="00C57689"/>
    <w:rsid w:val="00C60EC8"/>
    <w:rsid w:val="00C65EB2"/>
    <w:rsid w:val="00C77C0A"/>
    <w:rsid w:val="00CB0F41"/>
    <w:rsid w:val="00CB5DDB"/>
    <w:rsid w:val="00CC7462"/>
    <w:rsid w:val="00CE6DA3"/>
    <w:rsid w:val="00CF605A"/>
    <w:rsid w:val="00D103DA"/>
    <w:rsid w:val="00D12DE8"/>
    <w:rsid w:val="00D252A7"/>
    <w:rsid w:val="00D50DB6"/>
    <w:rsid w:val="00D529B3"/>
    <w:rsid w:val="00D53037"/>
    <w:rsid w:val="00D5515F"/>
    <w:rsid w:val="00D66DD4"/>
    <w:rsid w:val="00D91E87"/>
    <w:rsid w:val="00DB106F"/>
    <w:rsid w:val="00DD071C"/>
    <w:rsid w:val="00E351C1"/>
    <w:rsid w:val="00E35B86"/>
    <w:rsid w:val="00E438E3"/>
    <w:rsid w:val="00E52109"/>
    <w:rsid w:val="00E62EAE"/>
    <w:rsid w:val="00EA5560"/>
    <w:rsid w:val="00EB44AB"/>
    <w:rsid w:val="00EC776F"/>
    <w:rsid w:val="00F00BF4"/>
    <w:rsid w:val="00F1144C"/>
    <w:rsid w:val="00F138F4"/>
    <w:rsid w:val="00F358FF"/>
    <w:rsid w:val="00F35CCA"/>
    <w:rsid w:val="00F370B0"/>
    <w:rsid w:val="00F84B2D"/>
    <w:rsid w:val="00F904C9"/>
    <w:rsid w:val="00FC06B7"/>
    <w:rsid w:val="00FC4F18"/>
    <w:rsid w:val="00FE1975"/>
    <w:rsid w:val="00FF1C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1209</TotalTime>
  <Pages>4</Pages>
  <Words>914</Words>
  <Characters>5216</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47</cp:revision>
  <cp:lastPrinted>2015-10-09T10:36:00Z</cp:lastPrinted>
  <dcterms:created xsi:type="dcterms:W3CDTF">2016-01-07T06:52:00Z</dcterms:created>
  <dcterms:modified xsi:type="dcterms:W3CDTF">2016-10-06T11:59:00Z</dcterms:modified>
</cp:coreProperties>
</file>