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664" w:rsidRDefault="00765664" w:rsidP="006D6846">
      <w:pPr>
        <w:tabs>
          <w:tab w:val="left" w:pos="9356"/>
        </w:tabs>
        <w:ind w:right="-279"/>
        <w:jc w:val="center"/>
        <w:rPr>
          <w:sz w:val="36"/>
          <w:lang w:val="fr-FR"/>
        </w:rPr>
      </w:pPr>
      <w:bookmarkStart w:id="0" w:name="_GoBack"/>
      <w:bookmarkEnd w:id="0"/>
    </w:p>
    <w:p w:rsidR="00575F36" w:rsidRPr="00B3406E" w:rsidRDefault="00CE0FE7" w:rsidP="00AA1FD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000000" w:fill="FFFFFF"/>
        <w:jc w:val="center"/>
        <w:rPr>
          <w:b/>
          <w:noProof/>
          <w:sz w:val="36"/>
        </w:rPr>
      </w:pPr>
      <w:r>
        <w:rPr>
          <w:b/>
          <w:noProof/>
          <w:sz w:val="36"/>
        </w:rPr>
        <w:t>Orders with separate settlement of securities and cash (Funds)</w:t>
      </w:r>
    </w:p>
    <w:p w:rsidR="001B1E38" w:rsidRPr="00B3406E" w:rsidRDefault="001B1E38" w:rsidP="006D6846">
      <w:pPr>
        <w:tabs>
          <w:tab w:val="left" w:pos="9356"/>
        </w:tabs>
        <w:ind w:right="-279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4932"/>
      </w:tblGrid>
      <w:tr w:rsidR="004F6025" w:rsidTr="0091257E">
        <w:tc>
          <w:tcPr>
            <w:tcW w:w="2093" w:type="dxa"/>
            <w:vMerge w:val="restart"/>
            <w:shd w:val="clear" w:color="auto" w:fill="BFBFBF" w:themeFill="background1" w:themeFillShade="BF"/>
          </w:tcPr>
          <w:p w:rsidR="004F6025" w:rsidRPr="004F6025" w:rsidRDefault="004F6025" w:rsidP="006D6846">
            <w:pPr>
              <w:tabs>
                <w:tab w:val="left" w:pos="9356"/>
              </w:tabs>
              <w:ind w:right="-279"/>
              <w:rPr>
                <w:b/>
                <w:lang w:val="fr-FR"/>
              </w:rPr>
            </w:pPr>
            <w:r w:rsidRPr="004F6025">
              <w:rPr>
                <w:b/>
                <w:lang w:val="fr-FR"/>
              </w:rPr>
              <w:t>Versioning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:rsidR="004F6025" w:rsidRDefault="004F6025" w:rsidP="006D6846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Version</w:t>
            </w:r>
          </w:p>
        </w:tc>
        <w:tc>
          <w:tcPr>
            <w:tcW w:w="4932" w:type="dxa"/>
          </w:tcPr>
          <w:p w:rsidR="004F6025" w:rsidRDefault="00CE0FE7" w:rsidP="0043095A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1</w:t>
            </w:r>
            <w:r w:rsidR="00140482">
              <w:rPr>
                <w:lang w:val="fr-FR"/>
              </w:rPr>
              <w:t>.</w:t>
            </w:r>
            <w:r w:rsidR="0043095A">
              <w:rPr>
                <w:lang w:val="fr-FR"/>
              </w:rPr>
              <w:t>1</w:t>
            </w:r>
          </w:p>
        </w:tc>
      </w:tr>
      <w:tr w:rsidR="00B3406E" w:rsidRPr="00AA1FDB" w:rsidTr="0091257E">
        <w:tc>
          <w:tcPr>
            <w:tcW w:w="2093" w:type="dxa"/>
            <w:vMerge/>
            <w:shd w:val="clear" w:color="auto" w:fill="BFBFBF" w:themeFill="background1" w:themeFillShade="BF"/>
          </w:tcPr>
          <w:p w:rsidR="00B3406E" w:rsidRPr="004F6025" w:rsidRDefault="00B3406E" w:rsidP="006D6846">
            <w:pPr>
              <w:tabs>
                <w:tab w:val="left" w:pos="9356"/>
              </w:tabs>
              <w:ind w:right="-279"/>
              <w:rPr>
                <w:b/>
                <w:lang w:val="fr-FR"/>
              </w:rPr>
            </w:pPr>
          </w:p>
        </w:tc>
        <w:tc>
          <w:tcPr>
            <w:tcW w:w="2551" w:type="dxa"/>
            <w:shd w:val="clear" w:color="auto" w:fill="F2F2F2" w:themeFill="background1" w:themeFillShade="F2"/>
          </w:tcPr>
          <w:p w:rsidR="00B3406E" w:rsidRDefault="00B3406E" w:rsidP="000E651B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Publication date</w:t>
            </w:r>
          </w:p>
        </w:tc>
        <w:tc>
          <w:tcPr>
            <w:tcW w:w="4932" w:type="dxa"/>
          </w:tcPr>
          <w:p w:rsidR="00B3406E" w:rsidRDefault="0043095A" w:rsidP="000E651B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November 7th</w:t>
            </w:r>
            <w:r w:rsidR="00B3406E">
              <w:rPr>
                <w:lang w:val="fr-FR"/>
              </w:rPr>
              <w:t>, 2016</w:t>
            </w:r>
          </w:p>
        </w:tc>
      </w:tr>
    </w:tbl>
    <w:p w:rsidR="00B26098" w:rsidRDefault="00B26098" w:rsidP="00B26098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EC776F" w:rsidRDefault="00EC776F" w:rsidP="00B26098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B3406E" w:rsidRPr="000C4CA6" w:rsidRDefault="00B3406E" w:rsidP="00B3406E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</w:rPr>
      </w:pPr>
      <w:r w:rsidRPr="003348A6">
        <w:rPr>
          <w:rFonts w:eastAsia="MS Mincho" w:cs="Times New Roman"/>
          <w:b/>
          <w:caps/>
          <w:noProof/>
          <w:sz w:val="32"/>
          <w:szCs w:val="32"/>
        </w:rPr>
        <w:t>Description of the existing practice &amp; of the Impacts</w:t>
      </w:r>
    </w:p>
    <w:p w:rsidR="0081511D" w:rsidRPr="00B3406E" w:rsidRDefault="0081511D" w:rsidP="00B26098">
      <w:pPr>
        <w:spacing w:after="0" w:line="240" w:lineRule="auto"/>
        <w:rPr>
          <w:rFonts w:eastAsia="MS Mincho" w:cs="Times New Roman"/>
          <w:noProof/>
          <w:szCs w:val="32"/>
        </w:rPr>
      </w:pPr>
    </w:p>
    <w:tbl>
      <w:tblPr>
        <w:tblStyle w:val="Grilledutableau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7513"/>
      </w:tblGrid>
      <w:tr w:rsidR="00B3406E" w:rsidRPr="00CE0FE7" w:rsidTr="0091257E"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3406E" w:rsidRPr="000C4CA6" w:rsidRDefault="00B3406E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5B1C9D">
              <w:rPr>
                <w:rFonts w:eastAsia="MS Mincho" w:cs="Times New Roman"/>
                <w:b/>
                <w:noProof/>
                <w:szCs w:val="32"/>
              </w:rPr>
              <w:t>Description of the existing practice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CE0FE7" w:rsidRPr="00CE0FE7" w:rsidRDefault="00CE0FE7" w:rsidP="00CE0FE7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CE0FE7">
              <w:rPr>
                <w:rFonts w:eastAsia="MS Mincho" w:cs="Times New Roman"/>
                <w:noProof/>
                <w:szCs w:val="32"/>
              </w:rPr>
              <w:t>Th</w:t>
            </w:r>
            <w:r w:rsidR="004A04FC">
              <w:rPr>
                <w:rFonts w:eastAsia="MS Mincho" w:cs="Times New Roman"/>
                <w:noProof/>
                <w:szCs w:val="32"/>
              </w:rPr>
              <w:t>e French market wishes to imple</w:t>
            </w:r>
            <w:r w:rsidRPr="00CE0FE7">
              <w:rPr>
                <w:rFonts w:eastAsia="MS Mincho" w:cs="Times New Roman"/>
                <w:noProof/>
                <w:szCs w:val="32"/>
              </w:rPr>
              <w:t>m</w:t>
            </w:r>
            <w:r w:rsidR="004A04FC">
              <w:rPr>
                <w:rFonts w:eastAsia="MS Mincho" w:cs="Times New Roman"/>
                <w:noProof/>
                <w:szCs w:val="32"/>
              </w:rPr>
              <w:t>e</w:t>
            </w:r>
            <w:r w:rsidRPr="00CE0FE7">
              <w:rPr>
                <w:rFonts w:eastAsia="MS Mincho" w:cs="Times New Roman"/>
                <w:noProof/>
                <w:szCs w:val="32"/>
              </w:rPr>
              <w:t xml:space="preserve">nt a market practice on </w:t>
            </w:r>
            <w:r>
              <w:rPr>
                <w:rFonts w:eastAsia="MS Mincho" w:cs="Times New Roman"/>
                <w:noProof/>
                <w:szCs w:val="32"/>
              </w:rPr>
              <w:t xml:space="preserve">orders with separate </w:t>
            </w:r>
            <w:r w:rsidRPr="00CE0FE7">
              <w:rPr>
                <w:rFonts w:eastAsia="MS Mincho" w:cs="Times New Roman"/>
                <w:noProof/>
                <w:szCs w:val="32"/>
              </w:rPr>
              <w:t xml:space="preserve">settlement </w:t>
            </w:r>
            <w:r>
              <w:rPr>
                <w:rFonts w:eastAsia="MS Mincho" w:cs="Times New Roman"/>
                <w:noProof/>
                <w:szCs w:val="32"/>
              </w:rPr>
              <w:t>of securities and cash (ex: orders with cash settlement, orders on funds with pre-funding), recommending a settlement with a matched free of payment (T2S instructions DELI/RECE free).</w:t>
            </w:r>
          </w:p>
          <w:p w:rsidR="00CE0FE7" w:rsidRPr="00CE0FE7" w:rsidRDefault="00CE0FE7" w:rsidP="00CE0FE7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CE0FE7">
              <w:rPr>
                <w:rFonts w:eastAsia="MS Mincho" w:cs="Times New Roman"/>
                <w:noProof/>
                <w:szCs w:val="32"/>
              </w:rPr>
              <w:t xml:space="preserve">This type of instruction is recommended by the market as it allows to settle fund shares </w:t>
            </w:r>
            <w:r>
              <w:rPr>
                <w:rFonts w:eastAsia="MS Mincho" w:cs="Times New Roman"/>
                <w:noProof/>
                <w:szCs w:val="32"/>
              </w:rPr>
              <w:t>up to the 18:00 cuto-ff, while ensuring the prior receipt of cash, as well as a matching of the delivery of securities.</w:t>
            </w:r>
          </w:p>
          <w:p w:rsidR="00B3406E" w:rsidRPr="00CE0FE7" w:rsidRDefault="00CE0FE7" w:rsidP="00CE0FE7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CE0FE7">
              <w:rPr>
                <w:rFonts w:eastAsia="MS Mincho" w:cs="Times New Roman"/>
                <w:noProof/>
                <w:szCs w:val="32"/>
              </w:rPr>
              <w:t>This practice would allow to settle securities and cash on the same date.</w:t>
            </w:r>
          </w:p>
        </w:tc>
      </w:tr>
      <w:tr w:rsidR="00B3406E" w:rsidRPr="00CE0FE7" w:rsidTr="0091257E">
        <w:tc>
          <w:tcPr>
            <w:tcW w:w="2093" w:type="dxa"/>
            <w:tcBorders>
              <w:left w:val="nil"/>
              <w:right w:val="nil"/>
            </w:tcBorders>
          </w:tcPr>
          <w:p w:rsidR="00B3406E" w:rsidRPr="00CE0FE7" w:rsidRDefault="00B3406E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</w:tcPr>
          <w:p w:rsidR="00B3406E" w:rsidRPr="00CE0FE7" w:rsidRDefault="00B3406E" w:rsidP="00B26098">
            <w:pPr>
              <w:rPr>
                <w:rFonts w:eastAsia="MS Mincho" w:cs="Times New Roman"/>
                <w:noProof/>
                <w:szCs w:val="32"/>
              </w:rPr>
            </w:pPr>
          </w:p>
        </w:tc>
      </w:tr>
      <w:tr w:rsidR="00B3406E" w:rsidRPr="0043095A" w:rsidTr="0081511D"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3406E" w:rsidRPr="00343E9C" w:rsidRDefault="00B3406E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43E9C">
              <w:rPr>
                <w:rFonts w:eastAsia="MS Mincho" w:cs="Times New Roman"/>
                <w:b/>
                <w:noProof/>
                <w:szCs w:val="32"/>
              </w:rPr>
              <w:t>Description of the T2S impact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B3406E" w:rsidRPr="0043095A" w:rsidRDefault="00CE0FE7" w:rsidP="0043095A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CE0FE7">
              <w:rPr>
                <w:rFonts w:eastAsia="MS Mincho" w:cs="Times New Roman"/>
                <w:noProof/>
                <w:szCs w:val="32"/>
              </w:rPr>
              <w:t xml:space="preserve">Market players recommend this practice (see </w:t>
            </w:r>
            <w:r>
              <w:rPr>
                <w:rFonts w:eastAsia="MS Mincho" w:cs="Times New Roman"/>
                <w:noProof/>
                <w:szCs w:val="32"/>
              </w:rPr>
              <w:t>“</w:t>
            </w:r>
            <w:r w:rsidRPr="00CE0FE7">
              <w:rPr>
                <w:rFonts w:eastAsia="MS Mincho" w:cs="Times New Roman"/>
                <w:noProof/>
                <w:szCs w:val="32"/>
              </w:rPr>
              <w:t xml:space="preserve">Charte de bonnes pratiques » that will be updated of this recommendation) on the whole of the French funds, in order to </w:t>
            </w:r>
            <w:r>
              <w:rPr>
                <w:rFonts w:eastAsia="MS Mincho" w:cs="Times New Roman"/>
                <w:noProof/>
                <w:szCs w:val="32"/>
              </w:rPr>
              <w:t>benefit from evolutions brought by T2S allowing for the delivery of securities up to 18:00 instead of 16:00 as would be the case with APMT instructions, and extend it to cross-border operations when routing orders on foreign funds, or as Correspondent Transfer Agent or Local Transfer Agent for foreign clients.</w:t>
            </w:r>
            <w:r w:rsidR="0043095A">
              <w:rPr>
                <w:rFonts w:eastAsia="MS Mincho" w:cs="Times New Roman"/>
                <w:noProof/>
                <w:szCs w:val="32"/>
              </w:rPr>
              <w:t xml:space="preserve"> </w:t>
            </w:r>
            <w:r w:rsidR="0043095A" w:rsidRPr="0043095A">
              <w:rPr>
                <w:rFonts w:eastAsia="MS Mincho" w:cs="Times New Roman"/>
                <w:noProof/>
                <w:szCs w:val="32"/>
              </w:rPr>
              <w:t>Yet, this practice will be limited to a matching of securities fields, even</w:t>
            </w:r>
            <w:r w:rsidR="0043095A">
              <w:rPr>
                <w:rFonts w:eastAsia="MS Mincho" w:cs="Times New Roman"/>
                <w:noProof/>
                <w:szCs w:val="32"/>
              </w:rPr>
              <w:t xml:space="preserve"> </w:t>
            </w:r>
            <w:r w:rsidR="0043095A" w:rsidRPr="0043095A">
              <w:rPr>
                <w:rFonts w:eastAsia="MS Mincho" w:cs="Times New Roman"/>
                <w:noProof/>
                <w:szCs w:val="32"/>
              </w:rPr>
              <w:t>though a change request scheduled in T2S for November 2016 will provide for a matching of cash outside of T2S.</w:t>
            </w:r>
          </w:p>
        </w:tc>
      </w:tr>
      <w:tr w:rsidR="0081511D" w:rsidRPr="0043095A" w:rsidTr="0081511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81511D" w:rsidRPr="0043095A" w:rsidRDefault="0081511D" w:rsidP="00EC776F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81511D" w:rsidRPr="0043095A" w:rsidRDefault="0081511D" w:rsidP="0081511D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</w:tr>
      <w:tr w:rsidR="00B3406E" w:rsidRPr="00CE0FE7" w:rsidTr="0081511D">
        <w:tc>
          <w:tcPr>
            <w:tcW w:w="2093" w:type="dxa"/>
            <w:shd w:val="clear" w:color="auto" w:fill="BFBFBF" w:themeFill="background1" w:themeFillShade="BF"/>
          </w:tcPr>
          <w:p w:rsidR="00B3406E" w:rsidRPr="000C4CA6" w:rsidRDefault="00B3406E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Description of the major issue</w:t>
            </w:r>
          </w:p>
        </w:tc>
        <w:tc>
          <w:tcPr>
            <w:tcW w:w="7513" w:type="dxa"/>
          </w:tcPr>
          <w:p w:rsidR="00B3406E" w:rsidRPr="00CE0FE7" w:rsidRDefault="00CE0FE7" w:rsidP="00CE0FE7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CE0FE7">
              <w:rPr>
                <w:rFonts w:cs="Tahoma"/>
                <w:szCs w:val="21"/>
                <w:lang w:eastAsia="fr-FR"/>
              </w:rPr>
              <w:t>This practice allows for the delivery of fund shares up to 18:00.</w:t>
            </w:r>
          </w:p>
        </w:tc>
      </w:tr>
      <w:tr w:rsidR="00B3406E" w:rsidRPr="00CE0FE7" w:rsidTr="006542E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B3406E" w:rsidRPr="00CE0FE7" w:rsidRDefault="00B3406E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B3406E" w:rsidRPr="00CE0FE7" w:rsidRDefault="00B3406E" w:rsidP="006542ED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</w:tr>
      <w:tr w:rsidR="00B3406E" w:rsidRPr="0081511D" w:rsidTr="0081511D">
        <w:tc>
          <w:tcPr>
            <w:tcW w:w="2093" w:type="dxa"/>
            <w:shd w:val="clear" w:color="auto" w:fill="BFBFBF" w:themeFill="background1" w:themeFillShade="BF"/>
          </w:tcPr>
          <w:p w:rsidR="00B3406E" w:rsidRPr="003348A6" w:rsidRDefault="00B3406E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Description of the roles and responsibilities of the ac</w:t>
            </w:r>
            <w:r>
              <w:rPr>
                <w:rFonts w:eastAsia="MS Mincho" w:cs="Times New Roman"/>
                <w:b/>
                <w:noProof/>
                <w:szCs w:val="32"/>
              </w:rPr>
              <w:t>to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rs involved </w:t>
            </w:r>
          </w:p>
          <w:p w:rsidR="00B3406E" w:rsidRPr="00D103DA" w:rsidRDefault="00B3406E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(OPTIONAL)</w:t>
            </w:r>
          </w:p>
        </w:tc>
        <w:tc>
          <w:tcPr>
            <w:tcW w:w="7513" w:type="dxa"/>
          </w:tcPr>
          <w:p w:rsidR="00B3406E" w:rsidRDefault="00B3406E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B3406E" w:rsidRDefault="00B3406E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B3406E" w:rsidRDefault="00B3406E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B3406E" w:rsidRPr="0081511D" w:rsidTr="006542E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B3406E" w:rsidRDefault="00B3406E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B3406E" w:rsidRPr="0081511D" w:rsidRDefault="00B3406E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B3406E" w:rsidRPr="0081511D" w:rsidTr="0081511D">
        <w:tc>
          <w:tcPr>
            <w:tcW w:w="2093" w:type="dxa"/>
            <w:shd w:val="clear" w:color="auto" w:fill="BFBFBF" w:themeFill="background1" w:themeFillShade="BF"/>
          </w:tcPr>
          <w:p w:rsidR="00B3406E" w:rsidRDefault="00B3406E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Workflows</w:t>
            </w:r>
          </w:p>
          <w:p w:rsidR="00B3406E" w:rsidRDefault="00B3406E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lastRenderedPageBreak/>
              <w:t>(OPTIONAL)</w:t>
            </w:r>
          </w:p>
        </w:tc>
        <w:tc>
          <w:tcPr>
            <w:tcW w:w="7513" w:type="dxa"/>
          </w:tcPr>
          <w:p w:rsidR="00B3406E" w:rsidRPr="00FD2FD6" w:rsidRDefault="00B3406E" w:rsidP="0081511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B3406E" w:rsidRPr="0081511D" w:rsidTr="006542E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B3406E" w:rsidRDefault="00B3406E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B3406E" w:rsidRPr="0081511D" w:rsidRDefault="00B3406E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B3406E" w:rsidRPr="00113071" w:rsidTr="0091257E"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3406E" w:rsidRPr="003348A6" w:rsidRDefault="00B3406E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Links with other market practices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B3406E" w:rsidRPr="00922B9C" w:rsidRDefault="00F84B13" w:rsidP="00922B9C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MS-SETTL-FRANCO-04</w:t>
            </w:r>
          </w:p>
        </w:tc>
      </w:tr>
    </w:tbl>
    <w:p w:rsidR="001E0D83" w:rsidRDefault="001E0D83" w:rsidP="00D103DA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81511D" w:rsidRDefault="0081511D" w:rsidP="00D103DA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B3406E" w:rsidRPr="004F6025" w:rsidRDefault="00B3406E" w:rsidP="00B3406E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t>Recommended market practice</w:t>
      </w:r>
    </w:p>
    <w:p w:rsidR="0081511D" w:rsidRDefault="0081511D" w:rsidP="00D103DA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2093"/>
        <w:gridCol w:w="7483"/>
        <w:gridCol w:w="30"/>
      </w:tblGrid>
      <w:tr w:rsidR="00B3406E" w:rsidRPr="00F370B0" w:rsidTr="0081511D">
        <w:trPr>
          <w:gridAfter w:val="1"/>
          <w:wAfter w:w="30" w:type="dxa"/>
        </w:trPr>
        <w:tc>
          <w:tcPr>
            <w:tcW w:w="2093" w:type="dxa"/>
            <w:shd w:val="clear" w:color="auto" w:fill="BFBFBF" w:themeFill="background1" w:themeFillShade="BF"/>
          </w:tcPr>
          <w:p w:rsidR="00B3406E" w:rsidRPr="00D103DA" w:rsidRDefault="00B3406E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Recommended practice</w:t>
            </w:r>
          </w:p>
        </w:tc>
        <w:tc>
          <w:tcPr>
            <w:tcW w:w="7483" w:type="dxa"/>
          </w:tcPr>
          <w:p w:rsidR="00B3406E" w:rsidRPr="00CE0FE7" w:rsidRDefault="0043095A" w:rsidP="00CE0FE7">
            <w:pPr>
              <w:spacing w:before="120"/>
              <w:jc w:val="both"/>
              <w:rPr>
                <w:rFonts w:eastAsia="MS Mincho" w:cs="Times New Roman"/>
                <w:noProof/>
              </w:rPr>
            </w:pPr>
            <w:r w:rsidRPr="00CE0FE7">
              <w:rPr>
                <w:rFonts w:eastAsia="MS Mincho" w:cs="Times New Roman"/>
                <w:noProof/>
                <w:szCs w:val="32"/>
              </w:rPr>
              <w:t xml:space="preserve">Market players recommend this practice (see </w:t>
            </w:r>
            <w:r>
              <w:rPr>
                <w:rFonts w:eastAsia="MS Mincho" w:cs="Times New Roman"/>
                <w:noProof/>
                <w:szCs w:val="32"/>
              </w:rPr>
              <w:t>“</w:t>
            </w:r>
            <w:r w:rsidRPr="00CE0FE7">
              <w:rPr>
                <w:rFonts w:eastAsia="MS Mincho" w:cs="Times New Roman"/>
                <w:noProof/>
                <w:szCs w:val="32"/>
              </w:rPr>
              <w:t xml:space="preserve">Charte de bonnes pratiques » that will be updated of this recommendation) on the whole of the French funds, in order to </w:t>
            </w:r>
            <w:r>
              <w:rPr>
                <w:rFonts w:eastAsia="MS Mincho" w:cs="Times New Roman"/>
                <w:noProof/>
                <w:szCs w:val="32"/>
              </w:rPr>
              <w:t xml:space="preserve">benefit from evolutions brought by T2S allowing for the delivery of securities up to 18:00 instead of 16:00 as would be the case with APMT instructions, and extend it to cross-border operations when routing orders on foreign funds, or as Correspondent Transfer Agent or Local Transfer Agent for foreign clients. </w:t>
            </w:r>
            <w:r w:rsidRPr="0043095A">
              <w:rPr>
                <w:rFonts w:eastAsia="MS Mincho" w:cs="Times New Roman"/>
                <w:noProof/>
                <w:szCs w:val="32"/>
              </w:rPr>
              <w:t>Yet, this practice will be limited to a matching of securities fields, even</w:t>
            </w:r>
            <w:r>
              <w:rPr>
                <w:rFonts w:eastAsia="MS Mincho" w:cs="Times New Roman"/>
                <w:noProof/>
                <w:szCs w:val="32"/>
              </w:rPr>
              <w:t xml:space="preserve"> </w:t>
            </w:r>
            <w:r w:rsidRPr="0043095A">
              <w:rPr>
                <w:rFonts w:eastAsia="MS Mincho" w:cs="Times New Roman"/>
                <w:noProof/>
                <w:szCs w:val="32"/>
              </w:rPr>
              <w:t>though a change request scheduled in T2S for November 2016 will provide for a matching of cash outside of T2S.</w:t>
            </w:r>
          </w:p>
        </w:tc>
      </w:tr>
      <w:tr w:rsidR="0081511D" w:rsidRPr="00F370B0" w:rsidTr="0081511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81511D" w:rsidRPr="00F370B0" w:rsidRDefault="0081511D" w:rsidP="006542ED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513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81511D" w:rsidRPr="00F370B0" w:rsidRDefault="0081511D" w:rsidP="006542ED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</w:tr>
      <w:tr w:rsidR="00B3406E" w:rsidTr="0081511D">
        <w:trPr>
          <w:gridAfter w:val="1"/>
          <w:wAfter w:w="30" w:type="dxa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3406E" w:rsidRPr="003348A6" w:rsidRDefault="00B3406E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Description of the roles and responsibilities of the ac</w:t>
            </w:r>
            <w:r>
              <w:rPr>
                <w:rFonts w:eastAsia="MS Mincho" w:cs="Times New Roman"/>
                <w:b/>
                <w:noProof/>
                <w:szCs w:val="32"/>
              </w:rPr>
              <w:t>to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rs involved </w:t>
            </w:r>
          </w:p>
          <w:p w:rsidR="00B3406E" w:rsidRPr="00F370B0" w:rsidRDefault="00B3406E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F370B0">
              <w:rPr>
                <w:rFonts w:eastAsia="MS Mincho" w:cs="Times New Roman"/>
                <w:b/>
                <w:noProof/>
                <w:szCs w:val="32"/>
              </w:rPr>
              <w:t>(OPTIONAL)</w:t>
            </w:r>
          </w:p>
        </w:tc>
        <w:tc>
          <w:tcPr>
            <w:tcW w:w="7483" w:type="dxa"/>
            <w:tcBorders>
              <w:bottom w:val="single" w:sz="4" w:space="0" w:color="auto"/>
            </w:tcBorders>
          </w:tcPr>
          <w:p w:rsidR="00B3406E" w:rsidRPr="00F370B0" w:rsidRDefault="00B3406E" w:rsidP="006542ED">
            <w:pPr>
              <w:rPr>
                <w:rFonts w:eastAsia="MS Mincho" w:cs="Times New Roman"/>
                <w:noProof/>
                <w:szCs w:val="32"/>
              </w:rPr>
            </w:pPr>
          </w:p>
          <w:p w:rsidR="00B3406E" w:rsidRPr="00F370B0" w:rsidRDefault="00B3406E" w:rsidP="006542ED">
            <w:pPr>
              <w:rPr>
                <w:rFonts w:eastAsia="MS Mincho" w:cs="Times New Roman"/>
                <w:noProof/>
                <w:szCs w:val="32"/>
              </w:rPr>
            </w:pPr>
          </w:p>
          <w:p w:rsidR="00B3406E" w:rsidRPr="00F370B0" w:rsidRDefault="00B3406E" w:rsidP="006542ED">
            <w:pPr>
              <w:rPr>
                <w:rFonts w:eastAsia="MS Mincho" w:cs="Times New Roman"/>
                <w:noProof/>
                <w:szCs w:val="32"/>
              </w:rPr>
            </w:pPr>
          </w:p>
          <w:p w:rsidR="00B3406E" w:rsidRPr="00F370B0" w:rsidRDefault="00B3406E" w:rsidP="006542ED">
            <w:pPr>
              <w:rPr>
                <w:rFonts w:eastAsia="MS Mincho" w:cs="Times New Roman"/>
                <w:noProof/>
                <w:szCs w:val="32"/>
              </w:rPr>
            </w:pPr>
          </w:p>
        </w:tc>
      </w:tr>
      <w:tr w:rsidR="00B3406E" w:rsidTr="0081511D">
        <w:trPr>
          <w:gridAfter w:val="1"/>
          <w:wAfter w:w="30" w:type="dxa"/>
        </w:trPr>
        <w:tc>
          <w:tcPr>
            <w:tcW w:w="2093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B3406E" w:rsidRPr="00F370B0" w:rsidRDefault="00B3406E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483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3406E" w:rsidRPr="00F370B0" w:rsidRDefault="00B3406E" w:rsidP="006542ED">
            <w:pPr>
              <w:rPr>
                <w:rFonts w:eastAsia="MS Mincho" w:cs="Times New Roman"/>
                <w:noProof/>
                <w:szCs w:val="32"/>
              </w:rPr>
            </w:pPr>
          </w:p>
        </w:tc>
      </w:tr>
      <w:tr w:rsidR="00B3406E" w:rsidTr="0081511D">
        <w:trPr>
          <w:gridAfter w:val="1"/>
          <w:wAfter w:w="30" w:type="dxa"/>
        </w:trPr>
        <w:tc>
          <w:tcPr>
            <w:tcW w:w="2093" w:type="dxa"/>
            <w:shd w:val="clear" w:color="auto" w:fill="BFBFBF" w:themeFill="background1" w:themeFillShade="BF"/>
          </w:tcPr>
          <w:p w:rsidR="00B3406E" w:rsidRPr="00F370B0" w:rsidRDefault="00B3406E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F370B0">
              <w:rPr>
                <w:rFonts w:eastAsia="MS Mincho" w:cs="Times New Roman"/>
                <w:b/>
                <w:noProof/>
                <w:szCs w:val="32"/>
              </w:rPr>
              <w:t>Workflows</w:t>
            </w:r>
          </w:p>
          <w:p w:rsidR="00B3406E" w:rsidRPr="00F370B0" w:rsidRDefault="00B3406E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F370B0">
              <w:rPr>
                <w:rFonts w:eastAsia="MS Mincho" w:cs="Times New Roman"/>
                <w:b/>
                <w:noProof/>
                <w:szCs w:val="32"/>
              </w:rPr>
              <w:t>(OPTIONAL)</w:t>
            </w:r>
          </w:p>
        </w:tc>
        <w:tc>
          <w:tcPr>
            <w:tcW w:w="7483" w:type="dxa"/>
            <w:tcBorders>
              <w:bottom w:val="single" w:sz="4" w:space="0" w:color="auto"/>
            </w:tcBorders>
          </w:tcPr>
          <w:p w:rsidR="00B3406E" w:rsidRPr="00F370B0" w:rsidRDefault="00B3406E" w:rsidP="006542ED">
            <w:pPr>
              <w:rPr>
                <w:rFonts w:eastAsia="MS Mincho" w:cs="Times New Roman"/>
                <w:noProof/>
                <w:szCs w:val="32"/>
              </w:rPr>
            </w:pPr>
          </w:p>
          <w:p w:rsidR="00B3406E" w:rsidRPr="00F370B0" w:rsidRDefault="00B3406E" w:rsidP="006542ED">
            <w:pPr>
              <w:rPr>
                <w:rFonts w:eastAsia="MS Mincho" w:cs="Times New Roman"/>
                <w:noProof/>
                <w:szCs w:val="32"/>
              </w:rPr>
            </w:pPr>
          </w:p>
        </w:tc>
      </w:tr>
    </w:tbl>
    <w:p w:rsidR="00363E89" w:rsidRPr="00F370B0" w:rsidRDefault="00363E89" w:rsidP="001E0D83">
      <w:pPr>
        <w:spacing w:after="0" w:line="240" w:lineRule="auto"/>
        <w:rPr>
          <w:rFonts w:eastAsia="MS Mincho" w:cs="Times New Roman"/>
          <w:noProof/>
          <w:szCs w:val="32"/>
        </w:rPr>
      </w:pPr>
    </w:p>
    <w:p w:rsidR="00140482" w:rsidRPr="00F370B0" w:rsidRDefault="00140482">
      <w:pPr>
        <w:rPr>
          <w:rFonts w:eastAsia="MS Mincho" w:cs="Times New Roman"/>
          <w:b/>
          <w:caps/>
          <w:noProof/>
          <w:sz w:val="32"/>
          <w:szCs w:val="32"/>
        </w:rPr>
      </w:pPr>
    </w:p>
    <w:p w:rsidR="00140482" w:rsidRPr="004F6025" w:rsidRDefault="00B3406E" w:rsidP="00140482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 w:rsidRPr="00F370B0">
        <w:rPr>
          <w:rFonts w:eastAsia="MS Mincho" w:cs="Times New Roman"/>
          <w:b/>
          <w:caps/>
          <w:noProof/>
          <w:sz w:val="32"/>
          <w:szCs w:val="32"/>
        </w:rPr>
        <w:t>IMPLEM</w:t>
      </w: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t>ENTATION</w:t>
      </w:r>
    </w:p>
    <w:p w:rsidR="00140482" w:rsidRDefault="00140482" w:rsidP="00140482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tbl>
      <w:tblPr>
        <w:tblStyle w:val="Grilledutableau"/>
        <w:tblW w:w="9616" w:type="dxa"/>
        <w:tblLook w:val="04A0" w:firstRow="1" w:lastRow="0" w:firstColumn="1" w:lastColumn="0" w:noHBand="0" w:noVBand="1"/>
      </w:tblPr>
      <w:tblGrid>
        <w:gridCol w:w="2302"/>
        <w:gridCol w:w="2438"/>
        <w:gridCol w:w="2438"/>
        <w:gridCol w:w="2438"/>
      </w:tblGrid>
      <w:tr w:rsidR="00B3406E" w:rsidRPr="00B3406E" w:rsidTr="000E651B">
        <w:trPr>
          <w:trHeight w:val="338"/>
        </w:trPr>
        <w:tc>
          <w:tcPr>
            <w:tcW w:w="2302" w:type="dxa"/>
            <w:vMerge w:val="restart"/>
            <w:shd w:val="clear" w:color="auto" w:fill="BFBFBF" w:themeFill="background1" w:themeFillShade="BF"/>
          </w:tcPr>
          <w:p w:rsidR="00B3406E" w:rsidRPr="00D103DA" w:rsidRDefault="00B3406E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Implementation timeline</w:t>
            </w:r>
          </w:p>
        </w:tc>
        <w:tc>
          <w:tcPr>
            <w:tcW w:w="2438" w:type="dxa"/>
          </w:tcPr>
          <w:p w:rsidR="00B3406E" w:rsidRPr="003348A6" w:rsidRDefault="00B3406E" w:rsidP="000E651B">
            <w:pPr>
              <w:jc w:val="center"/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Before the migration </w:t>
            </w:r>
            <w:r>
              <w:rPr>
                <w:rFonts w:eastAsia="MS Mincho" w:cs="Times New Roman"/>
                <w:b/>
                <w:noProof/>
                <w:szCs w:val="32"/>
              </w:rPr>
              <w:t xml:space="preserve">to 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>T2S</w:t>
            </w:r>
          </w:p>
        </w:tc>
        <w:tc>
          <w:tcPr>
            <w:tcW w:w="2438" w:type="dxa"/>
          </w:tcPr>
          <w:p w:rsidR="00B3406E" w:rsidRPr="003348A6" w:rsidRDefault="00B3406E" w:rsidP="000E651B">
            <w:pPr>
              <w:jc w:val="center"/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Upon go live on T2S</w:t>
            </w:r>
          </w:p>
        </w:tc>
        <w:tc>
          <w:tcPr>
            <w:tcW w:w="2438" w:type="dxa"/>
          </w:tcPr>
          <w:p w:rsidR="00B3406E" w:rsidRPr="003348A6" w:rsidRDefault="00B3406E" w:rsidP="000E651B">
            <w:pPr>
              <w:jc w:val="center"/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After the migration </w:t>
            </w:r>
            <w:r>
              <w:rPr>
                <w:rFonts w:eastAsia="MS Mincho" w:cs="Times New Roman"/>
                <w:b/>
                <w:noProof/>
                <w:szCs w:val="32"/>
              </w:rPr>
              <w:t xml:space="preserve">to 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>T2S</w:t>
            </w:r>
          </w:p>
        </w:tc>
      </w:tr>
      <w:tr w:rsidR="00140482" w:rsidTr="000E651B">
        <w:trPr>
          <w:trHeight w:val="337"/>
        </w:trPr>
        <w:tc>
          <w:tcPr>
            <w:tcW w:w="2302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40482" w:rsidRPr="00B3406E" w:rsidRDefault="00140482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auto"/>
          </w:tcPr>
          <w:p w:rsidR="00140482" w:rsidRDefault="00140482" w:rsidP="000E651B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785264" w:rsidRDefault="00140482" w:rsidP="000E651B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________</w:t>
            </w:r>
          </w:p>
          <w:p w:rsidR="00140482" w:rsidRDefault="00140482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:rsidR="00140482" w:rsidRDefault="0043095A" w:rsidP="000E651B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</w:t>
            </w:r>
          </w:p>
          <w:p w:rsidR="00140482" w:rsidRPr="00785264" w:rsidRDefault="00140482" w:rsidP="000E651B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12/09/2016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40482" w:rsidRDefault="00140482" w:rsidP="000E651B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785264" w:rsidRDefault="00140482" w:rsidP="000E651B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________</w:t>
            </w:r>
          </w:p>
        </w:tc>
      </w:tr>
    </w:tbl>
    <w:p w:rsidR="00BA6B0A" w:rsidRDefault="00BA6B0A" w:rsidP="001E0D83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sectPr w:rsidR="00BA6B0A" w:rsidSect="006D6846">
      <w:headerReference w:type="default" r:id="rId7"/>
      <w:footerReference w:type="default" r:id="rId8"/>
      <w:pgSz w:w="12240" w:h="15840"/>
      <w:pgMar w:top="14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428" w:rsidRDefault="00BB0428" w:rsidP="006D6846">
      <w:pPr>
        <w:spacing w:after="0" w:line="240" w:lineRule="auto"/>
      </w:pPr>
      <w:r>
        <w:separator/>
      </w:r>
    </w:p>
  </w:endnote>
  <w:endnote w:type="continuationSeparator" w:id="0">
    <w:p w:rsidR="00BB0428" w:rsidRDefault="00BB0428" w:rsidP="006D6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98256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C776F" w:rsidRDefault="00EC776F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18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C776F" w:rsidRDefault="00EC776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428" w:rsidRDefault="00BB0428" w:rsidP="006D6846">
      <w:pPr>
        <w:spacing w:after="0" w:line="240" w:lineRule="auto"/>
      </w:pPr>
      <w:r>
        <w:separator/>
      </w:r>
    </w:p>
  </w:footnote>
  <w:footnote w:type="continuationSeparator" w:id="0">
    <w:p w:rsidR="00BB0428" w:rsidRDefault="00BB0428" w:rsidP="006D6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778"/>
      <w:gridCol w:w="3798"/>
    </w:tblGrid>
    <w:tr w:rsidR="00EC776F" w:rsidTr="00EC776F">
      <w:tc>
        <w:tcPr>
          <w:tcW w:w="5778" w:type="dxa"/>
          <w:vAlign w:val="center"/>
        </w:tcPr>
        <w:p w:rsidR="002650CD" w:rsidRPr="005B1C9D" w:rsidRDefault="002650CD" w:rsidP="002650CD">
          <w:pPr>
            <w:pStyle w:val="En-tte"/>
            <w:jc w:val="center"/>
            <w:rPr>
              <w:b/>
            </w:rPr>
          </w:pPr>
          <w:r w:rsidRPr="005B1C9D">
            <w:rPr>
              <w:b/>
            </w:rPr>
            <w:t>T2S Market Practice Adaptation Workgroup</w:t>
          </w:r>
        </w:p>
        <w:p w:rsidR="00EC776F" w:rsidRPr="002650CD" w:rsidRDefault="002650CD" w:rsidP="002650CD">
          <w:pPr>
            <w:pStyle w:val="En-tte"/>
            <w:jc w:val="center"/>
            <w:rPr>
              <w:b/>
            </w:rPr>
          </w:pPr>
          <w:r w:rsidRPr="005B1C9D">
            <w:rPr>
              <w:b/>
            </w:rPr>
            <w:t xml:space="preserve">Market Practice </w:t>
          </w:r>
          <w:r>
            <w:rPr>
              <w:b/>
            </w:rPr>
            <w:t>Sheet</w:t>
          </w:r>
        </w:p>
      </w:tc>
      <w:tc>
        <w:tcPr>
          <w:tcW w:w="3798" w:type="dxa"/>
          <w:vAlign w:val="center"/>
        </w:tcPr>
        <w:p w:rsidR="00EC776F" w:rsidRDefault="00EC776F" w:rsidP="00EC776F">
          <w:pPr>
            <w:pStyle w:val="En-tte"/>
            <w:jc w:val="center"/>
            <w:rPr>
              <w:b/>
              <w:lang w:val="fr-FR"/>
            </w:rPr>
          </w:pPr>
          <w:r>
            <w:rPr>
              <w:noProof/>
              <w:lang w:val="fr-FR" w:eastAsia="fr-FR"/>
            </w:rPr>
            <w:drawing>
              <wp:inline distT="0" distB="0" distL="0" distR="0" wp14:anchorId="05D698BA" wp14:editId="14ADD77D">
                <wp:extent cx="1032931" cy="516467"/>
                <wp:effectExtent l="0" t="0" r="0" b="0"/>
                <wp:docPr id="8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4228" cy="5171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EC776F" w:rsidRPr="00776CD9" w:rsidTr="00EC776F">
      <w:tc>
        <w:tcPr>
          <w:tcW w:w="5778" w:type="dxa"/>
          <w:vAlign w:val="center"/>
        </w:tcPr>
        <w:p w:rsidR="00EC776F" w:rsidRPr="00B3406E" w:rsidRDefault="00B3406E" w:rsidP="00113071">
          <w:pPr>
            <w:pStyle w:val="En-tte"/>
            <w:rPr>
              <w:i/>
            </w:rPr>
          </w:pPr>
          <w:r>
            <w:rPr>
              <w:i/>
            </w:rPr>
            <w:t>Practice</w:t>
          </w:r>
          <w:r w:rsidRPr="0033411F">
            <w:rPr>
              <w:i/>
            </w:rPr>
            <w:t xml:space="preserve"> reference</w:t>
          </w:r>
          <w:r w:rsidR="00EC776F" w:rsidRPr="00B3406E">
            <w:rPr>
              <w:i/>
            </w:rPr>
            <w:t xml:space="preserve">: </w:t>
          </w:r>
          <w:r w:rsidR="00CE0FE7" w:rsidRPr="00CE0FE7">
            <w:rPr>
              <w:i/>
            </w:rPr>
            <w:t>OP-SETTL-RLDISSOCIE-01</w:t>
          </w:r>
        </w:p>
      </w:tc>
      <w:tc>
        <w:tcPr>
          <w:tcW w:w="3798" w:type="dxa"/>
          <w:vAlign w:val="center"/>
        </w:tcPr>
        <w:p w:rsidR="00EC776F" w:rsidRPr="00B3406E" w:rsidRDefault="00EC776F" w:rsidP="00EC776F">
          <w:pPr>
            <w:pStyle w:val="En-tte"/>
            <w:jc w:val="center"/>
            <w:rPr>
              <w:noProof/>
            </w:rPr>
          </w:pPr>
        </w:p>
      </w:tc>
    </w:tr>
  </w:tbl>
  <w:p w:rsidR="00EC776F" w:rsidRPr="00B3406E" w:rsidRDefault="00EC776F">
    <w:pPr>
      <w:pStyle w:val="En-tte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4BC6"/>
    <w:multiLevelType w:val="hybridMultilevel"/>
    <w:tmpl w:val="2C0049D2"/>
    <w:lvl w:ilvl="0" w:tplc="A162A862">
      <w:start w:val="1"/>
      <w:numFmt w:val="bullet"/>
      <w:lvlText w:val=""/>
      <w:lvlJc w:val="left"/>
      <w:pPr>
        <w:ind w:left="1140" w:hanging="360"/>
      </w:pPr>
      <w:rPr>
        <w:rFonts w:ascii="Wingdings" w:eastAsia="MS Mincho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49741B3"/>
    <w:multiLevelType w:val="hybridMultilevel"/>
    <w:tmpl w:val="1B20EB06"/>
    <w:lvl w:ilvl="0" w:tplc="437E9AEE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E79DC"/>
    <w:multiLevelType w:val="hybridMultilevel"/>
    <w:tmpl w:val="FF563AE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7101850">
      <w:start w:val="30"/>
      <w:numFmt w:val="bullet"/>
      <w:lvlText w:val=""/>
      <w:lvlJc w:val="left"/>
      <w:pPr>
        <w:ind w:left="2520" w:hanging="360"/>
      </w:pPr>
      <w:rPr>
        <w:rFonts w:ascii="Wingdings" w:eastAsia="MS Mincho" w:hAnsi="Wingdings" w:cs="Tahoma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5A7E25"/>
    <w:multiLevelType w:val="hybridMultilevel"/>
    <w:tmpl w:val="B692A802"/>
    <w:lvl w:ilvl="0" w:tplc="0C880406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E0530"/>
    <w:multiLevelType w:val="hybridMultilevel"/>
    <w:tmpl w:val="5404B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7B0E1E"/>
    <w:multiLevelType w:val="hybridMultilevel"/>
    <w:tmpl w:val="43EAEF10"/>
    <w:lvl w:ilvl="0" w:tplc="934663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685906"/>
    <w:multiLevelType w:val="hybridMultilevel"/>
    <w:tmpl w:val="B170918E"/>
    <w:lvl w:ilvl="0" w:tplc="1546A4E6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323E3"/>
    <w:multiLevelType w:val="hybridMultilevel"/>
    <w:tmpl w:val="92625E74"/>
    <w:lvl w:ilvl="0" w:tplc="1A349598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8479E7"/>
    <w:multiLevelType w:val="hybridMultilevel"/>
    <w:tmpl w:val="E1226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2F2BC6"/>
    <w:multiLevelType w:val="hybridMultilevel"/>
    <w:tmpl w:val="1C8C7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846"/>
    <w:rsid w:val="00020084"/>
    <w:rsid w:val="000706A3"/>
    <w:rsid w:val="000A6C94"/>
    <w:rsid w:val="000B1F19"/>
    <w:rsid w:val="000C1C9B"/>
    <w:rsid w:val="000D6F4D"/>
    <w:rsid w:val="000F3C24"/>
    <w:rsid w:val="00113071"/>
    <w:rsid w:val="00140482"/>
    <w:rsid w:val="00145ADA"/>
    <w:rsid w:val="001522A5"/>
    <w:rsid w:val="00162BBA"/>
    <w:rsid w:val="00183F7A"/>
    <w:rsid w:val="001A26CA"/>
    <w:rsid w:val="001B0416"/>
    <w:rsid w:val="001B1E38"/>
    <w:rsid w:val="001C4C4C"/>
    <w:rsid w:val="001C7BAF"/>
    <w:rsid w:val="001D7830"/>
    <w:rsid w:val="001E0D83"/>
    <w:rsid w:val="00211814"/>
    <w:rsid w:val="00217510"/>
    <w:rsid w:val="002650CD"/>
    <w:rsid w:val="00283DDE"/>
    <w:rsid w:val="0028538B"/>
    <w:rsid w:val="00291B60"/>
    <w:rsid w:val="00343829"/>
    <w:rsid w:val="00343B9E"/>
    <w:rsid w:val="00343E9C"/>
    <w:rsid w:val="003631EA"/>
    <w:rsid w:val="00363E89"/>
    <w:rsid w:val="003929BA"/>
    <w:rsid w:val="003A4E76"/>
    <w:rsid w:val="003B3DA4"/>
    <w:rsid w:val="003D5E9F"/>
    <w:rsid w:val="003D7060"/>
    <w:rsid w:val="003F58F9"/>
    <w:rsid w:val="00422D9F"/>
    <w:rsid w:val="0043095A"/>
    <w:rsid w:val="0043288B"/>
    <w:rsid w:val="00464015"/>
    <w:rsid w:val="004818D8"/>
    <w:rsid w:val="00482296"/>
    <w:rsid w:val="004A04FC"/>
    <w:rsid w:val="004F6025"/>
    <w:rsid w:val="005061BA"/>
    <w:rsid w:val="0051485E"/>
    <w:rsid w:val="00553D8F"/>
    <w:rsid w:val="00567B1D"/>
    <w:rsid w:val="00575F36"/>
    <w:rsid w:val="005C2ACA"/>
    <w:rsid w:val="00622E8A"/>
    <w:rsid w:val="00625541"/>
    <w:rsid w:val="00652C13"/>
    <w:rsid w:val="00694503"/>
    <w:rsid w:val="0069580E"/>
    <w:rsid w:val="006D6846"/>
    <w:rsid w:val="00701AE2"/>
    <w:rsid w:val="00714CE6"/>
    <w:rsid w:val="00727BF7"/>
    <w:rsid w:val="0074709E"/>
    <w:rsid w:val="00765664"/>
    <w:rsid w:val="00776CD9"/>
    <w:rsid w:val="007B7B10"/>
    <w:rsid w:val="007C7303"/>
    <w:rsid w:val="007F6CFC"/>
    <w:rsid w:val="0080446B"/>
    <w:rsid w:val="0081511D"/>
    <w:rsid w:val="00830B7B"/>
    <w:rsid w:val="00837334"/>
    <w:rsid w:val="00841E84"/>
    <w:rsid w:val="0085743B"/>
    <w:rsid w:val="008800A4"/>
    <w:rsid w:val="00893912"/>
    <w:rsid w:val="008A30A6"/>
    <w:rsid w:val="008B1A1E"/>
    <w:rsid w:val="008C734C"/>
    <w:rsid w:val="0091257E"/>
    <w:rsid w:val="0092276F"/>
    <w:rsid w:val="00922A8E"/>
    <w:rsid w:val="00922B9C"/>
    <w:rsid w:val="00933237"/>
    <w:rsid w:val="009606C4"/>
    <w:rsid w:val="00982218"/>
    <w:rsid w:val="00995F65"/>
    <w:rsid w:val="009978DE"/>
    <w:rsid w:val="009A24A6"/>
    <w:rsid w:val="009A2F1A"/>
    <w:rsid w:val="009A64D1"/>
    <w:rsid w:val="009C180F"/>
    <w:rsid w:val="00A133A7"/>
    <w:rsid w:val="00A20577"/>
    <w:rsid w:val="00A21489"/>
    <w:rsid w:val="00A40ED4"/>
    <w:rsid w:val="00A45A45"/>
    <w:rsid w:val="00A678C0"/>
    <w:rsid w:val="00A746A0"/>
    <w:rsid w:val="00A90EEC"/>
    <w:rsid w:val="00A96A5D"/>
    <w:rsid w:val="00AA1FDB"/>
    <w:rsid w:val="00AA62D7"/>
    <w:rsid w:val="00AC134F"/>
    <w:rsid w:val="00AD57D4"/>
    <w:rsid w:val="00B067D0"/>
    <w:rsid w:val="00B26098"/>
    <w:rsid w:val="00B31057"/>
    <w:rsid w:val="00B3406E"/>
    <w:rsid w:val="00B44E11"/>
    <w:rsid w:val="00B457D4"/>
    <w:rsid w:val="00B540C8"/>
    <w:rsid w:val="00B62B1E"/>
    <w:rsid w:val="00B727D8"/>
    <w:rsid w:val="00B9491F"/>
    <w:rsid w:val="00BA66D3"/>
    <w:rsid w:val="00BA6B0A"/>
    <w:rsid w:val="00BB0428"/>
    <w:rsid w:val="00BC7577"/>
    <w:rsid w:val="00BD04F1"/>
    <w:rsid w:val="00BE4C60"/>
    <w:rsid w:val="00C070B0"/>
    <w:rsid w:val="00C1000A"/>
    <w:rsid w:val="00C221EA"/>
    <w:rsid w:val="00C33595"/>
    <w:rsid w:val="00C3423B"/>
    <w:rsid w:val="00C43D15"/>
    <w:rsid w:val="00C57689"/>
    <w:rsid w:val="00C60EC8"/>
    <w:rsid w:val="00C65EB2"/>
    <w:rsid w:val="00C77C0A"/>
    <w:rsid w:val="00CB0F41"/>
    <w:rsid w:val="00CC7462"/>
    <w:rsid w:val="00CE0FE7"/>
    <w:rsid w:val="00CE6DA3"/>
    <w:rsid w:val="00CF605A"/>
    <w:rsid w:val="00D103DA"/>
    <w:rsid w:val="00D12DE8"/>
    <w:rsid w:val="00D252A7"/>
    <w:rsid w:val="00D50DB6"/>
    <w:rsid w:val="00D529B3"/>
    <w:rsid w:val="00D53037"/>
    <w:rsid w:val="00D5515F"/>
    <w:rsid w:val="00D66DD4"/>
    <w:rsid w:val="00DB106F"/>
    <w:rsid w:val="00DD071C"/>
    <w:rsid w:val="00E351C1"/>
    <w:rsid w:val="00E35B86"/>
    <w:rsid w:val="00E438E3"/>
    <w:rsid w:val="00E52109"/>
    <w:rsid w:val="00E62EAE"/>
    <w:rsid w:val="00EA5560"/>
    <w:rsid w:val="00EB44AB"/>
    <w:rsid w:val="00EC776F"/>
    <w:rsid w:val="00F00BF4"/>
    <w:rsid w:val="00F358FF"/>
    <w:rsid w:val="00F35CCA"/>
    <w:rsid w:val="00F370B0"/>
    <w:rsid w:val="00F84B13"/>
    <w:rsid w:val="00F84B2D"/>
    <w:rsid w:val="00F904C9"/>
    <w:rsid w:val="00FC06B7"/>
    <w:rsid w:val="00FC4F18"/>
    <w:rsid w:val="00FE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DB23D01-2FE9-435C-AB2C-992D6C966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6846"/>
  </w:style>
  <w:style w:type="paragraph" w:styleId="Pieddepage">
    <w:name w:val="footer"/>
    <w:basedOn w:val="Normal"/>
    <w:link w:val="PieddepageC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6846"/>
  </w:style>
  <w:style w:type="paragraph" w:styleId="Textedebulles">
    <w:name w:val="Balloon Text"/>
    <w:basedOn w:val="Normal"/>
    <w:link w:val="TextedebullesCar"/>
    <w:uiPriority w:val="99"/>
    <w:semiHidden/>
    <w:unhideWhenUsed/>
    <w:rsid w:val="006D6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6846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99"/>
    <w:rsid w:val="00DB106F"/>
    <w:pPr>
      <w:tabs>
        <w:tab w:val="right" w:leader="dot" w:pos="9771"/>
      </w:tabs>
      <w:spacing w:before="120" w:after="120" w:line="240" w:lineRule="auto"/>
      <w:jc w:val="both"/>
    </w:pPr>
    <w:rPr>
      <w:rFonts w:ascii="Times New Roman" w:eastAsia="MS Mincho" w:hAnsi="Times New Roman" w:cs="Times New Roman"/>
      <w:b/>
      <w:caps/>
      <w:noProof/>
      <w:sz w:val="32"/>
      <w:szCs w:val="32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B26098"/>
    <w:pPr>
      <w:ind w:left="720"/>
      <w:contextualSpacing/>
    </w:pPr>
  </w:style>
  <w:style w:type="table" w:styleId="Grilledutableau">
    <w:name w:val="Table Grid"/>
    <w:basedOn w:val="TableauNormal"/>
    <w:uiPriority w:val="59"/>
    <w:rsid w:val="001B1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">
    <w:name w:val="norm"/>
    <w:basedOn w:val="Normal"/>
    <w:link w:val="normChar"/>
    <w:uiPriority w:val="99"/>
    <w:rsid w:val="00CE6DA3"/>
    <w:pPr>
      <w:tabs>
        <w:tab w:val="left" w:pos="851"/>
        <w:tab w:val="right" w:pos="9356"/>
      </w:tabs>
      <w:spacing w:before="60" w:after="60" w:line="360" w:lineRule="atLeast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ormChar">
    <w:name w:val="norm Char"/>
    <w:link w:val="norm"/>
    <w:uiPriority w:val="99"/>
    <w:locked/>
    <w:rsid w:val="00CE6DA3"/>
    <w:rPr>
      <w:rFonts w:ascii="Times New Roman" w:eastAsia="Times New Roman" w:hAnsi="Times New Roman" w:cs="Times New Roman"/>
      <w:szCs w:val="20"/>
    </w:rPr>
  </w:style>
  <w:style w:type="paragraph" w:customStyle="1" w:styleId="CM1">
    <w:name w:val="CM1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3">
    <w:name w:val="CM3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4">
    <w:name w:val="CM4"/>
    <w:basedOn w:val="Normal"/>
    <w:next w:val="Normal"/>
    <w:uiPriority w:val="99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Default">
    <w:name w:val="Default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2334</Characters>
  <Application>Microsoft Office Word</Application>
  <DocSecurity>4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Cognizant Technology Solutions</Company>
  <LinksUpToDate>false</LinksUpToDate>
  <CharactersWithSpaces>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Cognizant Technology Solutions</dc:creator>
  <cp:lastModifiedBy>Deciron, Isabelle</cp:lastModifiedBy>
  <cp:revision>2</cp:revision>
  <cp:lastPrinted>2015-10-09T10:36:00Z</cp:lastPrinted>
  <dcterms:created xsi:type="dcterms:W3CDTF">2016-11-07T09:31:00Z</dcterms:created>
  <dcterms:modified xsi:type="dcterms:W3CDTF">2016-11-07T09:31:00Z</dcterms:modified>
</cp:coreProperties>
</file>