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B3406E" w:rsidRDefault="00971207"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Pr>
          <w:b/>
          <w:noProof/>
          <w:sz w:val="36"/>
        </w:rPr>
        <w:t>Use of additional matching criteria</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971207" w:rsidP="00776CD9">
            <w:pPr>
              <w:tabs>
                <w:tab w:val="left" w:pos="9356"/>
              </w:tabs>
              <w:ind w:right="-279"/>
              <w:rPr>
                <w:lang w:val="fr-FR"/>
              </w:rPr>
            </w:pPr>
            <w:r>
              <w:rPr>
                <w:lang w:val="fr-FR"/>
              </w:rPr>
              <w:t>2</w:t>
            </w:r>
            <w:r w:rsidR="00140482">
              <w:rPr>
                <w:lang w:val="fr-FR"/>
              </w:rPr>
              <w:t>.</w:t>
            </w:r>
            <w:r w:rsidR="00776CD9">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0E651B">
            <w:pPr>
              <w:tabs>
                <w:tab w:val="left" w:pos="9356"/>
              </w:tabs>
              <w:ind w:right="-279"/>
              <w:rPr>
                <w:lang w:val="fr-FR"/>
              </w:rPr>
            </w:pPr>
            <w:r>
              <w:rPr>
                <w:lang w:val="fr-FR"/>
              </w:rPr>
              <w:t>Publication date</w:t>
            </w:r>
          </w:p>
        </w:tc>
        <w:tc>
          <w:tcPr>
            <w:tcW w:w="4932" w:type="dxa"/>
          </w:tcPr>
          <w:p w:rsidR="00B3406E" w:rsidRDefault="007B4D1C" w:rsidP="00756030">
            <w:pPr>
              <w:tabs>
                <w:tab w:val="left" w:pos="9356"/>
              </w:tabs>
              <w:ind w:right="-279"/>
              <w:rPr>
                <w:lang w:val="fr-FR"/>
              </w:rPr>
            </w:pPr>
            <w:r>
              <w:rPr>
                <w:lang w:val="fr-FR"/>
              </w:rPr>
              <w:t xml:space="preserve">August </w:t>
            </w:r>
            <w:r w:rsidR="00756030">
              <w:rPr>
                <w:lang w:val="fr-FR"/>
              </w:rPr>
              <w:t>30</w:t>
            </w:r>
            <w:r>
              <w:rPr>
                <w:lang w:val="fr-FR"/>
              </w:rPr>
              <w:t>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7B4D1C" w:rsidTr="0091257E">
        <w:tc>
          <w:tcPr>
            <w:tcW w:w="2093"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FF1C23" w:rsidRPr="00971207" w:rsidRDefault="00971207" w:rsidP="00971207">
            <w:pPr>
              <w:spacing w:before="120"/>
              <w:jc w:val="both"/>
              <w:rPr>
                <w:rFonts w:eastAsia="MS Mincho" w:cs="Times New Roman"/>
                <w:noProof/>
                <w:szCs w:val="32"/>
              </w:rPr>
            </w:pPr>
            <w:r>
              <w:rPr>
                <w:rFonts w:eastAsia="MS Mincho" w:cs="Times New Roman"/>
                <w:noProof/>
                <w:szCs w:val="32"/>
              </w:rPr>
              <w:t>There is today no additional matching criterion in Euroclear France, but only mandatory matching criteria.</w:t>
            </w:r>
          </w:p>
        </w:tc>
      </w:tr>
      <w:tr w:rsidR="00B3406E" w:rsidRPr="007B4D1C" w:rsidTr="0091257E">
        <w:tc>
          <w:tcPr>
            <w:tcW w:w="2093" w:type="dxa"/>
            <w:tcBorders>
              <w:left w:val="nil"/>
              <w:right w:val="nil"/>
            </w:tcBorders>
          </w:tcPr>
          <w:p w:rsidR="00B3406E" w:rsidRPr="007B4D1C" w:rsidRDefault="00B3406E" w:rsidP="000E651B">
            <w:pPr>
              <w:rPr>
                <w:rFonts w:eastAsia="MS Mincho" w:cs="Times New Roman"/>
                <w:b/>
                <w:noProof/>
                <w:szCs w:val="32"/>
              </w:rPr>
            </w:pPr>
          </w:p>
        </w:tc>
        <w:tc>
          <w:tcPr>
            <w:tcW w:w="7513" w:type="dxa"/>
            <w:tcBorders>
              <w:left w:val="nil"/>
              <w:right w:val="nil"/>
            </w:tcBorders>
          </w:tcPr>
          <w:p w:rsidR="00B3406E" w:rsidRPr="007B4D1C" w:rsidRDefault="00B3406E" w:rsidP="00B26098">
            <w:pPr>
              <w:rPr>
                <w:rFonts w:eastAsia="MS Mincho" w:cs="Times New Roman"/>
                <w:noProof/>
                <w:szCs w:val="32"/>
              </w:rPr>
            </w:pPr>
          </w:p>
        </w:tc>
      </w:tr>
      <w:tr w:rsidR="00B3406E" w:rsidRPr="007B4D1C" w:rsidTr="0081511D">
        <w:tc>
          <w:tcPr>
            <w:tcW w:w="2093" w:type="dxa"/>
            <w:tcBorders>
              <w:bottom w:val="single" w:sz="4" w:space="0" w:color="auto"/>
            </w:tcBorders>
            <w:shd w:val="clear" w:color="auto" w:fill="BFBFBF" w:themeFill="background1" w:themeFillShade="BF"/>
          </w:tcPr>
          <w:p w:rsidR="00B3406E" w:rsidRPr="00343E9C" w:rsidRDefault="00B3406E" w:rsidP="000E651B">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971207" w:rsidRDefault="00971207" w:rsidP="000A0704">
            <w:pPr>
              <w:spacing w:before="120" w:after="60"/>
              <w:jc w:val="both"/>
              <w:rPr>
                <w:rFonts w:eastAsia="MS Mincho" w:cs="Times New Roman"/>
                <w:noProof/>
                <w:szCs w:val="32"/>
              </w:rPr>
            </w:pPr>
            <w:r>
              <w:rPr>
                <w:rFonts w:eastAsia="MS Mincho" w:cs="Times New Roman"/>
                <w:noProof/>
                <w:szCs w:val="32"/>
              </w:rPr>
              <w:t>In T2S, the following matching criteria are mandatory:</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Securities movement type</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Intended settlement date</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Trade date</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Currency</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Settlement amount</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Settlement quantity (unit or nominal)</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Credit/debit securities</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Credit/debit cash</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ISIN</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Delivering party (BIC11)</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Receiving aprty (BIC11)</w:t>
            </w:r>
          </w:p>
          <w:p w:rsidR="00971207" w:rsidRP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CSD of the counterparty</w:t>
            </w:r>
          </w:p>
          <w:p w:rsidR="00971207" w:rsidRDefault="00971207" w:rsidP="000A0704">
            <w:pPr>
              <w:spacing w:before="120" w:after="60"/>
              <w:jc w:val="both"/>
              <w:rPr>
                <w:rFonts w:eastAsia="MS Mincho" w:cs="Times New Roman"/>
                <w:noProof/>
                <w:szCs w:val="32"/>
              </w:rPr>
            </w:pPr>
            <w:r>
              <w:rPr>
                <w:rFonts w:eastAsia="MS Mincho" w:cs="Times New Roman"/>
                <w:noProof/>
                <w:szCs w:val="32"/>
              </w:rPr>
              <w:t>2 additional criteria are presented:</w:t>
            </w:r>
          </w:p>
          <w:p w:rsid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CUM/EX indicator applying to operations subject to market claims, allowing to specify whether the instruction must be eligible to the dividend or coupon payment or not (distribution).</w:t>
            </w:r>
          </w:p>
          <w:p w:rsidR="00971207" w:rsidRPr="00971207" w:rsidRDefault="00971207" w:rsidP="00971207">
            <w:pPr>
              <w:pStyle w:val="ListParagraph"/>
              <w:numPr>
                <w:ilvl w:val="0"/>
                <w:numId w:val="19"/>
              </w:numPr>
              <w:spacing w:before="120" w:after="60"/>
              <w:jc w:val="both"/>
              <w:rPr>
                <w:rFonts w:eastAsia="MS Mincho" w:cs="Times New Roman"/>
                <w:noProof/>
                <w:szCs w:val="32"/>
              </w:rPr>
            </w:pPr>
            <w:r>
              <w:rPr>
                <w:rFonts w:eastAsia="MS Mincho" w:cs="Times New Roman"/>
                <w:noProof/>
                <w:szCs w:val="32"/>
              </w:rPr>
              <w:t>OPT-OUT</w:t>
            </w:r>
            <w:r w:rsidR="001E3C7E">
              <w:rPr>
                <w:rFonts w:eastAsia="MS Mincho" w:cs="Times New Roman"/>
                <w:noProof/>
                <w:szCs w:val="32"/>
              </w:rPr>
              <w:t xml:space="preserve"> indicator</w:t>
            </w:r>
            <w:r w:rsidR="00802269">
              <w:rPr>
                <w:rFonts w:eastAsia="MS Mincho" w:cs="Times New Roman"/>
                <w:noProof/>
                <w:szCs w:val="32"/>
              </w:rPr>
              <w:t>, allowing to specify whether the instruction must be subject to market claim</w:t>
            </w:r>
            <w:r w:rsidR="001E3C7E">
              <w:rPr>
                <w:rFonts w:eastAsia="MS Mincho" w:cs="Times New Roman"/>
                <w:noProof/>
                <w:szCs w:val="32"/>
              </w:rPr>
              <w:t>s</w:t>
            </w:r>
            <w:r w:rsidR="00802269">
              <w:rPr>
                <w:rFonts w:eastAsia="MS Mincho" w:cs="Times New Roman"/>
                <w:noProof/>
                <w:szCs w:val="32"/>
              </w:rPr>
              <w:t xml:space="preserve"> or transformation (distribution and reorganization).</w:t>
            </w:r>
          </w:p>
          <w:p w:rsidR="000A0704" w:rsidRPr="00802269" w:rsidRDefault="00802269" w:rsidP="00802269">
            <w:pPr>
              <w:spacing w:before="120" w:after="60"/>
              <w:jc w:val="both"/>
              <w:rPr>
                <w:rFonts w:eastAsia="MS Mincho" w:cs="Times New Roman"/>
                <w:noProof/>
                <w:szCs w:val="32"/>
              </w:rPr>
            </w:pPr>
            <w:r>
              <w:rPr>
                <w:rFonts w:eastAsia="MS Mincho" w:cs="Times New Roman"/>
                <w:noProof/>
                <w:szCs w:val="32"/>
              </w:rPr>
              <w:t>Functioning: additional fields match if, and only if, the fields are filled identically by both parties, or left blank by both.</w:t>
            </w:r>
          </w:p>
        </w:tc>
      </w:tr>
      <w:tr w:rsidR="0081511D" w:rsidRPr="007B4D1C" w:rsidTr="0081511D">
        <w:tc>
          <w:tcPr>
            <w:tcW w:w="2093" w:type="dxa"/>
            <w:tcBorders>
              <w:left w:val="nil"/>
              <w:right w:val="nil"/>
            </w:tcBorders>
            <w:shd w:val="clear" w:color="auto" w:fill="auto"/>
          </w:tcPr>
          <w:p w:rsidR="0081511D" w:rsidRPr="007B4D1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7B4D1C" w:rsidRDefault="0081511D" w:rsidP="0081511D">
            <w:pPr>
              <w:rPr>
                <w:rFonts w:eastAsia="MS Mincho" w:cs="Times New Roman"/>
                <w:b/>
                <w:noProof/>
                <w:szCs w:val="32"/>
              </w:rPr>
            </w:pPr>
          </w:p>
        </w:tc>
      </w:tr>
      <w:tr w:rsidR="00B3406E" w:rsidRPr="00CB5DDB" w:rsidTr="0081511D">
        <w:tc>
          <w:tcPr>
            <w:tcW w:w="2093" w:type="dxa"/>
            <w:shd w:val="clear" w:color="auto" w:fill="BFBFBF" w:themeFill="background1" w:themeFillShade="BF"/>
          </w:tcPr>
          <w:p w:rsidR="00B3406E" w:rsidRPr="000C4CA6" w:rsidRDefault="00B3406E"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367A12" w:rsidRDefault="00802269" w:rsidP="00367A12">
            <w:pPr>
              <w:spacing w:before="120" w:after="60"/>
              <w:ind w:left="34"/>
              <w:jc w:val="both"/>
              <w:rPr>
                <w:rFonts w:eastAsia="MS Mincho" w:cs="Times New Roman"/>
                <w:bCs/>
                <w:noProof/>
                <w:szCs w:val="32"/>
              </w:rPr>
            </w:pPr>
            <w:r>
              <w:rPr>
                <w:rFonts w:eastAsia="MS Mincho" w:cs="Times New Roman"/>
                <w:bCs/>
                <w:noProof/>
                <w:szCs w:val="32"/>
              </w:rPr>
              <w:t xml:space="preserve">The custodian will use the instruction from its clients to instruct the securities </w:t>
            </w:r>
            <w:r>
              <w:rPr>
                <w:rFonts w:eastAsia="MS Mincho" w:cs="Times New Roman"/>
                <w:bCs/>
                <w:noProof/>
                <w:szCs w:val="32"/>
              </w:rPr>
              <w:lastRenderedPageBreak/>
              <w:t>settlement system.</w:t>
            </w:r>
          </w:p>
          <w:p w:rsidR="00802269" w:rsidRDefault="00802269" w:rsidP="00367A12">
            <w:pPr>
              <w:spacing w:before="120" w:after="60"/>
              <w:ind w:left="34"/>
              <w:jc w:val="both"/>
              <w:rPr>
                <w:rFonts w:eastAsia="MS Mincho" w:cs="Times New Roman"/>
                <w:bCs/>
                <w:noProof/>
                <w:szCs w:val="32"/>
              </w:rPr>
            </w:pPr>
            <w:r>
              <w:rPr>
                <w:rFonts w:eastAsia="MS Mincho" w:cs="Times New Roman"/>
                <w:bCs/>
                <w:noProof/>
                <w:szCs w:val="32"/>
              </w:rPr>
              <w:t xml:space="preserve">These indicators have a direct impact on market claim detection rules, </w:t>
            </w:r>
            <w:r w:rsidR="001E3C7E">
              <w:rPr>
                <w:rFonts w:eastAsia="MS Mincho" w:cs="Times New Roman"/>
                <w:bCs/>
                <w:noProof/>
                <w:szCs w:val="32"/>
              </w:rPr>
              <w:t xml:space="preserve">this detection being </w:t>
            </w:r>
            <w:r>
              <w:rPr>
                <w:rFonts w:eastAsia="MS Mincho" w:cs="Times New Roman"/>
                <w:bCs/>
                <w:noProof/>
                <w:szCs w:val="32"/>
              </w:rPr>
              <w:t>limited in time (20 days).</w:t>
            </w:r>
          </w:p>
          <w:p w:rsidR="00802269" w:rsidRDefault="00802269" w:rsidP="00802269">
            <w:pPr>
              <w:spacing w:before="120" w:after="60"/>
              <w:ind w:left="34"/>
              <w:jc w:val="both"/>
              <w:rPr>
                <w:rFonts w:eastAsia="MS Mincho" w:cs="Times New Roman"/>
                <w:bCs/>
                <w:noProof/>
                <w:szCs w:val="32"/>
              </w:rPr>
            </w:pPr>
            <w:r>
              <w:rPr>
                <w:rFonts w:eastAsia="MS Mincho" w:cs="Times New Roman"/>
                <w:bCs/>
                <w:noProof/>
                <w:szCs w:val="32"/>
              </w:rPr>
              <w:t>The use of the OPT-OUT indicator (‘NOMC’ in T2S) and ‘CUM’ or ‘EX’ (</w:t>
            </w:r>
            <w:r w:rsidR="001E3C7E">
              <w:rPr>
                <w:rFonts w:eastAsia="MS Mincho" w:cs="Times New Roman"/>
                <w:bCs/>
                <w:noProof/>
                <w:szCs w:val="32"/>
              </w:rPr>
              <w:t>‘</w:t>
            </w:r>
            <w:r>
              <w:rPr>
                <w:rFonts w:eastAsia="MS Mincho" w:cs="Times New Roman"/>
                <w:bCs/>
                <w:noProof/>
                <w:szCs w:val="32"/>
              </w:rPr>
              <w:t>CCPN</w:t>
            </w:r>
            <w:r w:rsidR="001E3C7E">
              <w:rPr>
                <w:rFonts w:eastAsia="MS Mincho" w:cs="Times New Roman"/>
                <w:bCs/>
                <w:noProof/>
                <w:szCs w:val="32"/>
              </w:rPr>
              <w:t>’</w:t>
            </w:r>
            <w:r>
              <w:rPr>
                <w:rFonts w:eastAsia="MS Mincho" w:cs="Times New Roman"/>
                <w:bCs/>
                <w:noProof/>
                <w:szCs w:val="32"/>
              </w:rPr>
              <w:t xml:space="preserve"> and </w:t>
            </w:r>
            <w:r w:rsidR="001E3C7E">
              <w:rPr>
                <w:rFonts w:eastAsia="MS Mincho" w:cs="Times New Roman"/>
                <w:bCs/>
                <w:noProof/>
                <w:szCs w:val="32"/>
              </w:rPr>
              <w:t>‘</w:t>
            </w:r>
            <w:r>
              <w:rPr>
                <w:rFonts w:eastAsia="MS Mincho" w:cs="Times New Roman"/>
                <w:bCs/>
                <w:noProof/>
                <w:szCs w:val="32"/>
              </w:rPr>
              <w:t>XCPN</w:t>
            </w:r>
            <w:r w:rsidR="001E3C7E">
              <w:rPr>
                <w:rFonts w:eastAsia="MS Mincho" w:cs="Times New Roman"/>
                <w:bCs/>
                <w:noProof/>
                <w:szCs w:val="32"/>
              </w:rPr>
              <w:t>’</w:t>
            </w:r>
            <w:r>
              <w:rPr>
                <w:rFonts w:eastAsia="MS Mincho" w:cs="Times New Roman"/>
                <w:bCs/>
                <w:noProof/>
                <w:szCs w:val="32"/>
              </w:rPr>
              <w:t xml:space="preserve"> in T2S) must be clarified.</w:t>
            </w:r>
          </w:p>
          <w:p w:rsidR="00802269" w:rsidRDefault="00802269" w:rsidP="00BB283B">
            <w:pPr>
              <w:spacing w:before="120" w:after="60"/>
              <w:ind w:left="34"/>
              <w:jc w:val="both"/>
              <w:rPr>
                <w:rFonts w:eastAsia="MS Mincho" w:cs="Times New Roman"/>
                <w:bCs/>
                <w:noProof/>
                <w:szCs w:val="32"/>
              </w:rPr>
            </w:pPr>
            <w:r>
              <w:rPr>
                <w:rFonts w:eastAsia="MS Mincho" w:cs="Times New Roman"/>
                <w:bCs/>
                <w:noProof/>
                <w:szCs w:val="32"/>
              </w:rPr>
              <w:t xml:space="preserve">The OPT-OUT indicator excludes the instruction from the application of market claims, </w:t>
            </w:r>
            <w:r w:rsidR="00BB283B">
              <w:rPr>
                <w:rFonts w:eastAsia="MS Mincho" w:cs="Times New Roman"/>
                <w:bCs/>
                <w:noProof/>
                <w:szCs w:val="32"/>
              </w:rPr>
              <w:t xml:space="preserve">whether or not ‘CUM’ or </w:t>
            </w:r>
            <w:r>
              <w:rPr>
                <w:rFonts w:eastAsia="MS Mincho" w:cs="Times New Roman"/>
                <w:bCs/>
                <w:noProof/>
                <w:szCs w:val="32"/>
              </w:rPr>
              <w:t xml:space="preserve"> </w:t>
            </w:r>
            <w:r w:rsidR="00BB283B">
              <w:rPr>
                <w:rFonts w:eastAsia="MS Mincho" w:cs="Times New Roman"/>
                <w:bCs/>
                <w:noProof/>
                <w:szCs w:val="32"/>
              </w:rPr>
              <w:t>‘EX’ is mentioned on the instruction (case of a distribution).</w:t>
            </w:r>
          </w:p>
          <w:p w:rsidR="00BB283B" w:rsidRDefault="00BB283B" w:rsidP="00BB283B">
            <w:pPr>
              <w:spacing w:before="120" w:after="60"/>
              <w:ind w:left="34"/>
              <w:jc w:val="both"/>
              <w:rPr>
                <w:rFonts w:eastAsia="MS Mincho" w:cs="Times New Roman"/>
                <w:bCs/>
                <w:noProof/>
                <w:szCs w:val="32"/>
              </w:rPr>
            </w:pPr>
            <w:r>
              <w:rPr>
                <w:rFonts w:eastAsia="MS Mincho" w:cs="Times New Roman"/>
                <w:bCs/>
                <w:noProof/>
                <w:szCs w:val="32"/>
              </w:rPr>
              <w:t xml:space="preserve">When the OPT-OUT indicator is set a blank, the CUM/EX indicator allows to mention the direction of a market claim in distribution operations on securities booked in </w:t>
            </w:r>
            <w:r w:rsidR="001E3C7E">
              <w:rPr>
                <w:rFonts w:eastAsia="MS Mincho" w:cs="Times New Roman"/>
                <w:bCs/>
                <w:noProof/>
                <w:szCs w:val="32"/>
              </w:rPr>
              <w:t>‘</w:t>
            </w:r>
            <w:r>
              <w:rPr>
                <w:rFonts w:eastAsia="MS Mincho" w:cs="Times New Roman"/>
                <w:bCs/>
                <w:noProof/>
                <w:szCs w:val="32"/>
              </w:rPr>
              <w:t>UNT</w:t>
            </w:r>
            <w:r w:rsidR="001E3C7E">
              <w:rPr>
                <w:rFonts w:eastAsia="MS Mincho" w:cs="Times New Roman"/>
                <w:bCs/>
                <w:noProof/>
                <w:szCs w:val="32"/>
              </w:rPr>
              <w:t>’</w:t>
            </w:r>
            <w:r>
              <w:rPr>
                <w:rFonts w:eastAsia="MS Mincho" w:cs="Times New Roman"/>
                <w:bCs/>
                <w:noProof/>
                <w:szCs w:val="32"/>
              </w:rPr>
              <w:t>.</w:t>
            </w:r>
          </w:p>
          <w:p w:rsidR="00BB283B" w:rsidRDefault="00BB283B" w:rsidP="00BB283B">
            <w:pPr>
              <w:spacing w:before="120" w:after="60"/>
              <w:ind w:left="34"/>
              <w:jc w:val="both"/>
              <w:rPr>
                <w:rFonts w:eastAsia="MS Mincho" w:cs="Times New Roman"/>
                <w:bCs/>
                <w:noProof/>
                <w:szCs w:val="32"/>
              </w:rPr>
            </w:pPr>
            <w:r>
              <w:rPr>
                <w:rFonts w:eastAsia="MS Mincho" w:cs="Times New Roman"/>
                <w:bCs/>
                <w:noProof/>
                <w:szCs w:val="32"/>
              </w:rPr>
              <w:t>On the contrary, reorganizations only consider the OPT-OUT indicator, which will result in the cancellation of the original instruction, without transformation.</w:t>
            </w:r>
          </w:p>
          <w:p w:rsidR="00BB283B" w:rsidRDefault="00BB283B" w:rsidP="00BB283B">
            <w:pPr>
              <w:spacing w:before="120" w:after="60"/>
              <w:ind w:left="34"/>
              <w:jc w:val="both"/>
              <w:rPr>
                <w:rFonts w:eastAsia="MS Mincho" w:cs="Times New Roman"/>
                <w:bCs/>
                <w:noProof/>
                <w:szCs w:val="32"/>
              </w:rPr>
            </w:pPr>
            <w:r>
              <w:rPr>
                <w:rFonts w:eastAsia="MS Mincho" w:cs="Times New Roman"/>
                <w:bCs/>
                <w:noProof/>
                <w:szCs w:val="32"/>
              </w:rPr>
              <w:t>The OPT-OUT indicator will require the market claim to be handled bilaterally.</w:t>
            </w:r>
          </w:p>
          <w:p w:rsidR="00BB283B" w:rsidRDefault="00BB283B" w:rsidP="00BB283B">
            <w:pPr>
              <w:spacing w:before="120" w:after="60"/>
              <w:ind w:left="34"/>
              <w:jc w:val="both"/>
              <w:rPr>
                <w:rFonts w:eastAsia="MS Mincho" w:cs="Times New Roman"/>
                <w:bCs/>
                <w:i/>
                <w:noProof/>
                <w:szCs w:val="32"/>
              </w:rPr>
            </w:pPr>
            <w:r>
              <w:rPr>
                <w:rFonts w:eastAsia="MS Mincho" w:cs="Times New Roman"/>
                <w:bCs/>
                <w:i/>
                <w:noProof/>
                <w:szCs w:val="32"/>
              </w:rPr>
              <w:t>See also Market claims – Detection rules in Euroclear’s DSD Market claims and Transformations.</w:t>
            </w:r>
          </w:p>
          <w:p w:rsidR="00BB283B" w:rsidRPr="00BB283B" w:rsidRDefault="00BB283B" w:rsidP="00BB283B">
            <w:pPr>
              <w:spacing w:before="120" w:after="60"/>
              <w:ind w:left="34"/>
              <w:jc w:val="both"/>
              <w:rPr>
                <w:rFonts w:eastAsia="MS Mincho" w:cs="Times New Roman"/>
                <w:bCs/>
                <w:i/>
                <w:noProof/>
                <w:szCs w:val="32"/>
              </w:rPr>
            </w:pPr>
            <w:r>
              <w:rPr>
                <w:rFonts w:eastAsia="MS Mincho" w:cs="Times New Roman"/>
                <w:bCs/>
                <w:i/>
                <w:noProof/>
                <w:szCs w:val="32"/>
              </w:rPr>
              <w:t>Additionally, the table of possible combinations of additional matching criterai is reminded on page 43 of the T2S CA FAQ (</w:t>
            </w:r>
            <w:hyperlink r:id="rId8" w:history="1">
              <w:r w:rsidRPr="00BB283B">
                <w:rPr>
                  <w:rStyle w:val="Hyperlink"/>
                </w:rPr>
                <w:t>https://www.ecb.europa.eu/paym/t2s/governance/ag/html/subcorpact/index.en.html</w:t>
              </w:r>
            </w:hyperlink>
            <w:r>
              <w:rPr>
                <w:rFonts w:eastAsia="MS Mincho" w:cs="Times New Roman"/>
                <w:bCs/>
                <w:i/>
                <w:noProof/>
                <w:szCs w:val="32"/>
              </w:rPr>
              <w:t>)</w:t>
            </w:r>
          </w:p>
        </w:tc>
      </w:tr>
      <w:tr w:rsidR="00B3406E" w:rsidRPr="00CB5DDB" w:rsidTr="006542ED">
        <w:tc>
          <w:tcPr>
            <w:tcW w:w="2093" w:type="dxa"/>
            <w:tcBorders>
              <w:left w:val="nil"/>
              <w:right w:val="nil"/>
            </w:tcBorders>
            <w:shd w:val="clear" w:color="auto" w:fill="auto"/>
          </w:tcPr>
          <w:p w:rsidR="00B3406E" w:rsidRPr="00CB5DDB"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CB5DDB" w:rsidRDefault="00B3406E" w:rsidP="006542ED">
            <w:pPr>
              <w:rPr>
                <w:rFonts w:eastAsia="MS Mincho" w:cs="Times New Roman"/>
                <w:b/>
                <w:noProof/>
                <w:szCs w:val="32"/>
              </w:rPr>
            </w:pPr>
          </w:p>
        </w:tc>
      </w:tr>
      <w:tr w:rsidR="00B3406E" w:rsidRPr="005E593C" w:rsidTr="0081511D">
        <w:tc>
          <w:tcPr>
            <w:tcW w:w="2093" w:type="dxa"/>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5E593C" w:rsidRDefault="00B3406E" w:rsidP="005E593C">
            <w:pPr>
              <w:spacing w:beforeLines="60" w:before="144"/>
              <w:jc w:val="both"/>
              <w:rPr>
                <w:rFonts w:cs="Tahoma"/>
                <w:lang w:eastAsia="fr-FR"/>
              </w:rPr>
            </w:pPr>
          </w:p>
        </w:tc>
      </w:tr>
      <w:tr w:rsidR="00B3406E" w:rsidRPr="005E593C" w:rsidTr="006542ED">
        <w:tc>
          <w:tcPr>
            <w:tcW w:w="2093" w:type="dxa"/>
            <w:tcBorders>
              <w:left w:val="nil"/>
              <w:right w:val="nil"/>
            </w:tcBorders>
            <w:shd w:val="clear" w:color="auto" w:fill="auto"/>
          </w:tcPr>
          <w:p w:rsidR="00B3406E" w:rsidRPr="005E593C"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5E593C" w:rsidRDefault="00B3406E" w:rsidP="006542ED">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Default="00B3406E" w:rsidP="000E651B">
            <w:pPr>
              <w:rPr>
                <w:rFonts w:eastAsia="MS Mincho" w:cs="Times New Roman"/>
                <w:b/>
                <w:noProof/>
                <w:szCs w:val="32"/>
                <w:lang w:val="fr-FR"/>
              </w:rPr>
            </w:pPr>
            <w:r>
              <w:rPr>
                <w:rFonts w:eastAsia="MS Mincho" w:cs="Times New Roman"/>
                <w:b/>
                <w:noProof/>
                <w:szCs w:val="32"/>
                <w:lang w:val="fr-FR"/>
              </w:rPr>
              <w:t>Workflows</w:t>
            </w:r>
          </w:p>
          <w:p w:rsidR="00B3406E"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BB283B" w:rsidRPr="00D708E1" w:rsidRDefault="00BB283B" w:rsidP="00D708E1">
            <w:pPr>
              <w:pStyle w:val="ListParagraph"/>
              <w:numPr>
                <w:ilvl w:val="0"/>
                <w:numId w:val="12"/>
              </w:numPr>
              <w:ind w:left="317" w:hanging="241"/>
              <w:rPr>
                <w:rFonts w:eastAsia="MS Mincho" w:cs="Times New Roman"/>
                <w:i/>
                <w:noProof/>
                <w:szCs w:val="32"/>
              </w:rPr>
            </w:pPr>
            <w:r w:rsidRPr="001E3C7E">
              <w:rPr>
                <w:rFonts w:eastAsia="MS Mincho" w:cs="Times New Roman"/>
                <w:noProof/>
                <w:szCs w:val="32"/>
              </w:rPr>
              <w:t>MS-MATCH-CRITE-01</w:t>
            </w:r>
            <w:r w:rsidR="001E3C7E" w:rsidRPr="00D708E1">
              <w:rPr>
                <w:rFonts w:eastAsia="MS Mincho" w:cs="Times New Roman"/>
                <w:i/>
                <w:noProof/>
                <w:szCs w:val="32"/>
              </w:rPr>
              <w:t xml:space="preserve"> - Settlement instruction parties – Mandatory matching criteria</w:t>
            </w:r>
          </w:p>
          <w:p w:rsidR="00BB283B" w:rsidRPr="00D708E1" w:rsidRDefault="00D708E1" w:rsidP="00D708E1">
            <w:pPr>
              <w:pStyle w:val="ListParagraph"/>
              <w:numPr>
                <w:ilvl w:val="0"/>
                <w:numId w:val="12"/>
              </w:numPr>
              <w:ind w:left="317" w:hanging="241"/>
              <w:rPr>
                <w:rFonts w:eastAsia="MS Mincho" w:cs="Times New Roman"/>
                <w:noProof/>
                <w:szCs w:val="32"/>
              </w:rPr>
            </w:pPr>
            <w:r>
              <w:rPr>
                <w:rFonts w:eastAsia="MS Mincho" w:cs="Times New Roman"/>
                <w:noProof/>
                <w:szCs w:val="32"/>
              </w:rPr>
              <w:t>MS-MATCH-CRITE-02</w:t>
            </w:r>
            <w:r w:rsidRPr="00D708E1">
              <w:rPr>
                <w:rFonts w:eastAsia="MS Mincho" w:cs="Times New Roman"/>
                <w:i/>
                <w:noProof/>
                <w:szCs w:val="32"/>
              </w:rPr>
              <w:t xml:space="preserve"> - Use of the optional matching field: Client of the CSD participant</w:t>
            </w:r>
          </w:p>
          <w:p w:rsidR="00BB283B" w:rsidRPr="00D708E1" w:rsidRDefault="00BB283B" w:rsidP="00D708E1">
            <w:pPr>
              <w:pStyle w:val="ListParagraph"/>
              <w:numPr>
                <w:ilvl w:val="0"/>
                <w:numId w:val="12"/>
              </w:numPr>
              <w:ind w:left="317" w:hanging="241"/>
              <w:rPr>
                <w:rFonts w:eastAsia="MS Mincho" w:cs="Times New Roman"/>
                <w:i/>
                <w:noProof/>
                <w:szCs w:val="32"/>
              </w:rPr>
            </w:pPr>
            <w:r w:rsidRPr="00D708E1">
              <w:rPr>
                <w:rFonts w:eastAsia="MS Mincho" w:cs="Times New Roman"/>
                <w:noProof/>
                <w:szCs w:val="32"/>
              </w:rPr>
              <w:t>MS-SETTL-CESSIONSTEMP-01</w:t>
            </w:r>
            <w:r w:rsidR="00D708E1" w:rsidRPr="00D708E1">
              <w:rPr>
                <w:rFonts w:eastAsia="MS Mincho" w:cs="Times New Roman"/>
                <w:i/>
                <w:noProof/>
                <w:szCs w:val="32"/>
              </w:rPr>
              <w:t xml:space="preserve"> - Switch of the instruction mode of securities financing transactions into a Buy/Sell mode and management of the transition to T2S</w:t>
            </w:r>
          </w:p>
          <w:p w:rsidR="00B3406E" w:rsidRPr="00AE20EB" w:rsidRDefault="00BB283B" w:rsidP="00D708E1">
            <w:pPr>
              <w:pStyle w:val="ListParagraph"/>
              <w:numPr>
                <w:ilvl w:val="0"/>
                <w:numId w:val="12"/>
              </w:numPr>
              <w:spacing w:before="120"/>
              <w:ind w:left="317" w:hanging="241"/>
              <w:jc w:val="both"/>
              <w:rPr>
                <w:rFonts w:eastAsia="MS Mincho" w:cs="Times New Roman"/>
                <w:noProof/>
                <w:szCs w:val="32"/>
              </w:rPr>
            </w:pPr>
            <w:r w:rsidRPr="00D708E1">
              <w:rPr>
                <w:rFonts w:eastAsia="MS Mincho" w:cs="Times New Roman"/>
                <w:noProof/>
                <w:szCs w:val="32"/>
              </w:rPr>
              <w:t>MS-SETTL-CESSIONSTEMP-02</w:t>
            </w:r>
            <w:r w:rsidR="00D708E1" w:rsidRPr="00D708E1">
              <w:rPr>
                <w:rFonts w:eastAsia="MS Mincho" w:cs="Times New Roman"/>
                <w:i/>
                <w:noProof/>
                <w:szCs w:val="32"/>
              </w:rPr>
              <w:t xml:space="preserve"> - Post-T2S management of securities financing transactions</w:t>
            </w:r>
          </w:p>
        </w:tc>
      </w:tr>
    </w:tbl>
    <w:p w:rsidR="001E0D83" w:rsidRPr="00AE20EB" w:rsidRDefault="001E0D83" w:rsidP="00D103DA">
      <w:pPr>
        <w:spacing w:after="0" w:line="240" w:lineRule="auto"/>
        <w:rPr>
          <w:rFonts w:eastAsia="MS Mincho" w:cs="Times New Roman"/>
          <w:noProof/>
          <w:szCs w:val="32"/>
        </w:rPr>
      </w:pPr>
    </w:p>
    <w:p w:rsidR="0081511D" w:rsidRPr="00AE20EB" w:rsidRDefault="0081511D" w:rsidP="00D103DA">
      <w:pPr>
        <w:spacing w:after="0" w:line="240" w:lineRule="auto"/>
        <w:rPr>
          <w:rFonts w:eastAsia="MS Mincho" w:cs="Times New Roman"/>
          <w:noProof/>
          <w:szCs w:val="32"/>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8D0CDE" w:rsidTr="0081511D">
        <w:trPr>
          <w:gridAfter w:val="1"/>
          <w:wAfter w:w="30" w:type="dxa"/>
        </w:trPr>
        <w:tc>
          <w:tcPr>
            <w:tcW w:w="2093" w:type="dxa"/>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BB283B" w:rsidRDefault="00BB283B" w:rsidP="00280082">
            <w:pPr>
              <w:spacing w:before="120"/>
              <w:jc w:val="both"/>
              <w:rPr>
                <w:rFonts w:cs="Tahoma"/>
                <w:lang w:eastAsia="fr-FR"/>
              </w:rPr>
            </w:pPr>
            <w:r>
              <w:rPr>
                <w:rFonts w:cs="Tahoma"/>
                <w:lang w:eastAsia="fr-FR"/>
              </w:rPr>
              <w:t>Additional matching criteria are presented in T2S on all settlement instructions ‘to be matched’, with the exception of Free of Payment Without Matching instructions ‘already matched’.</w:t>
            </w:r>
          </w:p>
          <w:p w:rsidR="00BB283B" w:rsidRDefault="00BB283B" w:rsidP="00280082">
            <w:pPr>
              <w:spacing w:before="120"/>
              <w:jc w:val="both"/>
              <w:rPr>
                <w:rFonts w:cs="Tahoma"/>
                <w:lang w:eastAsia="fr-FR"/>
              </w:rPr>
            </w:pPr>
            <w:r>
              <w:rPr>
                <w:rFonts w:cs="Tahoma"/>
                <w:lang w:eastAsia="fr-FR"/>
              </w:rPr>
              <w:t>The use of Free of Payment Without Matching will not generate market claims, as for the OPT-OUT indicator on a regular instruction. This service will notably be used for portfolio transfers and OST proceeds.</w:t>
            </w:r>
          </w:p>
          <w:p w:rsidR="00BB283B" w:rsidRDefault="00BB283B" w:rsidP="00280082">
            <w:pPr>
              <w:spacing w:before="120"/>
              <w:jc w:val="both"/>
              <w:rPr>
                <w:rFonts w:cs="Tahoma"/>
                <w:lang w:eastAsia="fr-FR"/>
              </w:rPr>
            </w:pPr>
            <w:r>
              <w:rPr>
                <w:rFonts w:cs="Tahoma"/>
                <w:lang w:eastAsia="fr-FR"/>
              </w:rPr>
              <w:t>After analysis</w:t>
            </w:r>
            <w:r w:rsidR="00C12FF7">
              <w:rPr>
                <w:rFonts w:cs="Tahoma"/>
                <w:lang w:eastAsia="fr-FR"/>
              </w:rPr>
              <w:t>, it appears that two elements may constraint the use of additional matching criteria:</w:t>
            </w:r>
          </w:p>
          <w:p w:rsidR="00C12FF7" w:rsidRPr="00C12FF7" w:rsidRDefault="00D708E1" w:rsidP="00C12FF7">
            <w:pPr>
              <w:pStyle w:val="ListParagraph"/>
              <w:numPr>
                <w:ilvl w:val="0"/>
                <w:numId w:val="20"/>
              </w:numPr>
              <w:spacing w:before="120"/>
              <w:jc w:val="both"/>
              <w:rPr>
                <w:rFonts w:cs="Tahoma"/>
                <w:lang w:eastAsia="fr-FR"/>
              </w:rPr>
            </w:pPr>
            <w:r>
              <w:rPr>
                <w:rFonts w:cs="Tahoma"/>
                <w:lang w:eastAsia="fr-FR"/>
              </w:rPr>
              <w:t>The risk of increased mis</w:t>
            </w:r>
            <w:r w:rsidR="00C12FF7">
              <w:rPr>
                <w:rFonts w:cs="Tahoma"/>
                <w:lang w:eastAsia="fr-FR"/>
              </w:rPr>
              <w:t>ma</w:t>
            </w:r>
            <w:r>
              <w:rPr>
                <w:rFonts w:cs="Tahoma"/>
                <w:lang w:eastAsia="fr-FR"/>
              </w:rPr>
              <w:t>t</w:t>
            </w:r>
            <w:r w:rsidR="00C12FF7">
              <w:rPr>
                <w:rFonts w:cs="Tahoma"/>
                <w:lang w:eastAsia="fr-FR"/>
              </w:rPr>
              <w:t>ching</w:t>
            </w:r>
          </w:p>
          <w:p w:rsidR="00BB283B" w:rsidRDefault="00C12FF7" w:rsidP="00280082">
            <w:pPr>
              <w:spacing w:before="120"/>
              <w:jc w:val="both"/>
              <w:rPr>
                <w:rFonts w:cs="Tahoma"/>
                <w:lang w:eastAsia="fr-FR"/>
              </w:rPr>
            </w:pPr>
            <w:r>
              <w:rPr>
                <w:rFonts w:cs="Tahoma"/>
                <w:lang w:eastAsia="fr-FR"/>
              </w:rPr>
              <w:t>Market operators on securities financing transactions are reluctant to use these matching criteria, for fear of potentially increasing the rate of unmatched transactions.</w:t>
            </w:r>
          </w:p>
          <w:p w:rsidR="00C12FF7" w:rsidRPr="00C12FF7" w:rsidRDefault="00C12FF7" w:rsidP="00C12FF7">
            <w:pPr>
              <w:pStyle w:val="ListParagraph"/>
              <w:numPr>
                <w:ilvl w:val="0"/>
                <w:numId w:val="20"/>
              </w:numPr>
              <w:spacing w:before="120"/>
              <w:jc w:val="both"/>
              <w:rPr>
                <w:rFonts w:cs="Tahoma"/>
                <w:lang w:eastAsia="fr-FR"/>
              </w:rPr>
            </w:pPr>
            <w:r>
              <w:rPr>
                <w:rFonts w:cs="Tahoma"/>
                <w:lang w:eastAsia="fr-FR"/>
              </w:rPr>
              <w:t>The fiscal impact</w:t>
            </w:r>
          </w:p>
          <w:p w:rsidR="00C12FF7" w:rsidRDefault="00C12FF7" w:rsidP="00280082">
            <w:pPr>
              <w:spacing w:before="120"/>
              <w:jc w:val="both"/>
              <w:rPr>
                <w:rFonts w:cs="Tahoma"/>
                <w:lang w:eastAsia="fr-FR"/>
              </w:rPr>
            </w:pPr>
            <w:r>
              <w:rPr>
                <w:rFonts w:cs="Tahoma"/>
                <w:lang w:eastAsia="fr-FR"/>
              </w:rPr>
              <w:t>The use of additional matching criteria CUM/EX, OPT-OUT/OPT-IN, and more specifically the indicators ‘EX’ and ‘OPT-OUT’, lead to a lack of transparency on market claims which are no longer automatically detectable by the information systems of custodians. The custodians could be held liable as they are responsible towards tax authorities for collecting tax information and tax proceeds. They could in effect be held responsible, directly or indirectly, of tax arbitrage.</w:t>
            </w:r>
          </w:p>
          <w:p w:rsidR="00C12FF7" w:rsidRPr="00C12FF7" w:rsidRDefault="00C12FF7" w:rsidP="00C12FF7">
            <w:pPr>
              <w:pStyle w:val="ListParagraph"/>
              <w:numPr>
                <w:ilvl w:val="0"/>
                <w:numId w:val="20"/>
              </w:numPr>
              <w:spacing w:before="120"/>
              <w:jc w:val="both"/>
              <w:rPr>
                <w:rFonts w:cs="Tahoma"/>
                <w:lang w:eastAsia="fr-FR"/>
              </w:rPr>
            </w:pPr>
            <w:r>
              <w:rPr>
                <w:rFonts w:cs="Tahoma"/>
                <w:lang w:eastAsia="fr-FR"/>
              </w:rPr>
              <w:t>Conclusion</w:t>
            </w:r>
          </w:p>
          <w:p w:rsidR="00C12FF7" w:rsidRDefault="00C12FF7" w:rsidP="00280082">
            <w:pPr>
              <w:spacing w:before="120"/>
              <w:jc w:val="both"/>
              <w:rPr>
                <w:rFonts w:cs="Tahoma"/>
                <w:lang w:eastAsia="fr-FR"/>
              </w:rPr>
            </w:pPr>
            <w:r>
              <w:rPr>
                <w:rFonts w:cs="Tahoma"/>
                <w:lang w:eastAsia="fr-FR"/>
              </w:rPr>
              <w:t>Prudence should prevail in the use of these indicators.</w:t>
            </w:r>
          </w:p>
          <w:p w:rsidR="00C12FF7" w:rsidRDefault="00C12FF7" w:rsidP="00280082">
            <w:pPr>
              <w:spacing w:before="120"/>
              <w:jc w:val="both"/>
              <w:rPr>
                <w:rFonts w:cs="Tahoma"/>
                <w:lang w:eastAsia="fr-FR"/>
              </w:rPr>
            </w:pPr>
            <w:r>
              <w:rPr>
                <w:rFonts w:cs="Tahoma"/>
                <w:lang w:eastAsia="fr-FR"/>
              </w:rPr>
              <w:t>At that stage, without further analysis on the tax aspects, no general market practice is recommended, as long as custodians respect the instructions from their clients. It is important that the clients are advised of the potential fiscal impact of using these indicators, and of the necessary prudence in their use.</w:t>
            </w:r>
          </w:p>
          <w:p w:rsidR="00C12FF7" w:rsidRDefault="00C12FF7" w:rsidP="00280082">
            <w:pPr>
              <w:spacing w:before="120"/>
              <w:jc w:val="both"/>
              <w:rPr>
                <w:rFonts w:cs="Tahoma"/>
                <w:lang w:eastAsia="fr-FR"/>
              </w:rPr>
            </w:pPr>
            <w:r>
              <w:rPr>
                <w:rFonts w:cs="Tahoma"/>
                <w:lang w:eastAsia="fr-FR"/>
              </w:rPr>
              <w:t>The recommendation, for securities financing transactions is to set the value of these indicators at blank. A priori, it appears useful to apply this recommendation to all activities, provided that the instruction from the client is respected.</w:t>
            </w:r>
          </w:p>
          <w:p w:rsidR="00C12FF7" w:rsidRPr="00C12FF7" w:rsidRDefault="00C12FF7" w:rsidP="00C12FF7">
            <w:pPr>
              <w:pStyle w:val="ListParagraph"/>
              <w:numPr>
                <w:ilvl w:val="0"/>
                <w:numId w:val="20"/>
              </w:numPr>
              <w:spacing w:before="120"/>
              <w:jc w:val="both"/>
              <w:rPr>
                <w:rFonts w:cs="Tahoma"/>
                <w:lang w:eastAsia="fr-FR"/>
              </w:rPr>
            </w:pPr>
            <w:r>
              <w:rPr>
                <w:rFonts w:cs="Tahoma"/>
                <w:lang w:eastAsia="fr-FR"/>
              </w:rPr>
              <w:t>Specific rules for the migration to T2S</w:t>
            </w:r>
          </w:p>
          <w:p w:rsidR="00C12FF7" w:rsidRDefault="00C12FF7" w:rsidP="00280082">
            <w:pPr>
              <w:spacing w:before="120"/>
              <w:jc w:val="both"/>
              <w:rPr>
                <w:rFonts w:cs="Tahoma"/>
                <w:lang w:eastAsia="fr-FR"/>
              </w:rPr>
            </w:pPr>
            <w:r>
              <w:rPr>
                <w:rFonts w:cs="Tahoma"/>
                <w:lang w:eastAsia="fr-FR"/>
              </w:rPr>
              <w:t xml:space="preserve">Operations migrated to T2S </w:t>
            </w:r>
            <w:r w:rsidR="00782E81">
              <w:rPr>
                <w:rFonts w:cs="Tahoma"/>
                <w:lang w:eastAsia="fr-FR"/>
              </w:rPr>
              <w:t>can by</w:t>
            </w:r>
            <w:r w:rsidR="001B5915">
              <w:rPr>
                <w:rFonts w:cs="Tahoma"/>
                <w:lang w:eastAsia="fr-FR"/>
              </w:rPr>
              <w:t xml:space="preserve"> nature not present these indicators who do not exist today. The only operations that may be affected in the course of the migration are those re-input after the point of non-return. They should a priori not present these additional criteria, as the instruction should be identical to the </w:t>
            </w:r>
            <w:r w:rsidR="001B5915">
              <w:rPr>
                <w:rFonts w:cs="Tahoma"/>
                <w:lang w:eastAsia="fr-FR"/>
              </w:rPr>
              <w:lastRenderedPageBreak/>
              <w:t>original instruction.</w:t>
            </w:r>
          </w:p>
          <w:p w:rsidR="008214BC" w:rsidRPr="005B7B22" w:rsidRDefault="001B5915" w:rsidP="00033FBF">
            <w:pPr>
              <w:spacing w:before="120"/>
              <w:jc w:val="both"/>
              <w:rPr>
                <w:rFonts w:cs="Tahoma"/>
                <w:lang w:eastAsia="fr-FR"/>
              </w:rPr>
            </w:pPr>
            <w:r>
              <w:rPr>
                <w:rFonts w:cs="Tahoma"/>
                <w:lang w:eastAsia="fr-FR"/>
              </w:rPr>
              <w:t>Nonetheless, as they will be available in the system, the recommendation is not to use them, also considering the above mentioned fiscal impacts.</w:t>
            </w:r>
          </w:p>
        </w:tc>
      </w:tr>
      <w:tr w:rsidR="0081511D" w:rsidRPr="008D0CDE" w:rsidTr="0081511D">
        <w:tc>
          <w:tcPr>
            <w:tcW w:w="2093" w:type="dxa"/>
            <w:tcBorders>
              <w:left w:val="nil"/>
              <w:right w:val="nil"/>
            </w:tcBorders>
            <w:shd w:val="clear" w:color="auto" w:fill="auto"/>
          </w:tcPr>
          <w:p w:rsidR="0081511D" w:rsidRPr="008D0CDE"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8D0CDE" w:rsidRDefault="0081511D" w:rsidP="006542ED">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0E651B">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0E651B">
            <w:pPr>
              <w:rPr>
                <w:rFonts w:eastAsia="MS Mincho" w:cs="Times New Roman"/>
                <w:b/>
                <w:noProof/>
                <w:szCs w:val="32"/>
              </w:rPr>
            </w:pPr>
            <w:r w:rsidRPr="00F370B0">
              <w:rPr>
                <w:rFonts w:eastAsia="MS Mincho" w:cs="Times New Roman"/>
                <w:b/>
                <w:noProof/>
                <w:szCs w:val="32"/>
              </w:rPr>
              <w:t>Workflows</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bl>
    <w:p w:rsidR="00363E89" w:rsidRPr="00F370B0" w:rsidRDefault="00363E89" w:rsidP="001E0D83">
      <w:pPr>
        <w:spacing w:after="0" w:line="240" w:lineRule="auto"/>
        <w:rPr>
          <w:rFonts w:eastAsia="MS Mincho" w:cs="Times New Roman"/>
          <w:noProof/>
          <w:szCs w:val="32"/>
        </w:rPr>
      </w:pPr>
    </w:p>
    <w:p w:rsidR="0085743B" w:rsidRPr="00F370B0" w:rsidRDefault="0085743B">
      <w:pPr>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438"/>
        <w:gridCol w:w="2438"/>
        <w:gridCol w:w="2438"/>
      </w:tblGrid>
      <w:tr w:rsidR="00B3406E" w:rsidRPr="00B3406E" w:rsidTr="000E651B">
        <w:trPr>
          <w:trHeight w:val="338"/>
        </w:trPr>
        <w:tc>
          <w:tcPr>
            <w:tcW w:w="2302" w:type="dxa"/>
            <w:vMerge w:val="restart"/>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0E651B">
            <w:pPr>
              <w:rPr>
                <w:rFonts w:eastAsia="MS Mincho" w:cs="Times New Roman"/>
                <w:b/>
                <w:noProof/>
                <w:szCs w:val="32"/>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140482" w:rsidRDefault="001F21F9"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bookmarkStart w:id="0" w:name="_GoBack"/>
      <w:bookmarkEnd w:id="0"/>
    </w:p>
    <w:sectPr w:rsidR="00BA6B0A" w:rsidSect="006D6846">
      <w:headerReference w:type="default" r:id="rId9"/>
      <w:footerReference w:type="default" r:id="rId10"/>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209" w:rsidRDefault="00D20209" w:rsidP="006D6846">
      <w:pPr>
        <w:spacing w:after="0" w:line="240" w:lineRule="auto"/>
      </w:pPr>
      <w:r>
        <w:separator/>
      </w:r>
    </w:p>
  </w:endnote>
  <w:endnote w:type="continuationSeparator" w:id="0">
    <w:p w:rsidR="00D20209" w:rsidRDefault="00D20209"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782E81">
          <w:rPr>
            <w:noProof/>
          </w:rPr>
          <w:t>4</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209" w:rsidRDefault="00D20209" w:rsidP="006D6846">
      <w:pPr>
        <w:spacing w:after="0" w:line="240" w:lineRule="auto"/>
      </w:pPr>
      <w:r>
        <w:separator/>
      </w:r>
    </w:p>
  </w:footnote>
  <w:footnote w:type="continuationSeparator" w:id="0">
    <w:p w:rsidR="00D20209" w:rsidRDefault="00D20209"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2650CD" w:rsidRPr="005B1C9D" w:rsidRDefault="002650CD" w:rsidP="002650CD">
          <w:pPr>
            <w:pStyle w:val="Header"/>
            <w:jc w:val="center"/>
            <w:rPr>
              <w:b/>
            </w:rPr>
          </w:pPr>
          <w:r w:rsidRPr="005B1C9D">
            <w:rPr>
              <w:b/>
            </w:rPr>
            <w:t>T2S Market Practice Adaptation Workgroup</w:t>
          </w:r>
        </w:p>
        <w:p w:rsidR="00EC776F" w:rsidRPr="002650CD" w:rsidRDefault="002650CD" w:rsidP="002650CD">
          <w:pPr>
            <w:pStyle w:val="Header"/>
            <w:jc w:val="center"/>
            <w:rPr>
              <w:b/>
            </w:rPr>
          </w:pPr>
          <w:r w:rsidRPr="005B1C9D">
            <w:rPr>
              <w:b/>
            </w:rPr>
            <w:t xml:space="preserve">Market Practice </w:t>
          </w:r>
          <w:r>
            <w:rPr>
              <w:b/>
            </w:rPr>
            <w:t>Sheet</w:t>
          </w:r>
        </w:p>
      </w:tc>
      <w:tc>
        <w:tcPr>
          <w:tcW w:w="3798" w:type="dxa"/>
          <w:vAlign w:val="center"/>
        </w:tcPr>
        <w:p w:rsidR="00EC776F" w:rsidRDefault="00EC776F" w:rsidP="00EC776F">
          <w:pPr>
            <w:pStyle w:val="Header"/>
            <w:jc w:val="center"/>
            <w:rPr>
              <w:b/>
              <w:lang w:val="fr-FR"/>
            </w:rPr>
          </w:pPr>
          <w:r>
            <w:rPr>
              <w:noProof/>
            </w:rPr>
            <w:drawing>
              <wp:inline distT="0" distB="0" distL="0" distR="0" wp14:anchorId="74261000" wp14:editId="7340B706">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F1144C">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54pt" o:ole="">
                <v:imagedata r:id="rId2" o:title=""/>
              </v:shape>
              <o:OLEObject Type="Embed" ProgID="PBrush" ShapeID="_x0000_i1025" DrawAspect="Content" ObjectID="_1537266844" r:id="rId3"/>
            </w:object>
          </w:r>
        </w:p>
      </w:tc>
    </w:tr>
    <w:tr w:rsidR="00EC776F" w:rsidRPr="00776CD9" w:rsidTr="00EC776F">
      <w:tc>
        <w:tcPr>
          <w:tcW w:w="5778" w:type="dxa"/>
          <w:vAlign w:val="center"/>
        </w:tcPr>
        <w:p w:rsidR="00EC776F" w:rsidRPr="001B5915" w:rsidRDefault="00B3406E" w:rsidP="00756030">
          <w:pPr>
            <w:pStyle w:val="Header"/>
            <w:rPr>
              <w:i/>
            </w:rPr>
          </w:pPr>
          <w:r>
            <w:rPr>
              <w:i/>
            </w:rPr>
            <w:t>Practice</w:t>
          </w:r>
          <w:r w:rsidRPr="0033411F">
            <w:rPr>
              <w:i/>
            </w:rPr>
            <w:t xml:space="preserve"> reference</w:t>
          </w:r>
          <w:r w:rsidR="00EC776F" w:rsidRPr="00B3406E">
            <w:rPr>
              <w:i/>
            </w:rPr>
            <w:t xml:space="preserve">: </w:t>
          </w:r>
          <w:r w:rsidR="001B5915" w:rsidRPr="001B5915">
            <w:rPr>
              <w:i/>
            </w:rPr>
            <w:t>MS-MATCH-CRITE-03</w:t>
          </w:r>
        </w:p>
      </w:tc>
      <w:tc>
        <w:tcPr>
          <w:tcW w:w="3798" w:type="dxa"/>
          <w:vAlign w:val="center"/>
        </w:tcPr>
        <w:p w:rsidR="00EC776F" w:rsidRPr="00B3406E" w:rsidRDefault="00EC776F" w:rsidP="00EC776F">
          <w:pPr>
            <w:pStyle w:val="Header"/>
            <w:jc w:val="center"/>
            <w:rPr>
              <w:noProof/>
            </w:rPr>
          </w:pPr>
        </w:p>
      </w:tc>
    </w:tr>
  </w:tbl>
  <w:p w:rsidR="00EC776F" w:rsidRPr="00B3406E" w:rsidRDefault="00EC776F">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2F0CF4"/>
    <w:multiLevelType w:val="hybridMultilevel"/>
    <w:tmpl w:val="8AF4518A"/>
    <w:lvl w:ilvl="0" w:tplc="4DB0C7A4">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FF73F6"/>
    <w:multiLevelType w:val="hybridMultilevel"/>
    <w:tmpl w:val="3210E624"/>
    <w:lvl w:ilvl="0" w:tplc="F6FE39A0">
      <w:start w:val="2"/>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EE0E17"/>
    <w:multiLevelType w:val="hybridMultilevel"/>
    <w:tmpl w:val="31BEA8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F75D84"/>
    <w:multiLevelType w:val="hybridMultilevel"/>
    <w:tmpl w:val="E21AB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7AE76DE"/>
    <w:multiLevelType w:val="hybridMultilevel"/>
    <w:tmpl w:val="C15C7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A178A8"/>
    <w:multiLevelType w:val="hybridMultilevel"/>
    <w:tmpl w:val="1A7A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ED2FEF"/>
    <w:multiLevelType w:val="hybridMultilevel"/>
    <w:tmpl w:val="19A66FFE"/>
    <w:lvl w:ilvl="0" w:tplc="F6FE39A0">
      <w:start w:val="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C22D62"/>
    <w:multiLevelType w:val="hybridMultilevel"/>
    <w:tmpl w:val="A57AE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EA276D"/>
    <w:multiLevelType w:val="hybridMultilevel"/>
    <w:tmpl w:val="2A869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8479E7"/>
    <w:multiLevelType w:val="hybridMultilevel"/>
    <w:tmpl w:val="0BDE89BE"/>
    <w:lvl w:ilvl="0" w:tplc="DA6629F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8"/>
  </w:num>
  <w:num w:numId="4">
    <w:abstractNumId w:val="16"/>
  </w:num>
  <w:num w:numId="5">
    <w:abstractNumId w:val="1"/>
  </w:num>
  <w:num w:numId="6">
    <w:abstractNumId w:val="0"/>
  </w:num>
  <w:num w:numId="7">
    <w:abstractNumId w:val="4"/>
  </w:num>
  <w:num w:numId="8">
    <w:abstractNumId w:val="2"/>
  </w:num>
  <w:num w:numId="9">
    <w:abstractNumId w:val="5"/>
  </w:num>
  <w:num w:numId="10">
    <w:abstractNumId w:val="10"/>
  </w:num>
  <w:num w:numId="11">
    <w:abstractNumId w:val="13"/>
  </w:num>
  <w:num w:numId="12">
    <w:abstractNumId w:val="12"/>
  </w:num>
  <w:num w:numId="13">
    <w:abstractNumId w:val="14"/>
  </w:num>
  <w:num w:numId="14">
    <w:abstractNumId w:val="15"/>
  </w:num>
  <w:num w:numId="15">
    <w:abstractNumId w:val="7"/>
  </w:num>
  <w:num w:numId="16">
    <w:abstractNumId w:val="3"/>
  </w:num>
  <w:num w:numId="17">
    <w:abstractNumId w:val="9"/>
  </w:num>
  <w:num w:numId="18">
    <w:abstractNumId w:val="17"/>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33FBF"/>
    <w:rsid w:val="000706A3"/>
    <w:rsid w:val="000A0704"/>
    <w:rsid w:val="000A6C94"/>
    <w:rsid w:val="000B1F19"/>
    <w:rsid w:val="000C1C9B"/>
    <w:rsid w:val="000D6F4D"/>
    <w:rsid w:val="000F3C24"/>
    <w:rsid w:val="00113071"/>
    <w:rsid w:val="00140482"/>
    <w:rsid w:val="00145ADA"/>
    <w:rsid w:val="001522A5"/>
    <w:rsid w:val="00162BBA"/>
    <w:rsid w:val="00183F7A"/>
    <w:rsid w:val="001A26CA"/>
    <w:rsid w:val="001B0416"/>
    <w:rsid w:val="001B1E38"/>
    <w:rsid w:val="001B5915"/>
    <w:rsid w:val="001C4C4C"/>
    <w:rsid w:val="001C7BAF"/>
    <w:rsid w:val="001D7830"/>
    <w:rsid w:val="001E0D83"/>
    <w:rsid w:val="001E3C7E"/>
    <w:rsid w:val="001F21F9"/>
    <w:rsid w:val="00211814"/>
    <w:rsid w:val="00217510"/>
    <w:rsid w:val="002650CD"/>
    <w:rsid w:val="00280082"/>
    <w:rsid w:val="00283DDE"/>
    <w:rsid w:val="0028538B"/>
    <w:rsid w:val="00291B60"/>
    <w:rsid w:val="00343829"/>
    <w:rsid w:val="00343B9E"/>
    <w:rsid w:val="00343E9C"/>
    <w:rsid w:val="003631EA"/>
    <w:rsid w:val="00363E89"/>
    <w:rsid w:val="00367A12"/>
    <w:rsid w:val="003929BA"/>
    <w:rsid w:val="003A4E76"/>
    <w:rsid w:val="003B3DA4"/>
    <w:rsid w:val="003D5E9F"/>
    <w:rsid w:val="003D7060"/>
    <w:rsid w:val="003F58F9"/>
    <w:rsid w:val="00443E07"/>
    <w:rsid w:val="004521D0"/>
    <w:rsid w:val="004522E6"/>
    <w:rsid w:val="00464015"/>
    <w:rsid w:val="004818D8"/>
    <w:rsid w:val="00482296"/>
    <w:rsid w:val="004C6FD4"/>
    <w:rsid w:val="004D78AA"/>
    <w:rsid w:val="004F6025"/>
    <w:rsid w:val="004F751F"/>
    <w:rsid w:val="005010F8"/>
    <w:rsid w:val="005061BA"/>
    <w:rsid w:val="0051485E"/>
    <w:rsid w:val="00567B1D"/>
    <w:rsid w:val="00575F36"/>
    <w:rsid w:val="005B7B22"/>
    <w:rsid w:val="005C2ACA"/>
    <w:rsid w:val="005E593C"/>
    <w:rsid w:val="00622E8A"/>
    <w:rsid w:val="00625541"/>
    <w:rsid w:val="00652C13"/>
    <w:rsid w:val="00694503"/>
    <w:rsid w:val="0069580E"/>
    <w:rsid w:val="006D6846"/>
    <w:rsid w:val="00701AE2"/>
    <w:rsid w:val="00714CE6"/>
    <w:rsid w:val="00727BF7"/>
    <w:rsid w:val="0074709E"/>
    <w:rsid w:val="00756030"/>
    <w:rsid w:val="00765664"/>
    <w:rsid w:val="00776CD9"/>
    <w:rsid w:val="00782E81"/>
    <w:rsid w:val="007B4D1C"/>
    <w:rsid w:val="007B7B10"/>
    <w:rsid w:val="007C7303"/>
    <w:rsid w:val="007E66DA"/>
    <w:rsid w:val="007F6CFC"/>
    <w:rsid w:val="00802269"/>
    <w:rsid w:val="0080446B"/>
    <w:rsid w:val="0081511D"/>
    <w:rsid w:val="008214BC"/>
    <w:rsid w:val="00830B7B"/>
    <w:rsid w:val="00837334"/>
    <w:rsid w:val="00841E84"/>
    <w:rsid w:val="0085743B"/>
    <w:rsid w:val="0086669A"/>
    <w:rsid w:val="008800A4"/>
    <w:rsid w:val="00893912"/>
    <w:rsid w:val="008A30A6"/>
    <w:rsid w:val="008B1A1E"/>
    <w:rsid w:val="008C734C"/>
    <w:rsid w:val="008D0CDE"/>
    <w:rsid w:val="009021B9"/>
    <w:rsid w:val="0091257E"/>
    <w:rsid w:val="0092276F"/>
    <w:rsid w:val="00922A8E"/>
    <w:rsid w:val="00922B9C"/>
    <w:rsid w:val="009310D4"/>
    <w:rsid w:val="00933237"/>
    <w:rsid w:val="009606C4"/>
    <w:rsid w:val="00971207"/>
    <w:rsid w:val="00982218"/>
    <w:rsid w:val="00995F65"/>
    <w:rsid w:val="009978DE"/>
    <w:rsid w:val="009A0B1C"/>
    <w:rsid w:val="009A24A6"/>
    <w:rsid w:val="009A2F1A"/>
    <w:rsid w:val="009A64D1"/>
    <w:rsid w:val="00A03851"/>
    <w:rsid w:val="00A133A7"/>
    <w:rsid w:val="00A20577"/>
    <w:rsid w:val="00A21489"/>
    <w:rsid w:val="00A35AA8"/>
    <w:rsid w:val="00A40ED4"/>
    <w:rsid w:val="00A45A45"/>
    <w:rsid w:val="00A678C0"/>
    <w:rsid w:val="00A746A0"/>
    <w:rsid w:val="00A90EEC"/>
    <w:rsid w:val="00A96A5D"/>
    <w:rsid w:val="00AA1FDB"/>
    <w:rsid w:val="00AA4C70"/>
    <w:rsid w:val="00AA62D7"/>
    <w:rsid w:val="00AC134F"/>
    <w:rsid w:val="00AD57D4"/>
    <w:rsid w:val="00AE20EB"/>
    <w:rsid w:val="00B067D0"/>
    <w:rsid w:val="00B26098"/>
    <w:rsid w:val="00B31057"/>
    <w:rsid w:val="00B3406E"/>
    <w:rsid w:val="00B40E65"/>
    <w:rsid w:val="00B44E11"/>
    <w:rsid w:val="00B457D4"/>
    <w:rsid w:val="00B540C8"/>
    <w:rsid w:val="00B62B1E"/>
    <w:rsid w:val="00B727D8"/>
    <w:rsid w:val="00B9491F"/>
    <w:rsid w:val="00BA66D3"/>
    <w:rsid w:val="00BA6B0A"/>
    <w:rsid w:val="00BB283B"/>
    <w:rsid w:val="00BC7577"/>
    <w:rsid w:val="00BE4C60"/>
    <w:rsid w:val="00C070B0"/>
    <w:rsid w:val="00C1000A"/>
    <w:rsid w:val="00C12FF7"/>
    <w:rsid w:val="00C221EA"/>
    <w:rsid w:val="00C33595"/>
    <w:rsid w:val="00C3423B"/>
    <w:rsid w:val="00C43D15"/>
    <w:rsid w:val="00C57689"/>
    <w:rsid w:val="00C60EC8"/>
    <w:rsid w:val="00C65EB2"/>
    <w:rsid w:val="00C77C0A"/>
    <w:rsid w:val="00CB0F41"/>
    <w:rsid w:val="00CB5DDB"/>
    <w:rsid w:val="00CC7462"/>
    <w:rsid w:val="00CE6DA3"/>
    <w:rsid w:val="00CF605A"/>
    <w:rsid w:val="00D103DA"/>
    <w:rsid w:val="00D12DE8"/>
    <w:rsid w:val="00D20209"/>
    <w:rsid w:val="00D252A7"/>
    <w:rsid w:val="00D50DB6"/>
    <w:rsid w:val="00D529B3"/>
    <w:rsid w:val="00D53037"/>
    <w:rsid w:val="00D5515F"/>
    <w:rsid w:val="00D66DD4"/>
    <w:rsid w:val="00D708E1"/>
    <w:rsid w:val="00DB106F"/>
    <w:rsid w:val="00DD071C"/>
    <w:rsid w:val="00E351C1"/>
    <w:rsid w:val="00E35B86"/>
    <w:rsid w:val="00E438E3"/>
    <w:rsid w:val="00E52109"/>
    <w:rsid w:val="00E62EAE"/>
    <w:rsid w:val="00EA5560"/>
    <w:rsid w:val="00EB44AB"/>
    <w:rsid w:val="00EC776F"/>
    <w:rsid w:val="00F00BF4"/>
    <w:rsid w:val="00F1144C"/>
    <w:rsid w:val="00F138F4"/>
    <w:rsid w:val="00F358FF"/>
    <w:rsid w:val="00F35CCA"/>
    <w:rsid w:val="00F370B0"/>
    <w:rsid w:val="00F84B2D"/>
    <w:rsid w:val="00F904C9"/>
    <w:rsid w:val="00FC06B7"/>
    <w:rsid w:val="00FC4F18"/>
    <w:rsid w:val="00FE1975"/>
    <w:rsid w:val="00FF1C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yperlink">
    <w:name w:val="Hyperlink"/>
    <w:basedOn w:val="DefaultParagraphFont"/>
    <w:uiPriority w:val="99"/>
    <w:semiHidden/>
    <w:unhideWhenUsed/>
    <w:rsid w:val="00AE20E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b.europa.eu/paym/t2s/governance/ag/html/subcorpact/index.e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1201</TotalTime>
  <Pages>4</Pages>
  <Words>855</Words>
  <Characters>4876</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43</cp:revision>
  <cp:lastPrinted>2015-10-09T10:36:00Z</cp:lastPrinted>
  <dcterms:created xsi:type="dcterms:W3CDTF">2016-01-07T06:52:00Z</dcterms:created>
  <dcterms:modified xsi:type="dcterms:W3CDTF">2016-10-06T11:44:00Z</dcterms:modified>
</cp:coreProperties>
</file>