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664" w:rsidRDefault="00765664" w:rsidP="006D6846">
      <w:pPr>
        <w:tabs>
          <w:tab w:val="left" w:pos="9356"/>
        </w:tabs>
        <w:ind w:right="-279"/>
        <w:jc w:val="center"/>
        <w:rPr>
          <w:sz w:val="36"/>
          <w:lang w:val="fr-FR"/>
        </w:rPr>
      </w:pPr>
    </w:p>
    <w:p w:rsidR="00575F36" w:rsidRPr="00666AB5" w:rsidRDefault="00666AB5" w:rsidP="00AA1FD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center"/>
        <w:rPr>
          <w:b/>
          <w:noProof/>
          <w:sz w:val="36"/>
        </w:rPr>
      </w:pPr>
      <w:r w:rsidRPr="00666AB5">
        <w:rPr>
          <w:b/>
          <w:noProof/>
          <w:sz w:val="36"/>
        </w:rPr>
        <w:t>Optimization of the settleme</w:t>
      </w:r>
      <w:r w:rsidR="00E859C0">
        <w:rPr>
          <w:b/>
          <w:noProof/>
          <w:sz w:val="36"/>
        </w:rPr>
        <w:t>nt of orders in amount on funds</w:t>
      </w:r>
    </w:p>
    <w:p w:rsidR="001B1E38" w:rsidRPr="00666AB5" w:rsidRDefault="001B1E38" w:rsidP="006D6846">
      <w:pPr>
        <w:tabs>
          <w:tab w:val="left" w:pos="9356"/>
        </w:tabs>
        <w:ind w:right="-279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4932"/>
      </w:tblGrid>
      <w:tr w:rsidR="004F6025" w:rsidTr="0091257E">
        <w:tc>
          <w:tcPr>
            <w:tcW w:w="2093" w:type="dxa"/>
            <w:vMerge w:val="restart"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r w:rsidRPr="004F6025">
              <w:rPr>
                <w:b/>
                <w:lang w:val="fr-FR"/>
              </w:rPr>
              <w:t>Versioning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4932" w:type="dxa"/>
          </w:tcPr>
          <w:p w:rsidR="004F6025" w:rsidRDefault="003D75CA" w:rsidP="00776CD9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="00140482">
              <w:rPr>
                <w:lang w:val="fr-FR"/>
              </w:rPr>
              <w:t>.</w:t>
            </w:r>
            <w:r w:rsidR="00776CD9">
              <w:rPr>
                <w:lang w:val="fr-FR"/>
              </w:rPr>
              <w:t>0</w:t>
            </w:r>
          </w:p>
        </w:tc>
      </w:tr>
      <w:tr w:rsidR="00666AB5" w:rsidRPr="00AA1FDB" w:rsidTr="0091257E">
        <w:tc>
          <w:tcPr>
            <w:tcW w:w="2093" w:type="dxa"/>
            <w:vMerge/>
            <w:shd w:val="clear" w:color="auto" w:fill="BFBFBF" w:themeFill="background1" w:themeFillShade="BF"/>
          </w:tcPr>
          <w:p w:rsidR="00666AB5" w:rsidRPr="004F6025" w:rsidRDefault="00666AB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:rsidR="00666AB5" w:rsidRDefault="00666AB5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Publication date</w:t>
            </w:r>
          </w:p>
        </w:tc>
        <w:tc>
          <w:tcPr>
            <w:tcW w:w="4932" w:type="dxa"/>
          </w:tcPr>
          <w:p w:rsidR="00666AB5" w:rsidRDefault="00666AB5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April 6th, 2016</w:t>
            </w:r>
          </w:p>
        </w:tc>
      </w:tr>
    </w:tbl>
    <w:p w:rsidR="00B26098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C776F" w:rsidRDefault="00EC776F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666AB5" w:rsidRPr="000C4CA6" w:rsidRDefault="00666AB5" w:rsidP="00666AB5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</w:rPr>
      </w:pPr>
      <w:r w:rsidRPr="003348A6">
        <w:rPr>
          <w:rFonts w:eastAsia="MS Mincho" w:cs="Times New Roman"/>
          <w:b/>
          <w:caps/>
          <w:noProof/>
          <w:sz w:val="32"/>
          <w:szCs w:val="32"/>
        </w:rPr>
        <w:t>Description of the existing practice &amp; of the Impacts</w:t>
      </w:r>
    </w:p>
    <w:p w:rsidR="0081511D" w:rsidRPr="00666AB5" w:rsidRDefault="0081511D" w:rsidP="00B26098">
      <w:pPr>
        <w:spacing w:after="0" w:line="240" w:lineRule="auto"/>
        <w:rPr>
          <w:rFonts w:eastAsia="MS Mincho" w:cs="Times New Roman"/>
          <w:noProof/>
          <w:szCs w:val="32"/>
        </w:rPr>
      </w:pPr>
    </w:p>
    <w:tbl>
      <w:tblPr>
        <w:tblStyle w:val="Grilledutableau"/>
        <w:tblW w:w="9606" w:type="dxa"/>
        <w:tblLayout w:type="fixed"/>
        <w:tblLook w:val="04A0" w:firstRow="1" w:lastRow="0" w:firstColumn="1" w:lastColumn="0" w:noHBand="0" w:noVBand="1"/>
      </w:tblPr>
      <w:tblGrid>
        <w:gridCol w:w="1701"/>
        <w:gridCol w:w="7905"/>
      </w:tblGrid>
      <w:tr w:rsidR="00666AB5" w:rsidRPr="006028C3" w:rsidTr="003D75CA">
        <w:tc>
          <w:tcPr>
            <w:tcW w:w="170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6AB5" w:rsidRPr="000C4CA6" w:rsidRDefault="00666AB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5B1C9D">
              <w:rPr>
                <w:rFonts w:eastAsia="MS Mincho" w:cs="Times New Roman"/>
                <w:b/>
                <w:noProof/>
                <w:szCs w:val="32"/>
              </w:rPr>
              <w:t>Description of the existing practice</w:t>
            </w:r>
          </w:p>
        </w:tc>
        <w:tc>
          <w:tcPr>
            <w:tcW w:w="7905" w:type="dxa"/>
            <w:tcBorders>
              <w:bottom w:val="single" w:sz="4" w:space="0" w:color="auto"/>
            </w:tcBorders>
          </w:tcPr>
          <w:p w:rsidR="00DA6DAE" w:rsidRPr="00DA6DAE" w:rsidRDefault="00DA6DAE" w:rsidP="003D75CA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DA6DAE">
              <w:rPr>
                <w:rFonts w:eastAsia="MS Mincho" w:cs="Times New Roman"/>
                <w:noProof/>
                <w:szCs w:val="32"/>
              </w:rPr>
              <w:t>The French market has proposed a practice in orde</w:t>
            </w:r>
            <w:r w:rsidR="00BF27C7">
              <w:rPr>
                <w:rFonts w:eastAsia="MS Mincho" w:cs="Times New Roman"/>
                <w:noProof/>
                <w:szCs w:val="32"/>
              </w:rPr>
              <w:t>r to allow for orders in amount</w:t>
            </w:r>
            <w:r w:rsidRPr="00DA6DAE">
              <w:rPr>
                <w:rFonts w:eastAsia="MS Mincho" w:cs="Times New Roman"/>
                <w:noProof/>
                <w:szCs w:val="32"/>
              </w:rPr>
              <w:t xml:space="preserve"> when the prospectus </w:t>
            </w:r>
            <w:r>
              <w:rPr>
                <w:rFonts w:eastAsia="MS Mincho" w:cs="Times New Roman"/>
                <w:noProof/>
                <w:szCs w:val="32"/>
              </w:rPr>
              <w:t>authorizes it. The objective is to avoid fractions in a purchase/redemption in am</w:t>
            </w:r>
            <w:r w:rsidR="00A90A71">
              <w:rPr>
                <w:rFonts w:eastAsia="MS Mincho" w:cs="Times New Roman"/>
                <w:noProof/>
                <w:szCs w:val="32"/>
              </w:rPr>
              <w:t>ount, and avoid mismatches, by getting as close as possible to the subscribed amount using the equation below.</w:t>
            </w:r>
          </w:p>
          <w:p w:rsidR="00A90A71" w:rsidRDefault="00A90A71" w:rsidP="003D75CA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A90A71">
              <w:rPr>
                <w:rFonts w:eastAsia="MS Mincho" w:cs="Times New Roman"/>
                <w:noProof/>
                <w:szCs w:val="32"/>
              </w:rPr>
              <w:t xml:space="preserve">For the determination of the quantity subscribed, the transfer agent </w:t>
            </w:r>
            <w:r>
              <w:rPr>
                <w:rFonts w:eastAsia="MS Mincho" w:cs="Times New Roman"/>
                <w:noProof/>
                <w:szCs w:val="32"/>
              </w:rPr>
              <w:t>recommends the application of the following formula, for subscriptions in amount, as well as for redemptions in amount:</w:t>
            </w:r>
          </w:p>
          <w:p w:rsidR="00473668" w:rsidRDefault="00473668" w:rsidP="003D75CA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</w:p>
          <w:tbl>
            <w:tblPr>
              <w:tblStyle w:val="Grilledutableau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2972"/>
              <w:gridCol w:w="4702"/>
            </w:tblGrid>
            <w:tr w:rsidR="00473668" w:rsidTr="00BF27C7">
              <w:tc>
                <w:tcPr>
                  <w:tcW w:w="2972" w:type="dxa"/>
                  <w:vMerge w:val="restart"/>
                  <w:vAlign w:val="center"/>
                </w:tcPr>
                <w:p w:rsidR="00473668" w:rsidRPr="006028C3" w:rsidRDefault="00473668" w:rsidP="006028C3">
                  <w:pPr>
                    <w:spacing w:before="120"/>
                    <w:jc w:val="center"/>
                    <w:rPr>
                      <w:rFonts w:eastAsia="MS Mincho" w:cs="Times New Roman"/>
                      <w:noProof/>
                      <w:sz w:val="16"/>
                      <w:szCs w:val="32"/>
                    </w:rPr>
                  </w:pPr>
                  <w:r w:rsidRPr="006028C3">
                    <w:rPr>
                      <w:rFonts w:eastAsia="MS Mincho" w:cs="Times New Roman"/>
                      <w:noProof/>
                      <w:sz w:val="16"/>
                      <w:szCs w:val="32"/>
                    </w:rPr>
                    <w:t xml:space="preserve">[Subscribed quantity] </w:t>
                  </w:r>
                  <w:r w:rsidRPr="006028C3">
                    <w:rPr>
                      <w:rFonts w:eastAsia="MS Mincho" w:cs="Times New Roman"/>
                      <w:noProof/>
                      <w:sz w:val="16"/>
                      <w:szCs w:val="32"/>
                      <w:vertAlign w:val="superscript"/>
                    </w:rPr>
                    <w:t>round</w:t>
                  </w:r>
                  <w:r w:rsidR="006028C3" w:rsidRPr="006028C3">
                    <w:rPr>
                      <w:rFonts w:eastAsia="MS Mincho" w:cs="Times New Roman"/>
                      <w:noProof/>
                      <w:sz w:val="16"/>
                      <w:szCs w:val="32"/>
                      <w:vertAlign w:val="superscript"/>
                    </w:rPr>
                    <w:t>ing</w:t>
                  </w:r>
                  <w:r w:rsidRPr="006028C3">
                    <w:rPr>
                      <w:rFonts w:eastAsia="MS Mincho" w:cs="Times New Roman"/>
                      <w:noProof/>
                      <w:sz w:val="16"/>
                      <w:szCs w:val="32"/>
                      <w:vertAlign w:val="superscript"/>
                    </w:rPr>
                    <w:t xml:space="preserve"> decimals quantity</w:t>
                  </w:r>
                  <w:r w:rsidRPr="006028C3">
                    <w:rPr>
                      <w:rFonts w:eastAsia="MS Mincho" w:cs="Times New Roman"/>
                      <w:noProof/>
                      <w:sz w:val="16"/>
                      <w:szCs w:val="32"/>
                    </w:rPr>
                    <w:t xml:space="preserve"> =</w:t>
                  </w:r>
                </w:p>
              </w:tc>
              <w:tc>
                <w:tcPr>
                  <w:tcW w:w="470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73668" w:rsidRPr="006028C3" w:rsidRDefault="00473668" w:rsidP="00473668">
                  <w:pPr>
                    <w:spacing w:before="120"/>
                    <w:jc w:val="center"/>
                    <w:rPr>
                      <w:rFonts w:eastAsia="MS Mincho" w:cs="Times New Roman"/>
                      <w:noProof/>
                      <w:sz w:val="16"/>
                      <w:szCs w:val="32"/>
                    </w:rPr>
                  </w:pPr>
                  <w:r w:rsidRPr="006028C3">
                    <w:rPr>
                      <w:rFonts w:eastAsia="MS Mincho" w:cs="Times New Roman"/>
                      <w:noProof/>
                      <w:sz w:val="16"/>
                      <w:szCs w:val="32"/>
                    </w:rPr>
                    <w:t>Order amount</w:t>
                  </w:r>
                </w:p>
              </w:tc>
            </w:tr>
            <w:tr w:rsidR="00473668" w:rsidTr="00BF27C7">
              <w:tc>
                <w:tcPr>
                  <w:tcW w:w="2972" w:type="dxa"/>
                  <w:vMerge/>
                </w:tcPr>
                <w:p w:rsidR="00473668" w:rsidRPr="006028C3" w:rsidRDefault="00473668" w:rsidP="003D75CA">
                  <w:pPr>
                    <w:spacing w:before="120"/>
                    <w:jc w:val="both"/>
                    <w:rPr>
                      <w:rFonts w:eastAsia="MS Mincho" w:cs="Times New Roman"/>
                      <w:noProof/>
                      <w:sz w:val="16"/>
                      <w:szCs w:val="32"/>
                    </w:rPr>
                  </w:pPr>
                </w:p>
              </w:tc>
              <w:tc>
                <w:tcPr>
                  <w:tcW w:w="470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73668" w:rsidRPr="006028C3" w:rsidRDefault="00473668" w:rsidP="00473668">
                  <w:pPr>
                    <w:spacing w:before="120"/>
                    <w:jc w:val="center"/>
                    <w:rPr>
                      <w:rFonts w:eastAsia="MS Mincho" w:cs="Times New Roman"/>
                      <w:noProof/>
                      <w:sz w:val="16"/>
                      <w:szCs w:val="32"/>
                    </w:rPr>
                  </w:pPr>
                  <w:r w:rsidRPr="006028C3">
                    <w:rPr>
                      <w:rFonts w:eastAsia="MS Mincho" w:cs="Times New Roman"/>
                      <w:noProof/>
                      <w:sz w:val="16"/>
                      <w:szCs w:val="32"/>
                    </w:rPr>
                    <w:t>[NAV * (1 +/- Fee rate retained by the fund +/- Fee rate retained by the manager</w:t>
                  </w:r>
                  <w:r w:rsidR="006028C3" w:rsidRPr="006028C3">
                    <w:rPr>
                      <w:rFonts w:eastAsia="MS Mincho" w:cs="Times New Roman"/>
                      <w:noProof/>
                      <w:sz w:val="16"/>
                      <w:szCs w:val="32"/>
                    </w:rPr>
                    <w:t>)</w:t>
                  </w:r>
                  <w:r w:rsidRPr="006028C3">
                    <w:rPr>
                      <w:rFonts w:eastAsia="MS Mincho" w:cs="Times New Roman"/>
                      <w:noProof/>
                      <w:sz w:val="16"/>
                      <w:szCs w:val="32"/>
                    </w:rPr>
                    <w:t>]</w:t>
                  </w:r>
                  <w:r w:rsidR="006028C3" w:rsidRPr="006028C3">
                    <w:rPr>
                      <w:rFonts w:eastAsia="MS Mincho" w:cs="Times New Roman"/>
                      <w:noProof/>
                      <w:sz w:val="16"/>
                      <w:szCs w:val="32"/>
                      <w:vertAlign w:val="superscript"/>
                    </w:rPr>
                    <w:t>rounding 8 decimals</w:t>
                  </w:r>
                </w:p>
              </w:tc>
            </w:tr>
          </w:tbl>
          <w:p w:rsidR="00473668" w:rsidRDefault="00473668" w:rsidP="003D75CA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</w:p>
          <w:p w:rsidR="00666AB5" w:rsidRPr="006028C3" w:rsidRDefault="006028C3" w:rsidP="003D75CA">
            <w:pPr>
              <w:pStyle w:val="FDNormal"/>
              <w:rPr>
                <w:rFonts w:asciiTheme="minorHAnsi" w:eastAsia="MS Mincho" w:hAnsiTheme="minorHAnsi" w:cs="Times New Roman"/>
                <w:noProof/>
                <w:sz w:val="22"/>
                <w:szCs w:val="32"/>
                <w:lang w:val="en-US" w:eastAsia="en-US"/>
              </w:rPr>
            </w:pPr>
            <w:r w:rsidRPr="006028C3">
              <w:rPr>
                <w:rFonts w:asciiTheme="minorHAnsi" w:eastAsia="MS Mincho" w:hAnsiTheme="minorHAnsi" w:cs="Times New Roman"/>
                <w:noProof/>
                <w:sz w:val="22"/>
                <w:szCs w:val="32"/>
                <w:lang w:val="en-US" w:eastAsia="en-US"/>
              </w:rPr>
              <w:t>The following table allows for the determination of the appropriate couple NAV / decimalization</w:t>
            </w:r>
            <w:r w:rsidR="00666AB5" w:rsidRPr="006028C3">
              <w:rPr>
                <w:rFonts w:asciiTheme="minorHAnsi" w:eastAsia="MS Mincho" w:hAnsiTheme="minorHAnsi" w:cs="Times New Roman"/>
                <w:noProof/>
                <w:sz w:val="22"/>
                <w:szCs w:val="32"/>
                <w:lang w:val="en-US" w:eastAsia="en-US"/>
              </w:rPr>
              <w:t>:</w:t>
            </w:r>
          </w:p>
          <w:tbl>
            <w:tblPr>
              <w:tblW w:w="73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3685"/>
            </w:tblGrid>
            <w:tr w:rsidR="00666AB5" w:rsidRPr="002E7699" w:rsidTr="000E651B">
              <w:tc>
                <w:tcPr>
                  <w:tcW w:w="3685" w:type="dxa"/>
                </w:tcPr>
                <w:p w:rsidR="00666AB5" w:rsidRPr="002E7699" w:rsidRDefault="006028C3" w:rsidP="00BF27C7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</w:pP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NAV</w:t>
                  </w:r>
                  <w:r w:rsidR="00666AB5"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 </w:t>
                  </w: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lower then </w:t>
                  </w:r>
                  <w:r w:rsidR="00666AB5"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EUR 1</w:t>
                  </w:r>
                  <w:r w:rsidR="00BF27C7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,</w:t>
                  </w:r>
                  <w:r w:rsidR="00666AB5"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999</w:t>
                  </w:r>
                </w:p>
              </w:tc>
              <w:tc>
                <w:tcPr>
                  <w:tcW w:w="3685" w:type="dxa"/>
                </w:tcPr>
                <w:p w:rsidR="00666AB5" w:rsidRPr="002E7699" w:rsidRDefault="00666AB5" w:rsidP="006028C3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</w:pP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D</w:t>
                  </w:r>
                  <w:r w:rsid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e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cimalisation </w:t>
                  </w:r>
                  <w:r w:rsid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on 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3 positions </w:t>
                  </w:r>
                </w:p>
              </w:tc>
            </w:tr>
            <w:tr w:rsidR="00666AB5" w:rsidRPr="002E7699" w:rsidTr="000E651B">
              <w:tc>
                <w:tcPr>
                  <w:tcW w:w="3685" w:type="dxa"/>
                </w:tcPr>
                <w:p w:rsidR="00666AB5" w:rsidRPr="006028C3" w:rsidRDefault="006028C3" w:rsidP="00BF27C7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</w:pP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NAV</w:t>
                  </w:r>
                  <w:r w:rsidR="00666AB5"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 xml:space="preserve"> </w:t>
                  </w:r>
                  <w:r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 xml:space="preserve">between </w:t>
                  </w:r>
                  <w:r w:rsidR="00666AB5"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EUR 2</w:t>
                  </w:r>
                  <w:r w:rsidR="00BF27C7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,</w:t>
                  </w:r>
                  <w:r w:rsidR="00666AB5"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 xml:space="preserve">000 </w:t>
                  </w:r>
                  <w:r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and</w:t>
                  </w:r>
                  <w:r w:rsidR="00666AB5"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 xml:space="preserve">  EUR 19</w:t>
                  </w:r>
                  <w:r w:rsidR="00BF27C7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,</w:t>
                  </w:r>
                  <w:r w:rsidR="00666AB5"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999</w:t>
                  </w:r>
                </w:p>
              </w:tc>
              <w:tc>
                <w:tcPr>
                  <w:tcW w:w="3685" w:type="dxa"/>
                </w:tcPr>
                <w:p w:rsidR="00666AB5" w:rsidRPr="002E7699" w:rsidRDefault="00666AB5" w:rsidP="006028C3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</w:pP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D</w:t>
                  </w:r>
                  <w:r w:rsid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e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cimalisation </w:t>
                  </w:r>
                  <w:r w:rsid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on 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4 positions </w:t>
                  </w:r>
                </w:p>
              </w:tc>
            </w:tr>
            <w:tr w:rsidR="00666AB5" w:rsidRPr="002E7699" w:rsidTr="000E651B">
              <w:tc>
                <w:tcPr>
                  <w:tcW w:w="3685" w:type="dxa"/>
                </w:tcPr>
                <w:p w:rsidR="00666AB5" w:rsidRPr="006028C3" w:rsidRDefault="006028C3" w:rsidP="00BF27C7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</w:pPr>
                  <w:r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NAV</w:t>
                  </w:r>
                  <w:r w:rsidR="00666AB5"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 xml:space="preserve"> </w:t>
                  </w:r>
                  <w:r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 xml:space="preserve">between </w:t>
                  </w:r>
                  <w:r w:rsidR="00666AB5"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EUR 20</w:t>
                  </w:r>
                  <w:r w:rsidR="00BF27C7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,</w:t>
                  </w:r>
                  <w:r w:rsidR="00666AB5"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 xml:space="preserve">000 </w:t>
                  </w:r>
                  <w:r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and</w:t>
                  </w:r>
                  <w:r w:rsidR="00666AB5"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 xml:space="preserve"> EUR 199</w:t>
                  </w:r>
                  <w:r w:rsidR="00BF27C7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,</w:t>
                  </w:r>
                  <w:r w:rsidR="00666AB5"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999</w:t>
                  </w:r>
                </w:p>
              </w:tc>
              <w:tc>
                <w:tcPr>
                  <w:tcW w:w="3685" w:type="dxa"/>
                </w:tcPr>
                <w:p w:rsidR="00666AB5" w:rsidRPr="002E7699" w:rsidRDefault="00666AB5" w:rsidP="006028C3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</w:pP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D</w:t>
                  </w:r>
                  <w:r w:rsid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e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cimalisation </w:t>
                  </w:r>
                  <w:r w:rsid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on 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5 positions </w:t>
                  </w:r>
                </w:p>
              </w:tc>
            </w:tr>
            <w:tr w:rsidR="00666AB5" w:rsidRPr="006028C3" w:rsidTr="000E651B">
              <w:tc>
                <w:tcPr>
                  <w:tcW w:w="3685" w:type="dxa"/>
                </w:tcPr>
                <w:p w:rsidR="00666AB5" w:rsidRPr="002E7699" w:rsidRDefault="006028C3" w:rsidP="00BF27C7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</w:pP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NAV</w:t>
                  </w:r>
                  <w:r w:rsidR="00666AB5"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 </w:t>
                  </w: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above </w:t>
                  </w:r>
                  <w:r w:rsidR="00666AB5"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EUR 200</w:t>
                  </w:r>
                  <w:r w:rsidR="00BF27C7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,</w:t>
                  </w:r>
                  <w:r w:rsidR="00666AB5"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000</w:t>
                  </w:r>
                </w:p>
              </w:tc>
              <w:tc>
                <w:tcPr>
                  <w:tcW w:w="3685" w:type="dxa"/>
                </w:tcPr>
                <w:p w:rsidR="00666AB5" w:rsidRPr="006028C3" w:rsidRDefault="006028C3" w:rsidP="006028C3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</w:pPr>
                  <w:r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Split corporate action to create</w:t>
                  </w:r>
                </w:p>
              </w:tc>
            </w:tr>
          </w:tbl>
          <w:p w:rsidR="00666AB5" w:rsidRPr="006028C3" w:rsidRDefault="00666AB5" w:rsidP="00922B9C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</w:p>
        </w:tc>
      </w:tr>
      <w:tr w:rsidR="00D103DA" w:rsidRPr="006028C3" w:rsidTr="003D75CA">
        <w:tc>
          <w:tcPr>
            <w:tcW w:w="1701" w:type="dxa"/>
            <w:tcBorders>
              <w:left w:val="nil"/>
              <w:right w:val="nil"/>
            </w:tcBorders>
          </w:tcPr>
          <w:p w:rsidR="00EC776F" w:rsidRPr="006028C3" w:rsidRDefault="00EC776F" w:rsidP="00B26098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905" w:type="dxa"/>
            <w:tcBorders>
              <w:left w:val="nil"/>
              <w:right w:val="nil"/>
            </w:tcBorders>
          </w:tcPr>
          <w:p w:rsidR="00D103DA" w:rsidRPr="006028C3" w:rsidRDefault="00D103DA" w:rsidP="00B26098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  <w:tr w:rsidR="00666AB5" w:rsidRPr="006028C3" w:rsidTr="003D75CA">
        <w:tc>
          <w:tcPr>
            <w:tcW w:w="170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6AB5" w:rsidRPr="007B216A" w:rsidRDefault="00666AB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7B216A">
              <w:rPr>
                <w:rFonts w:eastAsia="MS Mincho" w:cs="Times New Roman"/>
                <w:b/>
                <w:noProof/>
                <w:szCs w:val="32"/>
              </w:rPr>
              <w:t>Description of the T2S impact</w:t>
            </w:r>
          </w:p>
        </w:tc>
        <w:tc>
          <w:tcPr>
            <w:tcW w:w="7905" w:type="dxa"/>
            <w:tcBorders>
              <w:bottom w:val="single" w:sz="4" w:space="0" w:color="auto"/>
            </w:tcBorders>
          </w:tcPr>
          <w:p w:rsidR="00666AB5" w:rsidRPr="006028C3" w:rsidRDefault="006028C3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6028C3">
              <w:rPr>
                <w:rFonts w:eastAsia="MS Mincho" w:cs="Times New Roman"/>
                <w:noProof/>
                <w:szCs w:val="32"/>
              </w:rPr>
              <w:t xml:space="preserve">Practice to be implemented upstream of the CSD: no </w:t>
            </w:r>
            <w:r>
              <w:rPr>
                <w:rFonts w:eastAsia="MS Mincho" w:cs="Times New Roman"/>
                <w:noProof/>
                <w:szCs w:val="32"/>
              </w:rPr>
              <w:t>CSD impact</w:t>
            </w:r>
            <w:r w:rsidR="00BF27C7">
              <w:rPr>
                <w:rFonts w:eastAsia="MS Mincho" w:cs="Times New Roman"/>
                <w:noProof/>
                <w:szCs w:val="32"/>
              </w:rPr>
              <w:t>,</w:t>
            </w:r>
            <w:r>
              <w:rPr>
                <w:rFonts w:eastAsia="MS Mincho" w:cs="Times New Roman"/>
                <w:noProof/>
                <w:szCs w:val="32"/>
              </w:rPr>
              <w:t xml:space="preserve"> but considering the anticipated higher number of settlements in T2S in a CSD model, it is imp</w:t>
            </w:r>
            <w:r w:rsidR="006A54BE">
              <w:rPr>
                <w:rFonts w:eastAsia="MS Mincho" w:cs="Times New Roman"/>
                <w:noProof/>
                <w:szCs w:val="32"/>
              </w:rPr>
              <w:t>o</w:t>
            </w:r>
            <w:r>
              <w:rPr>
                <w:rFonts w:eastAsia="MS Mincho" w:cs="Times New Roman"/>
                <w:noProof/>
                <w:szCs w:val="32"/>
              </w:rPr>
              <w:t>rtant to extend this practice to cross-CSD, either as an intermediary in the transmission of orders on foreign funds, or as a Correspondent Transfer Agent or Local Transfer Agent for orders coming from foreign investors. The extension of this practice at an international level would allow a limitation of disagreements on the net amount to be applied to the client.</w:t>
            </w:r>
          </w:p>
        </w:tc>
      </w:tr>
      <w:tr w:rsidR="00666AB5" w:rsidRPr="006028C3" w:rsidTr="003D75CA"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666AB5" w:rsidRPr="004113EB" w:rsidRDefault="00666AB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905" w:type="dxa"/>
            <w:tcBorders>
              <w:left w:val="nil"/>
              <w:right w:val="nil"/>
            </w:tcBorders>
            <w:shd w:val="clear" w:color="auto" w:fill="auto"/>
          </w:tcPr>
          <w:p w:rsidR="00666AB5" w:rsidRPr="006028C3" w:rsidRDefault="00666AB5" w:rsidP="0081511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666AB5" w:rsidRPr="00666AB5" w:rsidTr="003D75CA">
        <w:tc>
          <w:tcPr>
            <w:tcW w:w="1701" w:type="dxa"/>
            <w:shd w:val="clear" w:color="auto" w:fill="BFBFBF" w:themeFill="background1" w:themeFillShade="BF"/>
          </w:tcPr>
          <w:p w:rsidR="00666AB5" w:rsidRPr="000C4CA6" w:rsidRDefault="00666AB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major issue</w:t>
            </w:r>
          </w:p>
        </w:tc>
        <w:tc>
          <w:tcPr>
            <w:tcW w:w="7905" w:type="dxa"/>
          </w:tcPr>
          <w:p w:rsidR="006028C3" w:rsidRPr="006028C3" w:rsidRDefault="006028C3" w:rsidP="003D75CA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>
              <w:rPr>
                <w:rFonts w:eastAsia="MS Mincho" w:cs="Times New Roman"/>
                <w:noProof/>
                <w:szCs w:val="32"/>
              </w:rPr>
              <w:t xml:space="preserve">Not </w:t>
            </w:r>
            <w:r w:rsidRPr="006028C3">
              <w:rPr>
                <w:rFonts w:eastAsia="MS Mincho" w:cs="Times New Roman"/>
                <w:noProof/>
                <w:szCs w:val="32"/>
              </w:rPr>
              <w:t>impleme</w:t>
            </w:r>
            <w:r>
              <w:rPr>
                <w:rFonts w:eastAsia="MS Mincho" w:cs="Times New Roman"/>
                <w:noProof/>
                <w:szCs w:val="32"/>
              </w:rPr>
              <w:t>nting</w:t>
            </w:r>
            <w:r w:rsidRPr="006028C3">
              <w:rPr>
                <w:rFonts w:eastAsia="MS Mincho" w:cs="Times New Roman"/>
                <w:noProof/>
                <w:szCs w:val="32"/>
              </w:rPr>
              <w:t xml:space="preserve"> this practice </w:t>
            </w:r>
            <w:r>
              <w:rPr>
                <w:rFonts w:eastAsia="MS Mincho" w:cs="Times New Roman"/>
                <w:noProof/>
                <w:szCs w:val="32"/>
              </w:rPr>
              <w:t>would force professional in managing fractions outside of market systems, and would increase mismatches due to orders in amount.</w:t>
            </w:r>
          </w:p>
          <w:p w:rsidR="00666AB5" w:rsidRPr="006028C3" w:rsidRDefault="006028C3" w:rsidP="003D75CA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6028C3">
              <w:rPr>
                <w:rFonts w:eastAsia="MS Mincho" w:cs="Times New Roman"/>
                <w:noProof/>
                <w:szCs w:val="32"/>
              </w:rPr>
              <w:t xml:space="preserve">An optimal settlement rate in T2S </w:t>
            </w:r>
            <w:r>
              <w:rPr>
                <w:rFonts w:eastAsia="MS Mincho" w:cs="Times New Roman"/>
                <w:noProof/>
                <w:szCs w:val="32"/>
              </w:rPr>
              <w:t>can be reached</w:t>
            </w:r>
            <w:r w:rsidR="006A54BE">
              <w:rPr>
                <w:rFonts w:eastAsia="MS Mincho" w:cs="Times New Roman"/>
                <w:noProof/>
                <w:szCs w:val="32"/>
              </w:rPr>
              <w:t xml:space="preserve"> through an h</w:t>
            </w:r>
            <w:r>
              <w:rPr>
                <w:rFonts w:eastAsia="MS Mincho" w:cs="Times New Roman"/>
                <w:noProof/>
                <w:szCs w:val="32"/>
              </w:rPr>
              <w:t xml:space="preserve">armonization of market practices upstream of T2S, </w:t>
            </w:r>
            <w:r w:rsidR="006A54BE">
              <w:rPr>
                <w:rFonts w:eastAsia="MS Mincho" w:cs="Times New Roman"/>
                <w:noProof/>
                <w:szCs w:val="32"/>
              </w:rPr>
              <w:t>notably the har</w:t>
            </w:r>
            <w:r>
              <w:rPr>
                <w:rFonts w:eastAsia="MS Mincho" w:cs="Times New Roman"/>
                <w:noProof/>
                <w:szCs w:val="32"/>
              </w:rPr>
              <w:t xml:space="preserve">monization </w:t>
            </w:r>
            <w:r w:rsidR="006A54BE">
              <w:rPr>
                <w:rFonts w:eastAsia="MS Mincho" w:cs="Times New Roman"/>
                <w:noProof/>
                <w:szCs w:val="32"/>
              </w:rPr>
              <w:t>in</w:t>
            </w:r>
            <w:r>
              <w:rPr>
                <w:rFonts w:eastAsia="MS Mincho" w:cs="Times New Roman"/>
                <w:noProof/>
                <w:szCs w:val="32"/>
              </w:rPr>
              <w:t xml:space="preserve"> the number of decimals </w:t>
            </w:r>
            <w:r w:rsidR="006A54BE">
              <w:rPr>
                <w:rFonts w:eastAsia="MS Mincho" w:cs="Times New Roman"/>
                <w:noProof/>
                <w:szCs w:val="32"/>
              </w:rPr>
              <w:t>function of the size of of orders in amount: this is a common subscription practice across Europe.</w:t>
            </w:r>
          </w:p>
          <w:p w:rsidR="00666AB5" w:rsidRPr="00E859C0" w:rsidRDefault="00666AB5" w:rsidP="006A54BE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E859C0">
              <w:rPr>
                <w:rFonts w:eastAsia="MS Mincho" w:cs="Times New Roman"/>
                <w:noProof/>
                <w:szCs w:val="32"/>
              </w:rPr>
              <w:t>O</w:t>
            </w:r>
            <w:r w:rsidR="006A54BE" w:rsidRPr="00E859C0">
              <w:rPr>
                <w:rFonts w:eastAsia="MS Mincho" w:cs="Times New Roman"/>
                <w:noProof/>
                <w:szCs w:val="32"/>
              </w:rPr>
              <w:t>bjective</w:t>
            </w:r>
            <w:r w:rsidRPr="00E859C0">
              <w:rPr>
                <w:rFonts w:eastAsia="MS Mincho" w:cs="Times New Roman"/>
                <w:noProof/>
                <w:szCs w:val="32"/>
              </w:rPr>
              <w:t xml:space="preserve">: </w:t>
            </w:r>
            <w:r w:rsidR="006A54BE" w:rsidRPr="00E859C0">
              <w:rPr>
                <w:rFonts w:eastAsia="MS Mincho" w:cs="Times New Roman"/>
                <w:noProof/>
                <w:szCs w:val="32"/>
              </w:rPr>
              <w:t>reduce the number of additional cash movements.</w:t>
            </w:r>
          </w:p>
        </w:tc>
      </w:tr>
      <w:tr w:rsidR="00666AB5" w:rsidRPr="00666AB5" w:rsidTr="003D75CA"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666AB5" w:rsidRPr="00873A6C" w:rsidRDefault="00666AB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905" w:type="dxa"/>
            <w:tcBorders>
              <w:left w:val="nil"/>
              <w:right w:val="nil"/>
            </w:tcBorders>
            <w:shd w:val="clear" w:color="auto" w:fill="auto"/>
          </w:tcPr>
          <w:p w:rsidR="00666AB5" w:rsidRPr="00E859C0" w:rsidRDefault="00666AB5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666AB5" w:rsidRPr="0081511D" w:rsidTr="003D75CA">
        <w:tc>
          <w:tcPr>
            <w:tcW w:w="1701" w:type="dxa"/>
            <w:shd w:val="clear" w:color="auto" w:fill="BFBFBF" w:themeFill="background1" w:themeFillShade="BF"/>
          </w:tcPr>
          <w:p w:rsidR="00666AB5" w:rsidRPr="003348A6" w:rsidRDefault="00666AB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666AB5" w:rsidRPr="00D103DA" w:rsidRDefault="00666AB5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905" w:type="dxa"/>
          </w:tcPr>
          <w:p w:rsidR="00666AB5" w:rsidRDefault="00666AB5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666AB5" w:rsidRDefault="00666AB5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666AB5" w:rsidRDefault="00666AB5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666AB5" w:rsidRPr="0081511D" w:rsidTr="003D75CA"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666AB5" w:rsidRDefault="00666AB5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905" w:type="dxa"/>
            <w:tcBorders>
              <w:left w:val="nil"/>
              <w:right w:val="nil"/>
            </w:tcBorders>
            <w:shd w:val="clear" w:color="auto" w:fill="auto"/>
          </w:tcPr>
          <w:p w:rsidR="00666AB5" w:rsidRPr="0081511D" w:rsidRDefault="00666AB5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666AB5" w:rsidRPr="0081511D" w:rsidTr="003D75CA">
        <w:tc>
          <w:tcPr>
            <w:tcW w:w="1701" w:type="dxa"/>
            <w:shd w:val="clear" w:color="auto" w:fill="BFBFBF" w:themeFill="background1" w:themeFillShade="BF"/>
          </w:tcPr>
          <w:p w:rsidR="00666AB5" w:rsidRDefault="00666AB5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Workflows</w:t>
            </w:r>
          </w:p>
          <w:p w:rsidR="00666AB5" w:rsidRDefault="00666AB5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905" w:type="dxa"/>
          </w:tcPr>
          <w:p w:rsidR="00666AB5" w:rsidRPr="00FD2FD6" w:rsidRDefault="00666AB5" w:rsidP="0081511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666AB5" w:rsidRPr="0081511D" w:rsidTr="003D75CA"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666AB5" w:rsidRDefault="00666AB5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905" w:type="dxa"/>
            <w:tcBorders>
              <w:left w:val="nil"/>
              <w:right w:val="nil"/>
            </w:tcBorders>
            <w:shd w:val="clear" w:color="auto" w:fill="auto"/>
          </w:tcPr>
          <w:p w:rsidR="00666AB5" w:rsidRPr="0081511D" w:rsidRDefault="00666AB5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666AB5" w:rsidRPr="006A54BE" w:rsidTr="003D75CA">
        <w:tc>
          <w:tcPr>
            <w:tcW w:w="170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6AB5" w:rsidRPr="003348A6" w:rsidRDefault="00666AB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Links with other market practices</w:t>
            </w:r>
          </w:p>
        </w:tc>
        <w:tc>
          <w:tcPr>
            <w:tcW w:w="7905" w:type="dxa"/>
            <w:tcBorders>
              <w:bottom w:val="single" w:sz="4" w:space="0" w:color="auto"/>
            </w:tcBorders>
          </w:tcPr>
          <w:p w:rsidR="00666AB5" w:rsidRPr="006A54BE" w:rsidRDefault="00666AB5" w:rsidP="006A54BE">
            <w:pPr>
              <w:jc w:val="both"/>
              <w:rPr>
                <w:rFonts w:eastAsia="MS Mincho" w:cs="Times New Roman"/>
                <w:i/>
                <w:noProof/>
                <w:szCs w:val="32"/>
              </w:rPr>
            </w:pPr>
            <w:r w:rsidRPr="006A54BE">
              <w:rPr>
                <w:rFonts w:eastAsia="MS Mincho" w:cs="Times New Roman"/>
                <w:i/>
                <w:noProof/>
                <w:szCs w:val="32"/>
              </w:rPr>
              <w:t xml:space="preserve">NB : </w:t>
            </w:r>
            <w:r w:rsidR="006A54BE" w:rsidRPr="006A54BE">
              <w:rPr>
                <w:rFonts w:eastAsia="MS Mincho" w:cs="Times New Roman"/>
                <w:i/>
                <w:noProof/>
                <w:szCs w:val="32"/>
              </w:rPr>
              <w:t xml:space="preserve">this practice should be considered in accordance with </w:t>
            </w:r>
            <w:r w:rsidR="006A54BE">
              <w:rPr>
                <w:rFonts w:eastAsia="MS Mincho" w:cs="Times New Roman"/>
                <w:i/>
                <w:noProof/>
                <w:szCs w:val="32"/>
              </w:rPr>
              <w:t xml:space="preserve">considerations </w:t>
            </w:r>
            <w:r w:rsidR="006A54BE" w:rsidRPr="006A54BE">
              <w:rPr>
                <w:rFonts w:eastAsia="MS Mincho" w:cs="Times New Roman"/>
                <w:i/>
                <w:noProof/>
                <w:szCs w:val="32"/>
              </w:rPr>
              <w:t>on roundings.</w:t>
            </w:r>
          </w:p>
        </w:tc>
      </w:tr>
    </w:tbl>
    <w:p w:rsidR="001E0D83" w:rsidRPr="006A54BE" w:rsidRDefault="001E0D83" w:rsidP="00D103DA">
      <w:pPr>
        <w:spacing w:after="0" w:line="240" w:lineRule="auto"/>
        <w:rPr>
          <w:rFonts w:eastAsia="MS Mincho" w:cs="Times New Roman"/>
          <w:noProof/>
          <w:szCs w:val="32"/>
        </w:rPr>
      </w:pPr>
    </w:p>
    <w:p w:rsidR="0081511D" w:rsidRPr="006A54BE" w:rsidRDefault="0081511D" w:rsidP="00D103DA">
      <w:pPr>
        <w:spacing w:after="0" w:line="240" w:lineRule="auto"/>
        <w:rPr>
          <w:rFonts w:eastAsia="MS Mincho" w:cs="Times New Roman"/>
          <w:noProof/>
          <w:szCs w:val="32"/>
        </w:rPr>
      </w:pPr>
    </w:p>
    <w:p w:rsidR="00666AB5" w:rsidRPr="004F6025" w:rsidRDefault="00666AB5" w:rsidP="00666AB5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Recommended market practice</w:t>
      </w: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9576" w:type="dxa"/>
        <w:tblLook w:val="04A0" w:firstRow="1" w:lastRow="0" w:firstColumn="1" w:lastColumn="0" w:noHBand="0" w:noVBand="1"/>
      </w:tblPr>
      <w:tblGrid>
        <w:gridCol w:w="1598"/>
        <w:gridCol w:w="7978"/>
      </w:tblGrid>
      <w:tr w:rsidR="006A54BE" w:rsidRPr="006A54BE" w:rsidTr="006A54BE">
        <w:tc>
          <w:tcPr>
            <w:tcW w:w="1598" w:type="dxa"/>
            <w:shd w:val="clear" w:color="auto" w:fill="BFBFBF" w:themeFill="background1" w:themeFillShade="BF"/>
          </w:tcPr>
          <w:p w:rsidR="006A54BE" w:rsidRPr="00D103DA" w:rsidRDefault="006A54B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Recommended practice</w:t>
            </w:r>
          </w:p>
        </w:tc>
        <w:tc>
          <w:tcPr>
            <w:tcW w:w="7978" w:type="dxa"/>
          </w:tcPr>
          <w:p w:rsidR="006A54BE" w:rsidRPr="00DA6DAE" w:rsidRDefault="006A54BE" w:rsidP="000E651B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DA6DAE">
              <w:rPr>
                <w:rFonts w:eastAsia="MS Mincho" w:cs="Times New Roman"/>
                <w:noProof/>
                <w:szCs w:val="32"/>
              </w:rPr>
              <w:t>The French market has proposed a practice in orde</w:t>
            </w:r>
            <w:r w:rsidR="00F52133">
              <w:rPr>
                <w:rFonts w:eastAsia="MS Mincho" w:cs="Times New Roman"/>
                <w:noProof/>
                <w:szCs w:val="32"/>
              </w:rPr>
              <w:t>r to allow for orders in amount</w:t>
            </w:r>
            <w:r w:rsidRPr="00DA6DAE">
              <w:rPr>
                <w:rFonts w:eastAsia="MS Mincho" w:cs="Times New Roman"/>
                <w:noProof/>
                <w:szCs w:val="32"/>
              </w:rPr>
              <w:t xml:space="preserve"> when the prospectus </w:t>
            </w:r>
            <w:r>
              <w:rPr>
                <w:rFonts w:eastAsia="MS Mincho" w:cs="Times New Roman"/>
                <w:noProof/>
                <w:szCs w:val="32"/>
              </w:rPr>
              <w:t>authorizes it. The objective is to avoid fractions in a purchase/redemption in amount, and avoid mismatches, by getting as close as possible to the subscribed amount using the equation below.</w:t>
            </w:r>
          </w:p>
          <w:p w:rsidR="006A54BE" w:rsidRDefault="006A54BE" w:rsidP="000E651B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A90A71">
              <w:rPr>
                <w:rFonts w:eastAsia="MS Mincho" w:cs="Times New Roman"/>
                <w:noProof/>
                <w:szCs w:val="32"/>
              </w:rPr>
              <w:t xml:space="preserve">For the determination of the quantity subscribed, the transfer agent </w:t>
            </w:r>
            <w:r>
              <w:rPr>
                <w:rFonts w:eastAsia="MS Mincho" w:cs="Times New Roman"/>
                <w:noProof/>
                <w:szCs w:val="32"/>
              </w:rPr>
              <w:t>recommends the application of the following formula, for subscriptions in amount, as well as for redemptions in amount:</w:t>
            </w:r>
          </w:p>
          <w:p w:rsidR="006A54BE" w:rsidRDefault="006A54BE" w:rsidP="000E651B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</w:p>
          <w:tbl>
            <w:tblPr>
              <w:tblStyle w:val="Grilledutableau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CellMar>
                <w:left w:w="28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2972"/>
              <w:gridCol w:w="4702"/>
            </w:tblGrid>
            <w:tr w:rsidR="006A54BE" w:rsidTr="00BF27C7">
              <w:tc>
                <w:tcPr>
                  <w:tcW w:w="2972" w:type="dxa"/>
                  <w:vMerge w:val="restart"/>
                  <w:vAlign w:val="center"/>
                </w:tcPr>
                <w:p w:rsidR="006A54BE" w:rsidRPr="006028C3" w:rsidRDefault="006A54BE" w:rsidP="000E651B">
                  <w:pPr>
                    <w:spacing w:before="120"/>
                    <w:jc w:val="center"/>
                    <w:rPr>
                      <w:rFonts w:eastAsia="MS Mincho" w:cs="Times New Roman"/>
                      <w:noProof/>
                      <w:sz w:val="16"/>
                      <w:szCs w:val="32"/>
                    </w:rPr>
                  </w:pPr>
                  <w:r w:rsidRPr="006028C3">
                    <w:rPr>
                      <w:rFonts w:eastAsia="MS Mincho" w:cs="Times New Roman"/>
                      <w:noProof/>
                      <w:sz w:val="16"/>
                      <w:szCs w:val="32"/>
                    </w:rPr>
                    <w:t xml:space="preserve">[Subscribed quantity] </w:t>
                  </w:r>
                  <w:r w:rsidRPr="006028C3">
                    <w:rPr>
                      <w:rFonts w:eastAsia="MS Mincho" w:cs="Times New Roman"/>
                      <w:noProof/>
                      <w:sz w:val="16"/>
                      <w:szCs w:val="32"/>
                      <w:vertAlign w:val="superscript"/>
                    </w:rPr>
                    <w:t>rounding decimals quantity</w:t>
                  </w:r>
                  <w:r w:rsidRPr="006028C3">
                    <w:rPr>
                      <w:rFonts w:eastAsia="MS Mincho" w:cs="Times New Roman"/>
                      <w:noProof/>
                      <w:sz w:val="16"/>
                      <w:szCs w:val="32"/>
                    </w:rPr>
                    <w:t xml:space="preserve"> =</w:t>
                  </w:r>
                </w:p>
              </w:tc>
              <w:tc>
                <w:tcPr>
                  <w:tcW w:w="470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A54BE" w:rsidRPr="006028C3" w:rsidRDefault="006A54BE" w:rsidP="000E651B">
                  <w:pPr>
                    <w:spacing w:before="120"/>
                    <w:jc w:val="center"/>
                    <w:rPr>
                      <w:rFonts w:eastAsia="MS Mincho" w:cs="Times New Roman"/>
                      <w:noProof/>
                      <w:sz w:val="16"/>
                      <w:szCs w:val="32"/>
                    </w:rPr>
                  </w:pPr>
                  <w:r w:rsidRPr="006028C3">
                    <w:rPr>
                      <w:rFonts w:eastAsia="MS Mincho" w:cs="Times New Roman"/>
                      <w:noProof/>
                      <w:sz w:val="16"/>
                      <w:szCs w:val="32"/>
                    </w:rPr>
                    <w:t>Order amount</w:t>
                  </w:r>
                </w:p>
              </w:tc>
            </w:tr>
            <w:tr w:rsidR="006A54BE" w:rsidTr="00BF27C7">
              <w:tc>
                <w:tcPr>
                  <w:tcW w:w="2972" w:type="dxa"/>
                  <w:vMerge/>
                </w:tcPr>
                <w:p w:rsidR="006A54BE" w:rsidRPr="006028C3" w:rsidRDefault="006A54BE" w:rsidP="000E651B">
                  <w:pPr>
                    <w:spacing w:before="120"/>
                    <w:jc w:val="both"/>
                    <w:rPr>
                      <w:rFonts w:eastAsia="MS Mincho" w:cs="Times New Roman"/>
                      <w:noProof/>
                      <w:sz w:val="16"/>
                      <w:szCs w:val="32"/>
                    </w:rPr>
                  </w:pPr>
                </w:p>
              </w:tc>
              <w:tc>
                <w:tcPr>
                  <w:tcW w:w="470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A54BE" w:rsidRPr="006028C3" w:rsidRDefault="006A54BE" w:rsidP="000E651B">
                  <w:pPr>
                    <w:spacing w:before="120"/>
                    <w:jc w:val="center"/>
                    <w:rPr>
                      <w:rFonts w:eastAsia="MS Mincho" w:cs="Times New Roman"/>
                      <w:noProof/>
                      <w:sz w:val="16"/>
                      <w:szCs w:val="32"/>
                    </w:rPr>
                  </w:pPr>
                  <w:r w:rsidRPr="006028C3">
                    <w:rPr>
                      <w:rFonts w:eastAsia="MS Mincho" w:cs="Times New Roman"/>
                      <w:noProof/>
                      <w:sz w:val="16"/>
                      <w:szCs w:val="32"/>
                    </w:rPr>
                    <w:t>[NAV * (1 +/- Fee rate retained by the fund +/- Fee rate retained by the manager)]</w:t>
                  </w:r>
                  <w:r w:rsidRPr="006028C3">
                    <w:rPr>
                      <w:rFonts w:eastAsia="MS Mincho" w:cs="Times New Roman"/>
                      <w:noProof/>
                      <w:sz w:val="16"/>
                      <w:szCs w:val="32"/>
                      <w:vertAlign w:val="superscript"/>
                    </w:rPr>
                    <w:t>rounding 8 decimals</w:t>
                  </w:r>
                </w:p>
              </w:tc>
            </w:tr>
          </w:tbl>
          <w:p w:rsidR="006A54BE" w:rsidRDefault="006A54BE" w:rsidP="000E651B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</w:p>
          <w:p w:rsidR="006A54BE" w:rsidRPr="006028C3" w:rsidRDefault="006A54BE" w:rsidP="000E651B">
            <w:pPr>
              <w:pStyle w:val="FDNormal"/>
              <w:rPr>
                <w:rFonts w:asciiTheme="minorHAnsi" w:eastAsia="MS Mincho" w:hAnsiTheme="minorHAnsi" w:cs="Times New Roman"/>
                <w:noProof/>
                <w:sz w:val="22"/>
                <w:szCs w:val="32"/>
                <w:lang w:val="en-US" w:eastAsia="en-US"/>
              </w:rPr>
            </w:pPr>
            <w:r w:rsidRPr="006028C3">
              <w:rPr>
                <w:rFonts w:asciiTheme="minorHAnsi" w:eastAsia="MS Mincho" w:hAnsiTheme="minorHAnsi" w:cs="Times New Roman"/>
                <w:noProof/>
                <w:sz w:val="22"/>
                <w:szCs w:val="32"/>
                <w:lang w:val="en-US" w:eastAsia="en-US"/>
              </w:rPr>
              <w:t>The following table allows for the determination of the appropriate couple NAV / decimalization:</w:t>
            </w:r>
          </w:p>
          <w:tbl>
            <w:tblPr>
              <w:tblW w:w="73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85"/>
              <w:gridCol w:w="3685"/>
            </w:tblGrid>
            <w:tr w:rsidR="006A54BE" w:rsidRPr="002E7699" w:rsidTr="000E651B">
              <w:tc>
                <w:tcPr>
                  <w:tcW w:w="3685" w:type="dxa"/>
                </w:tcPr>
                <w:p w:rsidR="006A54BE" w:rsidRPr="002E7699" w:rsidRDefault="006A54BE" w:rsidP="00BF27C7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</w:pP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NAV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 </w:t>
                  </w: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lower then 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EUR 1</w:t>
                  </w:r>
                  <w:r w:rsidR="00BF27C7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,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999</w:t>
                  </w:r>
                </w:p>
              </w:tc>
              <w:tc>
                <w:tcPr>
                  <w:tcW w:w="3685" w:type="dxa"/>
                </w:tcPr>
                <w:p w:rsidR="006A54BE" w:rsidRPr="002E7699" w:rsidRDefault="006A54BE" w:rsidP="000E651B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</w:pP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D</w:t>
                  </w: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e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cimalisation </w:t>
                  </w: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on 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3 positions </w:t>
                  </w:r>
                </w:p>
              </w:tc>
            </w:tr>
            <w:tr w:rsidR="006A54BE" w:rsidRPr="002E7699" w:rsidTr="000E651B">
              <w:tc>
                <w:tcPr>
                  <w:tcW w:w="3685" w:type="dxa"/>
                </w:tcPr>
                <w:p w:rsidR="006A54BE" w:rsidRPr="006028C3" w:rsidRDefault="006A54BE" w:rsidP="00BF27C7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</w:pP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NAV</w:t>
                  </w:r>
                  <w:r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 xml:space="preserve"> between EUR 2</w:t>
                  </w:r>
                  <w:r w:rsidR="00BF27C7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,</w:t>
                  </w:r>
                  <w:r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000 and  EUR 19</w:t>
                  </w:r>
                  <w:r w:rsidR="00BF27C7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,</w:t>
                  </w:r>
                  <w:r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999</w:t>
                  </w:r>
                </w:p>
              </w:tc>
              <w:tc>
                <w:tcPr>
                  <w:tcW w:w="3685" w:type="dxa"/>
                </w:tcPr>
                <w:p w:rsidR="006A54BE" w:rsidRPr="002E7699" w:rsidRDefault="006A54BE" w:rsidP="000E651B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</w:pP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D</w:t>
                  </w: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e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cimalisation </w:t>
                  </w: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on 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4 positions </w:t>
                  </w:r>
                </w:p>
              </w:tc>
            </w:tr>
            <w:tr w:rsidR="006A54BE" w:rsidRPr="002E7699" w:rsidTr="000E651B">
              <w:tc>
                <w:tcPr>
                  <w:tcW w:w="3685" w:type="dxa"/>
                </w:tcPr>
                <w:p w:rsidR="006A54BE" w:rsidRPr="006028C3" w:rsidRDefault="006A54BE" w:rsidP="00BF27C7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</w:pPr>
                  <w:r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NAV between EUR 20</w:t>
                  </w:r>
                  <w:r w:rsidR="00BF27C7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,</w:t>
                  </w:r>
                  <w:r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000 and EUR 199</w:t>
                  </w:r>
                  <w:r w:rsidR="00BF27C7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,</w:t>
                  </w:r>
                  <w:r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999</w:t>
                  </w:r>
                </w:p>
              </w:tc>
              <w:tc>
                <w:tcPr>
                  <w:tcW w:w="3685" w:type="dxa"/>
                </w:tcPr>
                <w:p w:rsidR="006A54BE" w:rsidRPr="002E7699" w:rsidRDefault="006A54BE" w:rsidP="000E651B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</w:pP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D</w:t>
                  </w: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e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cimalisation </w:t>
                  </w: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on 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5 positions </w:t>
                  </w:r>
                </w:p>
              </w:tc>
            </w:tr>
            <w:tr w:rsidR="006A54BE" w:rsidRPr="006028C3" w:rsidTr="000E651B">
              <w:tc>
                <w:tcPr>
                  <w:tcW w:w="3685" w:type="dxa"/>
                </w:tcPr>
                <w:p w:rsidR="006A54BE" w:rsidRPr="002E7699" w:rsidRDefault="006A54BE" w:rsidP="00BF27C7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</w:pP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lastRenderedPageBreak/>
                    <w:t>NAV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 </w:t>
                  </w:r>
                  <w:r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 xml:space="preserve">above 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EUR 200</w:t>
                  </w:r>
                  <w:r w:rsidR="00BF27C7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,</w:t>
                  </w:r>
                  <w:r w:rsidRPr="002E7699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eastAsia="en-US"/>
                    </w:rPr>
                    <w:t>000</w:t>
                  </w:r>
                </w:p>
              </w:tc>
              <w:tc>
                <w:tcPr>
                  <w:tcW w:w="3685" w:type="dxa"/>
                </w:tcPr>
                <w:p w:rsidR="006A54BE" w:rsidRPr="006028C3" w:rsidRDefault="006A54BE" w:rsidP="000E651B">
                  <w:pPr>
                    <w:pStyle w:val="FDNormal"/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</w:pPr>
                  <w:r w:rsidRPr="006028C3">
                    <w:rPr>
                      <w:rFonts w:asciiTheme="minorHAnsi" w:eastAsia="MS Mincho" w:hAnsiTheme="minorHAnsi" w:cs="Times New Roman"/>
                      <w:noProof/>
                      <w:sz w:val="18"/>
                      <w:szCs w:val="32"/>
                      <w:lang w:val="en-US" w:eastAsia="en-US"/>
                    </w:rPr>
                    <w:t>Split corporate action to create</w:t>
                  </w:r>
                </w:p>
              </w:tc>
            </w:tr>
          </w:tbl>
          <w:p w:rsidR="006A54BE" w:rsidRPr="006028C3" w:rsidRDefault="006A54BE" w:rsidP="000E651B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</w:p>
        </w:tc>
      </w:tr>
      <w:tr w:rsidR="006A54BE" w:rsidRPr="006A54BE" w:rsidTr="006A54BE">
        <w:tc>
          <w:tcPr>
            <w:tcW w:w="1598" w:type="dxa"/>
            <w:shd w:val="clear" w:color="auto" w:fill="BFBFBF" w:themeFill="background1" w:themeFillShade="BF"/>
          </w:tcPr>
          <w:p w:rsidR="006A54BE" w:rsidRDefault="006A54B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lastRenderedPageBreak/>
              <w:t>Reasons for the choice</w:t>
            </w:r>
          </w:p>
        </w:tc>
        <w:tc>
          <w:tcPr>
            <w:tcW w:w="7978" w:type="dxa"/>
          </w:tcPr>
          <w:p w:rsidR="006A54BE" w:rsidRDefault="006A54BE" w:rsidP="003D75CA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6028C3">
              <w:rPr>
                <w:rFonts w:eastAsia="MS Mincho" w:cs="Times New Roman"/>
                <w:noProof/>
                <w:szCs w:val="32"/>
              </w:rPr>
              <w:t xml:space="preserve">Practice to be implemented </w:t>
            </w:r>
            <w:r>
              <w:rPr>
                <w:rFonts w:eastAsia="MS Mincho" w:cs="Times New Roman"/>
                <w:noProof/>
                <w:szCs w:val="32"/>
              </w:rPr>
              <w:t>with consideration to the anticipated higher number of settlements in T2S in a CSD model: it is important to extend this practice to cross-CSD, either as an intermediary in the transmission of orders on foreign funds, or as a Correspondent Transfer Agent or Local Transfer Agent for orders coming from foreign investors.</w:t>
            </w:r>
          </w:p>
          <w:p w:rsidR="006A54BE" w:rsidRPr="006A54BE" w:rsidRDefault="006A54BE" w:rsidP="003D75CA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>
              <w:rPr>
                <w:rFonts w:eastAsia="MS Mincho" w:cs="Times New Roman"/>
                <w:noProof/>
                <w:szCs w:val="32"/>
              </w:rPr>
              <w:t>The extension of this practice at an international level would allow a limitation of disagreements on the net amount to be applied to the client.</w:t>
            </w:r>
          </w:p>
        </w:tc>
      </w:tr>
      <w:tr w:rsidR="006A54BE" w:rsidRPr="006A54BE" w:rsidTr="006A54BE">
        <w:tc>
          <w:tcPr>
            <w:tcW w:w="1598" w:type="dxa"/>
            <w:tcBorders>
              <w:left w:val="nil"/>
              <w:right w:val="nil"/>
            </w:tcBorders>
            <w:shd w:val="clear" w:color="auto" w:fill="auto"/>
          </w:tcPr>
          <w:p w:rsidR="006A54BE" w:rsidRPr="00104FA6" w:rsidRDefault="006A54B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978" w:type="dxa"/>
            <w:tcBorders>
              <w:left w:val="nil"/>
              <w:right w:val="nil"/>
            </w:tcBorders>
            <w:shd w:val="clear" w:color="auto" w:fill="auto"/>
          </w:tcPr>
          <w:p w:rsidR="006A54BE" w:rsidRPr="006A54BE" w:rsidRDefault="006A54BE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6A54BE" w:rsidTr="006A54BE">
        <w:tc>
          <w:tcPr>
            <w:tcW w:w="159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A54BE" w:rsidRPr="003348A6" w:rsidRDefault="006A54B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6A54BE" w:rsidRPr="00F370B0" w:rsidRDefault="006A54B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978" w:type="dxa"/>
            <w:tcBorders>
              <w:bottom w:val="single" w:sz="4" w:space="0" w:color="auto"/>
            </w:tcBorders>
          </w:tcPr>
          <w:p w:rsidR="006A54BE" w:rsidRDefault="006A54BE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6A54BE" w:rsidRDefault="006A54BE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6A54BE" w:rsidRDefault="006A54BE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6A54BE" w:rsidRDefault="006A54BE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6A54BE" w:rsidTr="006A54BE">
        <w:tc>
          <w:tcPr>
            <w:tcW w:w="1598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6A54BE" w:rsidRDefault="006A54B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978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A54BE" w:rsidRDefault="006A54BE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6A54BE" w:rsidTr="006A54BE">
        <w:tc>
          <w:tcPr>
            <w:tcW w:w="1598" w:type="dxa"/>
            <w:shd w:val="clear" w:color="auto" w:fill="BFBFBF" w:themeFill="background1" w:themeFillShade="BF"/>
          </w:tcPr>
          <w:p w:rsidR="006A54BE" w:rsidRPr="00F370B0" w:rsidRDefault="006A54B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Workflows</w:t>
            </w:r>
          </w:p>
          <w:p w:rsidR="006A54BE" w:rsidRPr="00F370B0" w:rsidRDefault="006A54B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978" w:type="dxa"/>
            <w:tcBorders>
              <w:bottom w:val="single" w:sz="4" w:space="0" w:color="auto"/>
            </w:tcBorders>
          </w:tcPr>
          <w:p w:rsidR="006A54BE" w:rsidRDefault="006A54BE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6A54BE" w:rsidRDefault="006A54BE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:rsidR="00363E89" w:rsidRDefault="00363E89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5743B" w:rsidRDefault="0085743B">
      <w:pPr>
        <w:rPr>
          <w:rFonts w:eastAsia="MS Mincho" w:cs="Times New Roman"/>
          <w:b/>
          <w:caps/>
          <w:noProof/>
          <w:sz w:val="32"/>
          <w:szCs w:val="32"/>
          <w:lang w:val="fr-FR"/>
        </w:rPr>
      </w:pPr>
    </w:p>
    <w:p w:rsidR="00666AB5" w:rsidRPr="004F6025" w:rsidRDefault="00666AB5" w:rsidP="00666AB5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IMPLEMENTATION</w:t>
      </w:r>
    </w:p>
    <w:p w:rsidR="00140482" w:rsidRDefault="00140482" w:rsidP="00140482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9616" w:type="dxa"/>
        <w:tblLook w:val="04A0" w:firstRow="1" w:lastRow="0" w:firstColumn="1" w:lastColumn="0" w:noHBand="0" w:noVBand="1"/>
      </w:tblPr>
      <w:tblGrid>
        <w:gridCol w:w="2302"/>
        <w:gridCol w:w="2166"/>
        <w:gridCol w:w="272"/>
        <w:gridCol w:w="1599"/>
        <w:gridCol w:w="839"/>
        <w:gridCol w:w="842"/>
        <w:gridCol w:w="1556"/>
        <w:gridCol w:w="40"/>
      </w:tblGrid>
      <w:tr w:rsidR="00666AB5" w:rsidRPr="00666AB5" w:rsidTr="000E651B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:rsidR="00666AB5" w:rsidRPr="00D103DA" w:rsidRDefault="00666AB5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Implementation timeline</w:t>
            </w:r>
          </w:p>
        </w:tc>
        <w:tc>
          <w:tcPr>
            <w:tcW w:w="2438" w:type="dxa"/>
            <w:gridSpan w:val="2"/>
          </w:tcPr>
          <w:p w:rsidR="00666AB5" w:rsidRPr="003348A6" w:rsidRDefault="00666AB5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Before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  <w:tc>
          <w:tcPr>
            <w:tcW w:w="2438" w:type="dxa"/>
            <w:gridSpan w:val="2"/>
          </w:tcPr>
          <w:p w:rsidR="00666AB5" w:rsidRPr="003348A6" w:rsidRDefault="00666AB5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Upon go live on T2S</w:t>
            </w:r>
          </w:p>
        </w:tc>
        <w:tc>
          <w:tcPr>
            <w:tcW w:w="2438" w:type="dxa"/>
            <w:gridSpan w:val="3"/>
          </w:tcPr>
          <w:p w:rsidR="00666AB5" w:rsidRPr="003348A6" w:rsidRDefault="00666AB5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After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</w:tr>
      <w:tr w:rsidR="00140482" w:rsidTr="000E651B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Pr="00666AB5" w:rsidRDefault="00140482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140482" w:rsidRDefault="0085743B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  <w:tr w:rsidR="00140482" w:rsidTr="000E651B">
        <w:trPr>
          <w:gridAfter w:val="1"/>
          <w:wAfter w:w="40" w:type="dxa"/>
          <w:trHeight w:val="337"/>
        </w:trPr>
        <w:tc>
          <w:tcPr>
            <w:tcW w:w="23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16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87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55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666AB5" w:rsidTr="000E651B">
        <w:trPr>
          <w:gridAfter w:val="1"/>
          <w:wAfter w:w="40" w:type="dxa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6AB5" w:rsidRPr="000C4CA6" w:rsidRDefault="00666AB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0D33A6">
              <w:rPr>
                <w:rFonts w:eastAsia="MS Mincho" w:cs="Times New Roman"/>
                <w:b/>
                <w:noProof/>
                <w:szCs w:val="32"/>
              </w:rPr>
              <w:t>Requirement for a specific test set</w:t>
            </w:r>
          </w:p>
        </w:tc>
        <w:tc>
          <w:tcPr>
            <w:tcW w:w="4037" w:type="dxa"/>
            <w:gridSpan w:val="3"/>
            <w:tcBorders>
              <w:bottom w:val="single" w:sz="4" w:space="0" w:color="auto"/>
            </w:tcBorders>
          </w:tcPr>
          <w:p w:rsidR="00666AB5" w:rsidRPr="00922B9C" w:rsidRDefault="00666AB5" w:rsidP="00922B9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  <w:r>
              <w:rPr>
                <w:lang w:val="fr-FR"/>
              </w:rPr>
              <w:t xml:space="preserve">Yes  </w:t>
            </w: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666AB5" w:rsidRPr="00E35B86" w:rsidRDefault="00666AB5" w:rsidP="000E651B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</w:p>
        </w:tc>
        <w:tc>
          <w:tcPr>
            <w:tcW w:w="3237" w:type="dxa"/>
            <w:gridSpan w:val="3"/>
            <w:tcBorders>
              <w:bottom w:val="single" w:sz="4" w:space="0" w:color="auto"/>
            </w:tcBorders>
          </w:tcPr>
          <w:p w:rsidR="00666AB5" w:rsidRDefault="00666AB5" w:rsidP="0085743B">
            <w:pPr>
              <w:tabs>
                <w:tab w:val="left" w:pos="9356"/>
              </w:tabs>
              <w:ind w:right="-279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No  </w:t>
            </w: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</w:tc>
      </w:tr>
    </w:tbl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BA6B0A" w:rsidSect="006D68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1EC" w:rsidRDefault="005601EC" w:rsidP="006D6846">
      <w:pPr>
        <w:spacing w:after="0" w:line="240" w:lineRule="auto"/>
      </w:pPr>
      <w:r>
        <w:separator/>
      </w:r>
    </w:p>
  </w:endnote>
  <w:endnote w:type="continuationSeparator" w:id="0">
    <w:p w:rsidR="005601EC" w:rsidRDefault="005601EC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D58" w:rsidRDefault="00E30D5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 w:displacedByCustomXml="next"/>
  <w:bookmarkEnd w:id="0" w:displacedByCustomXml="next"/>
  <w:sdt>
    <w:sdtPr>
      <w:id w:val="-426864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E30D58" w:rsidRDefault="00E30D58">
            <w:pPr>
              <w:pStyle w:val="Pieddepage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C776F" w:rsidRDefault="00EC776F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D58" w:rsidRDefault="00E30D5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1EC" w:rsidRDefault="005601EC" w:rsidP="006D6846">
      <w:pPr>
        <w:spacing w:after="0" w:line="240" w:lineRule="auto"/>
      </w:pPr>
      <w:r>
        <w:separator/>
      </w:r>
    </w:p>
  </w:footnote>
  <w:footnote w:type="continuationSeparator" w:id="0">
    <w:p w:rsidR="005601EC" w:rsidRDefault="005601EC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D58" w:rsidRDefault="00E30D5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2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88"/>
      <w:gridCol w:w="4068"/>
    </w:tblGrid>
    <w:tr w:rsidR="00EC776F" w:rsidTr="00E30D58">
      <w:trPr>
        <w:trHeight w:val="806"/>
      </w:trPr>
      <w:tc>
        <w:tcPr>
          <w:tcW w:w="6188" w:type="dxa"/>
          <w:vAlign w:val="center"/>
        </w:tcPr>
        <w:p w:rsidR="00666AB5" w:rsidRPr="005B1C9D" w:rsidRDefault="00666AB5" w:rsidP="00666AB5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>T2S Market Practice Adaptation Workgroup</w:t>
          </w:r>
        </w:p>
        <w:p w:rsidR="00EC776F" w:rsidRPr="00666AB5" w:rsidRDefault="00666AB5" w:rsidP="00666AB5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 xml:space="preserve">Market Practice </w:t>
          </w:r>
          <w:r>
            <w:rPr>
              <w:b/>
            </w:rPr>
            <w:t>Sheet</w:t>
          </w:r>
        </w:p>
      </w:tc>
      <w:tc>
        <w:tcPr>
          <w:tcW w:w="4068" w:type="dxa"/>
          <w:vAlign w:val="center"/>
        </w:tcPr>
        <w:p w:rsidR="00EC776F" w:rsidRDefault="00EC776F" w:rsidP="00E30D58">
          <w:pPr>
            <w:pStyle w:val="En-tte"/>
            <w:rPr>
              <w:b/>
              <w:lang w:val="fr-FR"/>
            </w:rPr>
          </w:pPr>
          <w:r>
            <w:rPr>
              <w:noProof/>
              <w:lang w:val="fr-FR" w:eastAsia="fr-FR"/>
            </w:rPr>
            <w:drawing>
              <wp:inline distT="0" distB="0" distL="0" distR="0" wp14:anchorId="6892EC6B" wp14:editId="6784B44A">
                <wp:extent cx="1032931" cy="516467"/>
                <wp:effectExtent l="0" t="0" r="0" b="0"/>
                <wp:docPr id="8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E30D58">
            <w:object w:dxaOrig="7200" w:dyaOrig="4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.45pt;height:42.6pt" o:ole="">
                <v:imagedata r:id="rId2" o:title=""/>
              </v:shape>
              <o:OLEObject Type="Embed" ProgID="PBrush" ShapeID="_x0000_i1025" DrawAspect="Content" ObjectID="_1524931031" r:id="rId3"/>
            </w:object>
          </w:r>
        </w:p>
      </w:tc>
    </w:tr>
    <w:tr w:rsidR="00EC776F" w:rsidRPr="00F86CD3" w:rsidTr="00E30D58">
      <w:trPr>
        <w:trHeight w:val="265"/>
      </w:trPr>
      <w:tc>
        <w:tcPr>
          <w:tcW w:w="6188" w:type="dxa"/>
          <w:vAlign w:val="center"/>
        </w:tcPr>
        <w:p w:rsidR="00EC776F" w:rsidRPr="00666AB5" w:rsidRDefault="00666AB5" w:rsidP="00E30D58">
          <w:pPr>
            <w:pStyle w:val="En-tte"/>
            <w:jc w:val="center"/>
            <w:rPr>
              <w:i/>
            </w:rPr>
          </w:pPr>
          <w:r>
            <w:rPr>
              <w:i/>
            </w:rPr>
            <w:t>Practice</w:t>
          </w:r>
          <w:r w:rsidRPr="0033411F">
            <w:rPr>
              <w:i/>
            </w:rPr>
            <w:t xml:space="preserve"> reference</w:t>
          </w:r>
          <w:r w:rsidR="00EC776F" w:rsidRPr="00666AB5">
            <w:rPr>
              <w:i/>
            </w:rPr>
            <w:t xml:space="preserve">: </w:t>
          </w:r>
          <w:r w:rsidR="003D75CA" w:rsidRPr="00666AB5">
            <w:rPr>
              <w:i/>
            </w:rPr>
            <w:t>OP-SETTL-MONTANT-01</w:t>
          </w:r>
        </w:p>
      </w:tc>
      <w:tc>
        <w:tcPr>
          <w:tcW w:w="4068" w:type="dxa"/>
          <w:vAlign w:val="center"/>
        </w:tcPr>
        <w:p w:rsidR="00EC776F" w:rsidRPr="00666AB5" w:rsidRDefault="00EC776F" w:rsidP="00EC776F">
          <w:pPr>
            <w:pStyle w:val="En-tte"/>
            <w:jc w:val="center"/>
            <w:rPr>
              <w:noProof/>
            </w:rPr>
          </w:pPr>
        </w:p>
      </w:tc>
    </w:tr>
  </w:tbl>
  <w:p w:rsidR="00EC776F" w:rsidRPr="00666AB5" w:rsidRDefault="00EC776F">
    <w:pPr>
      <w:pStyle w:val="En-tte"/>
      <w:rPr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D58" w:rsidRDefault="00E30D5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4BC6"/>
    <w:multiLevelType w:val="hybridMultilevel"/>
    <w:tmpl w:val="2C0049D2"/>
    <w:lvl w:ilvl="0" w:tplc="A162A862">
      <w:start w:val="1"/>
      <w:numFmt w:val="bullet"/>
      <w:lvlText w:val=""/>
      <w:lvlJc w:val="left"/>
      <w:pPr>
        <w:ind w:left="114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49741B3"/>
    <w:multiLevelType w:val="hybridMultilevel"/>
    <w:tmpl w:val="1B20EB06"/>
    <w:lvl w:ilvl="0" w:tplc="437E9AE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E79DC"/>
    <w:multiLevelType w:val="hybridMultilevel"/>
    <w:tmpl w:val="FF563A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101850">
      <w:start w:val="30"/>
      <w:numFmt w:val="bullet"/>
      <w:lvlText w:val=""/>
      <w:lvlJc w:val="left"/>
      <w:pPr>
        <w:ind w:left="2520" w:hanging="360"/>
      </w:pPr>
      <w:rPr>
        <w:rFonts w:ascii="Wingdings" w:eastAsia="MS Mincho" w:hAnsi="Wingdings" w:cs="Tahoma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A7E25"/>
    <w:multiLevelType w:val="hybridMultilevel"/>
    <w:tmpl w:val="B692A802"/>
    <w:lvl w:ilvl="0" w:tplc="0C88040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E0530"/>
    <w:multiLevelType w:val="hybridMultilevel"/>
    <w:tmpl w:val="5404B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85906"/>
    <w:multiLevelType w:val="hybridMultilevel"/>
    <w:tmpl w:val="B170918E"/>
    <w:lvl w:ilvl="0" w:tplc="1546A4E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46"/>
    <w:rsid w:val="00020084"/>
    <w:rsid w:val="000354ED"/>
    <w:rsid w:val="000706A3"/>
    <w:rsid w:val="000A6C94"/>
    <w:rsid w:val="000C1C9B"/>
    <w:rsid w:val="000D6F4D"/>
    <w:rsid w:val="000F3C24"/>
    <w:rsid w:val="00113071"/>
    <w:rsid w:val="00140482"/>
    <w:rsid w:val="00145ADA"/>
    <w:rsid w:val="001522A5"/>
    <w:rsid w:val="00162BBA"/>
    <w:rsid w:val="00183F7A"/>
    <w:rsid w:val="001A26CA"/>
    <w:rsid w:val="001B0416"/>
    <w:rsid w:val="001B1E38"/>
    <w:rsid w:val="001C4C4C"/>
    <w:rsid w:val="001C7BAF"/>
    <w:rsid w:val="001D7830"/>
    <w:rsid w:val="001E0D83"/>
    <w:rsid w:val="00211814"/>
    <w:rsid w:val="00217510"/>
    <w:rsid w:val="00283DDE"/>
    <w:rsid w:val="0028538B"/>
    <w:rsid w:val="00343829"/>
    <w:rsid w:val="00343B9E"/>
    <w:rsid w:val="003631EA"/>
    <w:rsid w:val="00363E89"/>
    <w:rsid w:val="003929BA"/>
    <w:rsid w:val="003A4E76"/>
    <w:rsid w:val="003B3DA4"/>
    <w:rsid w:val="003D5E9F"/>
    <w:rsid w:val="003D7060"/>
    <w:rsid w:val="003D75CA"/>
    <w:rsid w:val="00464015"/>
    <w:rsid w:val="00473668"/>
    <w:rsid w:val="004818D8"/>
    <w:rsid w:val="00482296"/>
    <w:rsid w:val="00487A07"/>
    <w:rsid w:val="004F6025"/>
    <w:rsid w:val="005061BA"/>
    <w:rsid w:val="005067E0"/>
    <w:rsid w:val="0051485E"/>
    <w:rsid w:val="005601EC"/>
    <w:rsid w:val="00567B1D"/>
    <w:rsid w:val="00575F36"/>
    <w:rsid w:val="005C2ACA"/>
    <w:rsid w:val="006028C3"/>
    <w:rsid w:val="00622E8A"/>
    <w:rsid w:val="00625541"/>
    <w:rsid w:val="00652C13"/>
    <w:rsid w:val="00666AB5"/>
    <w:rsid w:val="00683A1D"/>
    <w:rsid w:val="00694503"/>
    <w:rsid w:val="0069580E"/>
    <w:rsid w:val="006A54BE"/>
    <w:rsid w:val="006D6846"/>
    <w:rsid w:val="00701AE2"/>
    <w:rsid w:val="00714CE6"/>
    <w:rsid w:val="00727BF7"/>
    <w:rsid w:val="0074709E"/>
    <w:rsid w:val="00765664"/>
    <w:rsid w:val="00776CD9"/>
    <w:rsid w:val="007B7B10"/>
    <w:rsid w:val="007C7303"/>
    <w:rsid w:val="007F6CFC"/>
    <w:rsid w:val="0080446B"/>
    <w:rsid w:val="0081511D"/>
    <w:rsid w:val="00830B7B"/>
    <w:rsid w:val="00837334"/>
    <w:rsid w:val="00841E84"/>
    <w:rsid w:val="0085743B"/>
    <w:rsid w:val="008800A4"/>
    <w:rsid w:val="00893912"/>
    <w:rsid w:val="008A30A6"/>
    <w:rsid w:val="008C734C"/>
    <w:rsid w:val="0091257E"/>
    <w:rsid w:val="0092276F"/>
    <w:rsid w:val="00922A8E"/>
    <w:rsid w:val="00922B9C"/>
    <w:rsid w:val="00933237"/>
    <w:rsid w:val="009606C4"/>
    <w:rsid w:val="00982218"/>
    <w:rsid w:val="00995F65"/>
    <w:rsid w:val="009978DE"/>
    <w:rsid w:val="009A24A6"/>
    <w:rsid w:val="009A2F1A"/>
    <w:rsid w:val="009A64D1"/>
    <w:rsid w:val="00A133A7"/>
    <w:rsid w:val="00A20577"/>
    <w:rsid w:val="00A21489"/>
    <w:rsid w:val="00A40ED4"/>
    <w:rsid w:val="00A45A45"/>
    <w:rsid w:val="00A678C0"/>
    <w:rsid w:val="00A746A0"/>
    <w:rsid w:val="00A90A71"/>
    <w:rsid w:val="00A90EEC"/>
    <w:rsid w:val="00AA1FDB"/>
    <w:rsid w:val="00AA62D7"/>
    <w:rsid w:val="00AC134F"/>
    <w:rsid w:val="00B26098"/>
    <w:rsid w:val="00B31057"/>
    <w:rsid w:val="00B44E11"/>
    <w:rsid w:val="00B540C8"/>
    <w:rsid w:val="00B62B1E"/>
    <w:rsid w:val="00B727D8"/>
    <w:rsid w:val="00B75648"/>
    <w:rsid w:val="00B9491F"/>
    <w:rsid w:val="00BA66D3"/>
    <w:rsid w:val="00BA6B0A"/>
    <w:rsid w:val="00BC7577"/>
    <w:rsid w:val="00BE4C60"/>
    <w:rsid w:val="00BF27C7"/>
    <w:rsid w:val="00C06869"/>
    <w:rsid w:val="00C070B0"/>
    <w:rsid w:val="00C1000A"/>
    <w:rsid w:val="00C221EA"/>
    <w:rsid w:val="00C33595"/>
    <w:rsid w:val="00C3423B"/>
    <w:rsid w:val="00C41782"/>
    <w:rsid w:val="00C43D15"/>
    <w:rsid w:val="00C57689"/>
    <w:rsid w:val="00C60EC8"/>
    <w:rsid w:val="00C65EB2"/>
    <w:rsid w:val="00C77C0A"/>
    <w:rsid w:val="00CB0F41"/>
    <w:rsid w:val="00CC7462"/>
    <w:rsid w:val="00CD3755"/>
    <w:rsid w:val="00CE6DA3"/>
    <w:rsid w:val="00CF605A"/>
    <w:rsid w:val="00D103DA"/>
    <w:rsid w:val="00D12DE8"/>
    <w:rsid w:val="00D252A7"/>
    <w:rsid w:val="00D50DB6"/>
    <w:rsid w:val="00D529B3"/>
    <w:rsid w:val="00D53037"/>
    <w:rsid w:val="00D5515F"/>
    <w:rsid w:val="00DA6DAE"/>
    <w:rsid w:val="00DB106F"/>
    <w:rsid w:val="00DD071C"/>
    <w:rsid w:val="00E30D58"/>
    <w:rsid w:val="00E351C1"/>
    <w:rsid w:val="00E35B86"/>
    <w:rsid w:val="00E438E3"/>
    <w:rsid w:val="00E52109"/>
    <w:rsid w:val="00E62EAE"/>
    <w:rsid w:val="00E859C0"/>
    <w:rsid w:val="00EA5560"/>
    <w:rsid w:val="00EB44AB"/>
    <w:rsid w:val="00EC776F"/>
    <w:rsid w:val="00F00BF4"/>
    <w:rsid w:val="00F358FF"/>
    <w:rsid w:val="00F35CCA"/>
    <w:rsid w:val="00F52133"/>
    <w:rsid w:val="00F84B2D"/>
    <w:rsid w:val="00F86CD3"/>
    <w:rsid w:val="00F904C9"/>
    <w:rsid w:val="00FC06B7"/>
    <w:rsid w:val="00FC4F18"/>
    <w:rsid w:val="00FE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D2833F4-E466-4815-9262-C6DF0F7D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6846"/>
  </w:style>
  <w:style w:type="paragraph" w:styleId="Pieddepage">
    <w:name w:val="footer"/>
    <w:basedOn w:val="Normal"/>
    <w:link w:val="Pieddepag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6846"/>
  </w:style>
  <w:style w:type="paragraph" w:styleId="Textedebulles">
    <w:name w:val="Balloon Text"/>
    <w:basedOn w:val="Normal"/>
    <w:link w:val="TextedebullesC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Grilledutableau">
    <w:name w:val="Table Grid"/>
    <w:basedOn w:val="Tableau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  <w:style w:type="paragraph" w:customStyle="1" w:styleId="FDNormal">
    <w:name w:val="FDNormal"/>
    <w:basedOn w:val="Normal"/>
    <w:link w:val="FDNormalCar"/>
    <w:rsid w:val="003D75CA"/>
    <w:pPr>
      <w:spacing w:after="120" w:line="240" w:lineRule="auto"/>
      <w:jc w:val="both"/>
    </w:pPr>
    <w:rPr>
      <w:rFonts w:ascii="Verdana" w:eastAsia="Times New Roman" w:hAnsi="Verdana" w:cs="Verdana"/>
      <w:sz w:val="20"/>
      <w:szCs w:val="20"/>
      <w:lang w:val="fr-FR" w:eastAsia="fr-FR"/>
    </w:rPr>
  </w:style>
  <w:style w:type="character" w:customStyle="1" w:styleId="FDNormalCar">
    <w:name w:val="FDNormal Car"/>
    <w:link w:val="FDNormal"/>
    <w:rsid w:val="003D75CA"/>
    <w:rPr>
      <w:rFonts w:ascii="Verdana" w:eastAsia="Times New Roman" w:hAnsi="Verdana" w:cs="Verdana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391379C3</Template>
  <TotalTime>0</TotalTime>
  <Pages>3</Pages>
  <Words>686</Words>
  <Characters>3773</Characters>
  <Application>Microsoft Office Word</Application>
  <DocSecurity>4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Cognizant Technology Solutions</dc:creator>
  <cp:lastModifiedBy>de Sousa, Maria</cp:lastModifiedBy>
  <cp:revision>2</cp:revision>
  <cp:lastPrinted>2015-10-09T10:36:00Z</cp:lastPrinted>
  <dcterms:created xsi:type="dcterms:W3CDTF">2016-05-16T17:08:00Z</dcterms:created>
  <dcterms:modified xsi:type="dcterms:W3CDTF">2016-05-16T17:08:00Z</dcterms:modified>
</cp:coreProperties>
</file>