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664" w:rsidRDefault="00765664" w:rsidP="006D6846">
      <w:pPr>
        <w:tabs>
          <w:tab w:val="left" w:pos="9356"/>
        </w:tabs>
        <w:ind w:right="-279"/>
        <w:jc w:val="center"/>
        <w:rPr>
          <w:sz w:val="36"/>
          <w:lang w:val="fr-FR"/>
        </w:rPr>
      </w:pPr>
    </w:p>
    <w:p w:rsidR="00575F36" w:rsidRPr="0063382C" w:rsidRDefault="0063382C"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63382C">
        <w:rPr>
          <w:b/>
          <w:noProof/>
          <w:sz w:val="36"/>
        </w:rPr>
        <w:t xml:space="preserve">Optional </w:t>
      </w:r>
      <w:r w:rsidR="00B3407B">
        <w:rPr>
          <w:b/>
          <w:noProof/>
          <w:sz w:val="36"/>
        </w:rPr>
        <w:t>earmarking</w:t>
      </w:r>
      <w:r w:rsidRPr="0063382C">
        <w:rPr>
          <w:b/>
          <w:noProof/>
          <w:sz w:val="36"/>
        </w:rPr>
        <w:t xml:space="preserve"> of settlement instructions on funds using BIC11</w:t>
      </w:r>
    </w:p>
    <w:p w:rsidR="001B1E38" w:rsidRPr="0063382C" w:rsidRDefault="001B1E38" w:rsidP="006D6846">
      <w:pPr>
        <w:tabs>
          <w:tab w:val="left" w:pos="9356"/>
        </w:tabs>
        <w:ind w:right="-279"/>
      </w:pPr>
    </w:p>
    <w:tbl>
      <w:tblPr>
        <w:tblStyle w:val="Grilledutableau"/>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440808" w:rsidP="00776CD9">
            <w:pPr>
              <w:tabs>
                <w:tab w:val="left" w:pos="9356"/>
              </w:tabs>
              <w:ind w:right="-279"/>
              <w:rPr>
                <w:lang w:val="fr-FR"/>
              </w:rPr>
            </w:pPr>
            <w:r>
              <w:rPr>
                <w:lang w:val="fr-FR"/>
              </w:rPr>
              <w:t>1</w:t>
            </w:r>
            <w:r w:rsidR="00140482">
              <w:rPr>
                <w:lang w:val="fr-FR"/>
              </w:rPr>
              <w:t>.</w:t>
            </w:r>
            <w:r w:rsidR="00776CD9">
              <w:rPr>
                <w:lang w:val="fr-FR"/>
              </w:rPr>
              <w:t>0</w:t>
            </w:r>
          </w:p>
        </w:tc>
      </w:tr>
      <w:tr w:rsidR="0063382C" w:rsidRPr="00AA1FDB" w:rsidTr="0091257E">
        <w:tc>
          <w:tcPr>
            <w:tcW w:w="2093" w:type="dxa"/>
            <w:vMerge/>
            <w:shd w:val="clear" w:color="auto" w:fill="BFBFBF" w:themeFill="background1" w:themeFillShade="BF"/>
          </w:tcPr>
          <w:p w:rsidR="0063382C" w:rsidRPr="004F6025" w:rsidRDefault="0063382C" w:rsidP="006D6846">
            <w:pPr>
              <w:tabs>
                <w:tab w:val="left" w:pos="9356"/>
              </w:tabs>
              <w:ind w:right="-279"/>
              <w:rPr>
                <w:b/>
                <w:lang w:val="fr-FR"/>
              </w:rPr>
            </w:pPr>
          </w:p>
        </w:tc>
        <w:tc>
          <w:tcPr>
            <w:tcW w:w="2551" w:type="dxa"/>
            <w:shd w:val="clear" w:color="auto" w:fill="F2F2F2" w:themeFill="background1" w:themeFillShade="F2"/>
          </w:tcPr>
          <w:p w:rsidR="0063382C" w:rsidRDefault="0063382C" w:rsidP="000E651B">
            <w:pPr>
              <w:tabs>
                <w:tab w:val="left" w:pos="9356"/>
              </w:tabs>
              <w:ind w:right="-279"/>
              <w:rPr>
                <w:lang w:val="fr-FR"/>
              </w:rPr>
            </w:pPr>
            <w:r>
              <w:rPr>
                <w:lang w:val="fr-FR"/>
              </w:rPr>
              <w:t>Publication date</w:t>
            </w:r>
          </w:p>
        </w:tc>
        <w:tc>
          <w:tcPr>
            <w:tcW w:w="4932" w:type="dxa"/>
          </w:tcPr>
          <w:p w:rsidR="0063382C" w:rsidRDefault="0063382C" w:rsidP="000E651B">
            <w:pPr>
              <w:tabs>
                <w:tab w:val="left" w:pos="9356"/>
              </w:tabs>
              <w:ind w:right="-279"/>
              <w:rPr>
                <w:lang w:val="fr-FR"/>
              </w:rPr>
            </w:pPr>
            <w:r>
              <w:rPr>
                <w:lang w:val="fr-FR"/>
              </w:rPr>
              <w:t>April 6th,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63382C" w:rsidRPr="000C4CA6" w:rsidRDefault="0063382C" w:rsidP="0063382C">
      <w:pPr>
        <w:pStyle w:val="Paragraphedeliste"/>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63382C" w:rsidRDefault="0081511D" w:rsidP="00B26098">
      <w:pPr>
        <w:spacing w:after="0" w:line="240" w:lineRule="auto"/>
        <w:rPr>
          <w:rFonts w:eastAsia="MS Mincho" w:cs="Times New Roman"/>
          <w:noProof/>
          <w:szCs w:val="32"/>
        </w:rPr>
      </w:pPr>
    </w:p>
    <w:tbl>
      <w:tblPr>
        <w:tblStyle w:val="Grilledutableau"/>
        <w:tblW w:w="9606" w:type="dxa"/>
        <w:tblLayout w:type="fixed"/>
        <w:tblLook w:val="04A0" w:firstRow="1" w:lastRow="0" w:firstColumn="1" w:lastColumn="0" w:noHBand="0" w:noVBand="1"/>
      </w:tblPr>
      <w:tblGrid>
        <w:gridCol w:w="2093"/>
        <w:gridCol w:w="7513"/>
      </w:tblGrid>
      <w:tr w:rsidR="0063382C" w:rsidRPr="0063382C" w:rsidTr="0091257E">
        <w:tc>
          <w:tcPr>
            <w:tcW w:w="2093" w:type="dxa"/>
            <w:tcBorders>
              <w:bottom w:val="single" w:sz="4" w:space="0" w:color="auto"/>
            </w:tcBorders>
            <w:shd w:val="clear" w:color="auto" w:fill="BFBFBF" w:themeFill="background1" w:themeFillShade="BF"/>
          </w:tcPr>
          <w:p w:rsidR="0063382C" w:rsidRPr="000C4CA6" w:rsidRDefault="0063382C" w:rsidP="000E651B">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63382C" w:rsidRPr="00837BEC" w:rsidRDefault="00504EDC" w:rsidP="00440808">
            <w:pPr>
              <w:spacing w:before="120"/>
              <w:jc w:val="both"/>
              <w:rPr>
                <w:rFonts w:eastAsia="MS Mincho" w:cs="Times New Roman"/>
                <w:noProof/>
                <w:szCs w:val="32"/>
              </w:rPr>
            </w:pPr>
            <w:r w:rsidRPr="00504EDC">
              <w:rPr>
                <w:rFonts w:eastAsia="MS Mincho" w:cs="Times New Roman"/>
                <w:noProof/>
                <w:szCs w:val="32"/>
              </w:rPr>
              <w:t>The rise in open architecture has given rise to an accute need for standardization of the identif</w:t>
            </w:r>
            <w:r>
              <w:rPr>
                <w:rFonts w:eastAsia="MS Mincho" w:cs="Times New Roman"/>
                <w:noProof/>
                <w:szCs w:val="32"/>
              </w:rPr>
              <w:t>ication of distributor</w:t>
            </w:r>
            <w:r w:rsidRPr="00504EDC">
              <w:rPr>
                <w:rFonts w:eastAsia="MS Mincho" w:cs="Times New Roman"/>
                <w:noProof/>
                <w:szCs w:val="32"/>
              </w:rPr>
              <w:t>s.</w:t>
            </w:r>
          </w:p>
          <w:p w:rsidR="0063382C" w:rsidRPr="00504EDC" w:rsidRDefault="00504EDC" w:rsidP="00440808">
            <w:pPr>
              <w:spacing w:before="120"/>
              <w:jc w:val="both"/>
              <w:rPr>
                <w:rFonts w:eastAsia="MS Mincho" w:cs="Times New Roman"/>
                <w:noProof/>
                <w:szCs w:val="32"/>
              </w:rPr>
            </w:pPr>
            <w:r w:rsidRPr="00504EDC">
              <w:rPr>
                <w:rFonts w:eastAsia="MS Mincho" w:cs="Times New Roman"/>
                <w:noProof/>
                <w:szCs w:val="32"/>
              </w:rPr>
              <w:t>Standar</w:t>
            </w:r>
            <w:r w:rsidR="00837BEC">
              <w:rPr>
                <w:rFonts w:eastAsia="MS Mincho" w:cs="Times New Roman"/>
                <w:noProof/>
                <w:szCs w:val="32"/>
              </w:rPr>
              <w:t>dization on order flows involve</w:t>
            </w:r>
            <w:r w:rsidR="0063382C" w:rsidRPr="00504EDC">
              <w:rPr>
                <w:rFonts w:eastAsia="MS Mincho" w:cs="Times New Roman"/>
                <w:noProof/>
                <w:szCs w:val="32"/>
              </w:rPr>
              <w:t>:</w:t>
            </w:r>
          </w:p>
          <w:p w:rsidR="00504EDC" w:rsidRPr="00504EDC" w:rsidRDefault="00B3407B" w:rsidP="00440808">
            <w:pPr>
              <w:pStyle w:val="Paragraphedeliste"/>
              <w:numPr>
                <w:ilvl w:val="0"/>
                <w:numId w:val="11"/>
              </w:numPr>
              <w:tabs>
                <w:tab w:val="clear" w:pos="397"/>
              </w:tabs>
              <w:spacing w:before="120"/>
              <w:ind w:left="318" w:hanging="284"/>
              <w:contextualSpacing w:val="0"/>
              <w:jc w:val="both"/>
              <w:rPr>
                <w:rFonts w:eastAsia="MS Mincho" w:cs="Times New Roman"/>
                <w:noProof/>
                <w:szCs w:val="32"/>
              </w:rPr>
            </w:pPr>
            <w:r>
              <w:rPr>
                <w:rFonts w:eastAsia="MS Mincho" w:cs="Times New Roman"/>
                <w:noProof/>
                <w:szCs w:val="32"/>
              </w:rPr>
              <w:t>a</w:t>
            </w:r>
            <w:r w:rsidR="00504EDC" w:rsidRPr="00504EDC">
              <w:rPr>
                <w:rFonts w:eastAsia="MS Mincho" w:cs="Times New Roman"/>
                <w:noProof/>
                <w:szCs w:val="32"/>
              </w:rPr>
              <w:t xml:space="preserve"> responsability</w:t>
            </w:r>
            <w:r w:rsidR="0063382C" w:rsidRPr="00504EDC">
              <w:rPr>
                <w:rFonts w:eastAsia="MS Mincho" w:cs="Times New Roman"/>
                <w:noProof/>
                <w:szCs w:val="32"/>
              </w:rPr>
              <w:t xml:space="preserve"> </w:t>
            </w:r>
            <w:r w:rsidR="00504EDC" w:rsidRPr="00504EDC">
              <w:rPr>
                <w:rFonts w:eastAsia="MS Mincho" w:cs="Times New Roman"/>
                <w:noProof/>
                <w:szCs w:val="32"/>
              </w:rPr>
              <w:t xml:space="preserve">for transfer agents in the </w:t>
            </w:r>
            <w:r w:rsidR="00504EDC">
              <w:rPr>
                <w:rFonts w:eastAsia="MS Mincho" w:cs="Times New Roman"/>
                <w:noProof/>
                <w:szCs w:val="32"/>
              </w:rPr>
              <w:t xml:space="preserve">identification and application, when relevant, in order flows, of </w:t>
            </w:r>
            <w:r>
              <w:rPr>
                <w:rFonts w:eastAsia="MS Mincho" w:cs="Times New Roman"/>
                <w:noProof/>
                <w:szCs w:val="32"/>
              </w:rPr>
              <w:t>conditions on purchase/redemption fees as described in the fund distribution agreements;</w:t>
            </w:r>
          </w:p>
          <w:p w:rsidR="0063382C" w:rsidRPr="00B3407B" w:rsidRDefault="00B3407B" w:rsidP="00440808">
            <w:pPr>
              <w:pStyle w:val="Paragraphedeliste"/>
              <w:numPr>
                <w:ilvl w:val="0"/>
                <w:numId w:val="11"/>
              </w:numPr>
              <w:tabs>
                <w:tab w:val="clear" w:pos="397"/>
              </w:tabs>
              <w:spacing w:before="120"/>
              <w:ind w:left="318" w:hanging="284"/>
              <w:contextualSpacing w:val="0"/>
              <w:jc w:val="both"/>
              <w:rPr>
                <w:rFonts w:eastAsia="MS Mincho" w:cs="Times New Roman"/>
                <w:noProof/>
                <w:szCs w:val="32"/>
              </w:rPr>
            </w:pPr>
            <w:r w:rsidRPr="00B3407B">
              <w:rPr>
                <w:rFonts w:eastAsia="MS Mincho" w:cs="Times New Roman"/>
                <w:noProof/>
                <w:szCs w:val="32"/>
              </w:rPr>
              <w:t xml:space="preserve">the need to process as much as possible the references of distributors, in order to ensure </w:t>
            </w:r>
            <w:r>
              <w:rPr>
                <w:rFonts w:eastAsia="MS Mincho" w:cs="Times New Roman"/>
                <w:noProof/>
                <w:szCs w:val="32"/>
              </w:rPr>
              <w:t>earmarking of orders.</w:t>
            </w:r>
          </w:p>
          <w:p w:rsidR="0063382C" w:rsidRPr="00B3407B" w:rsidRDefault="00B3407B" w:rsidP="00B3407B">
            <w:pPr>
              <w:spacing w:before="120"/>
              <w:ind w:left="34"/>
              <w:jc w:val="both"/>
              <w:rPr>
                <w:rFonts w:eastAsia="MS Mincho" w:cs="Times New Roman"/>
                <w:noProof/>
                <w:szCs w:val="32"/>
              </w:rPr>
            </w:pPr>
            <w:r w:rsidRPr="00B3407B">
              <w:rPr>
                <w:rFonts w:eastAsia="MS Mincho" w:cs="Times New Roman"/>
                <w:noProof/>
                <w:szCs w:val="32"/>
              </w:rPr>
              <w:t xml:space="preserve">This standardization can also apply to </w:t>
            </w:r>
            <w:r>
              <w:rPr>
                <w:rFonts w:eastAsia="MS Mincho" w:cs="Times New Roman"/>
                <w:noProof/>
                <w:szCs w:val="32"/>
              </w:rPr>
              <w:t>settlement instructions, for any investor wishing to process this optional data.</w:t>
            </w:r>
          </w:p>
          <w:p w:rsidR="0063382C" w:rsidRPr="00837BEC" w:rsidRDefault="0063382C" w:rsidP="00440808">
            <w:pPr>
              <w:spacing w:before="120"/>
              <w:jc w:val="both"/>
              <w:rPr>
                <w:rFonts w:eastAsia="MS Mincho" w:cs="Times New Roman"/>
                <w:noProof/>
                <w:szCs w:val="32"/>
              </w:rPr>
            </w:pPr>
          </w:p>
          <w:p w:rsidR="0063382C" w:rsidRPr="00837BEC" w:rsidRDefault="00B3407B" w:rsidP="00440808">
            <w:pPr>
              <w:spacing w:before="120"/>
              <w:jc w:val="both"/>
              <w:rPr>
                <w:rFonts w:eastAsia="MS Mincho" w:cs="Times New Roman"/>
                <w:b/>
                <w:i/>
                <w:noProof/>
                <w:szCs w:val="32"/>
              </w:rPr>
            </w:pPr>
            <w:bookmarkStart w:id="0" w:name="_Toc378854343"/>
            <w:r w:rsidRPr="00837BEC">
              <w:rPr>
                <w:rFonts w:eastAsia="MS Mincho" w:cs="Times New Roman"/>
                <w:b/>
                <w:i/>
                <w:noProof/>
                <w:szCs w:val="32"/>
              </w:rPr>
              <w:t>Definitions relevant to the earmarking of orders</w:t>
            </w:r>
            <w:bookmarkEnd w:id="0"/>
          </w:p>
          <w:p w:rsidR="0063382C" w:rsidRPr="00837BEC" w:rsidRDefault="00B3407B" w:rsidP="00440808">
            <w:pPr>
              <w:spacing w:before="120"/>
              <w:jc w:val="both"/>
              <w:rPr>
                <w:rFonts w:eastAsia="MS Mincho" w:cs="Times New Roman"/>
                <w:noProof/>
                <w:szCs w:val="32"/>
              </w:rPr>
            </w:pPr>
            <w:r w:rsidRPr="00F91381">
              <w:rPr>
                <w:rFonts w:eastAsia="MS Mincho" w:cs="Times New Roman"/>
                <w:i/>
                <w:noProof/>
                <w:szCs w:val="32"/>
              </w:rPr>
              <w:t>The distributo</w:t>
            </w:r>
            <w:r w:rsidR="0063382C" w:rsidRPr="00F91381">
              <w:rPr>
                <w:rFonts w:eastAsia="MS Mincho" w:cs="Times New Roman"/>
                <w:i/>
                <w:noProof/>
                <w:szCs w:val="32"/>
              </w:rPr>
              <w:t>r</w:t>
            </w:r>
            <w:r w:rsidRPr="00F91381">
              <w:rPr>
                <w:rFonts w:eastAsia="MS Mincho" w:cs="Times New Roman"/>
                <w:i/>
                <w:noProof/>
                <w:szCs w:val="32"/>
              </w:rPr>
              <w:t xml:space="preserve"> reference</w:t>
            </w:r>
            <w:r w:rsidR="00837BEC">
              <w:rPr>
                <w:rFonts w:eastAsia="MS Mincho" w:cs="Times New Roman"/>
                <w:noProof/>
                <w:szCs w:val="32"/>
              </w:rPr>
              <w:t xml:space="preserve"> (BIC</w:t>
            </w:r>
            <w:r w:rsidR="0063382C" w:rsidRPr="00F91381">
              <w:rPr>
                <w:rFonts w:eastAsia="MS Mincho" w:cs="Times New Roman"/>
                <w:noProof/>
                <w:szCs w:val="32"/>
              </w:rPr>
              <w:t>; o</w:t>
            </w:r>
            <w:r w:rsidRPr="00F91381">
              <w:rPr>
                <w:rFonts w:eastAsia="MS Mincho" w:cs="Times New Roman"/>
                <w:noProof/>
                <w:szCs w:val="32"/>
              </w:rPr>
              <w:t>r</w:t>
            </w:r>
            <w:r w:rsidR="0063382C" w:rsidRPr="00F91381">
              <w:rPr>
                <w:rFonts w:eastAsia="MS Mincho" w:cs="Times New Roman"/>
                <w:noProof/>
                <w:szCs w:val="32"/>
              </w:rPr>
              <w:t xml:space="preserve"> BIC One </w:t>
            </w:r>
            <w:r w:rsidRPr="00F91381">
              <w:rPr>
                <w:rFonts w:eastAsia="MS Mincho" w:cs="Times New Roman"/>
                <w:noProof/>
                <w:szCs w:val="32"/>
              </w:rPr>
              <w:t>becoming</w:t>
            </w:r>
            <w:r w:rsidR="0063382C" w:rsidRPr="00F91381">
              <w:rPr>
                <w:rFonts w:eastAsia="MS Mincho" w:cs="Times New Roman"/>
                <w:noProof/>
                <w:szCs w:val="32"/>
              </w:rPr>
              <w:t xml:space="preserve"> BIC11 </w:t>
            </w:r>
            <w:r w:rsidRPr="00F91381">
              <w:rPr>
                <w:rFonts w:eastAsia="MS Mincho" w:cs="Times New Roman"/>
                <w:noProof/>
                <w:szCs w:val="32"/>
              </w:rPr>
              <w:t>i</w:t>
            </w:r>
            <w:r w:rsidR="0063382C" w:rsidRPr="00F91381">
              <w:rPr>
                <w:rFonts w:eastAsia="MS Mincho" w:cs="Times New Roman"/>
                <w:noProof/>
                <w:szCs w:val="32"/>
              </w:rPr>
              <w:t xml:space="preserve">n T2S) </w:t>
            </w:r>
            <w:r w:rsidRPr="00F91381">
              <w:rPr>
                <w:rFonts w:eastAsia="MS Mincho" w:cs="Times New Roman"/>
                <w:noProof/>
                <w:szCs w:val="32"/>
              </w:rPr>
              <w:t>is a market identifier, required by the distributor (who can outsource the management of the request to its custodian) to S</w:t>
            </w:r>
            <w:ins w:id="1" w:author="de Sousa, Maria" w:date="2016-05-16T18:42:00Z">
              <w:r w:rsidR="0082474D">
                <w:rPr>
                  <w:rFonts w:eastAsia="MS Mincho" w:cs="Times New Roman"/>
                  <w:noProof/>
                  <w:szCs w:val="32"/>
                </w:rPr>
                <w:t>WIFT</w:t>
              </w:r>
            </w:ins>
            <w:del w:id="2" w:author="de Sousa, Maria" w:date="2016-05-16T18:42:00Z">
              <w:r w:rsidRPr="00F91381" w:rsidDel="0082474D">
                <w:rPr>
                  <w:rFonts w:eastAsia="MS Mincho" w:cs="Times New Roman"/>
                  <w:noProof/>
                  <w:szCs w:val="32"/>
                </w:rPr>
                <w:delText>wift</w:delText>
              </w:r>
            </w:del>
            <w:r w:rsidR="00F91381" w:rsidRPr="00F91381">
              <w:rPr>
                <w:rFonts w:eastAsia="MS Mincho" w:cs="Times New Roman"/>
                <w:noProof/>
                <w:szCs w:val="32"/>
              </w:rPr>
              <w:t xml:space="preserve">. </w:t>
            </w:r>
            <w:r w:rsidR="00F91381" w:rsidRPr="00837BEC">
              <w:rPr>
                <w:rFonts w:eastAsia="MS Mincho" w:cs="Times New Roman"/>
                <w:noProof/>
                <w:szCs w:val="32"/>
              </w:rPr>
              <w:t>It can be used:</w:t>
            </w:r>
          </w:p>
          <w:p w:rsidR="0063382C" w:rsidRPr="00F91381" w:rsidRDefault="00F91381" w:rsidP="00440808">
            <w:pPr>
              <w:pStyle w:val="Paragraphedeliste"/>
              <w:numPr>
                <w:ilvl w:val="0"/>
                <w:numId w:val="11"/>
              </w:numPr>
              <w:tabs>
                <w:tab w:val="clear" w:pos="397"/>
              </w:tabs>
              <w:spacing w:before="120"/>
              <w:ind w:left="318" w:hanging="284"/>
              <w:contextualSpacing w:val="0"/>
              <w:jc w:val="both"/>
              <w:rPr>
                <w:rFonts w:eastAsia="MS Mincho" w:cs="Times New Roman"/>
                <w:noProof/>
                <w:szCs w:val="32"/>
              </w:rPr>
            </w:pPr>
            <w:r w:rsidRPr="00F91381">
              <w:rPr>
                <w:rFonts w:eastAsia="MS Mincho" w:cs="Times New Roman"/>
                <w:noProof/>
                <w:szCs w:val="32"/>
              </w:rPr>
              <w:t>To signal the existence of an agreement between the management company and the distributor</w:t>
            </w:r>
            <w:r w:rsidR="0063382C" w:rsidRPr="00F91381">
              <w:rPr>
                <w:rFonts w:eastAsia="MS Mincho" w:cs="Times New Roman"/>
                <w:noProof/>
                <w:szCs w:val="32"/>
              </w:rPr>
              <w:t xml:space="preserve">, </w:t>
            </w:r>
            <w:r w:rsidRPr="00F91381">
              <w:rPr>
                <w:rFonts w:eastAsia="MS Mincho" w:cs="Times New Roman"/>
                <w:noProof/>
                <w:szCs w:val="32"/>
              </w:rPr>
              <w:t>giving access to derogatory conditions on purchase/redemption and/or trailer fees</w:t>
            </w:r>
            <w:r w:rsidR="0063382C" w:rsidRPr="00F91381">
              <w:rPr>
                <w:rFonts w:eastAsia="MS Mincho" w:cs="Times New Roman"/>
                <w:noProof/>
                <w:szCs w:val="32"/>
              </w:rPr>
              <w:t>;</w:t>
            </w:r>
          </w:p>
          <w:p w:rsidR="0063382C" w:rsidRPr="00F91381" w:rsidRDefault="00F91381" w:rsidP="00440808">
            <w:pPr>
              <w:pStyle w:val="Paragraphedeliste"/>
              <w:numPr>
                <w:ilvl w:val="0"/>
                <w:numId w:val="11"/>
              </w:numPr>
              <w:tabs>
                <w:tab w:val="clear" w:pos="397"/>
              </w:tabs>
              <w:spacing w:before="120"/>
              <w:ind w:left="318" w:hanging="284"/>
              <w:contextualSpacing w:val="0"/>
              <w:jc w:val="both"/>
              <w:rPr>
                <w:rFonts w:eastAsia="MS Mincho" w:cs="Times New Roman"/>
                <w:noProof/>
                <w:szCs w:val="32"/>
              </w:rPr>
            </w:pPr>
            <w:r w:rsidRPr="00F91381">
              <w:rPr>
                <w:rFonts w:eastAsia="MS Mincho" w:cs="Times New Roman"/>
                <w:noProof/>
                <w:szCs w:val="32"/>
              </w:rPr>
              <w:t xml:space="preserve">To identify the </w:t>
            </w:r>
            <w:r w:rsidR="0063382C" w:rsidRPr="00F91381">
              <w:rPr>
                <w:rFonts w:eastAsia="MS Mincho" w:cs="Times New Roman"/>
                <w:noProof/>
                <w:szCs w:val="32"/>
              </w:rPr>
              <w:t>distribut</w:t>
            </w:r>
            <w:r w:rsidRPr="00F91381">
              <w:rPr>
                <w:rFonts w:eastAsia="MS Mincho" w:cs="Times New Roman"/>
                <w:noProof/>
                <w:szCs w:val="32"/>
              </w:rPr>
              <w:t>o</w:t>
            </w:r>
            <w:r w:rsidR="0063382C" w:rsidRPr="00F91381">
              <w:rPr>
                <w:rFonts w:eastAsia="MS Mincho" w:cs="Times New Roman"/>
                <w:noProof/>
                <w:szCs w:val="32"/>
              </w:rPr>
              <w:t xml:space="preserve">r, </w:t>
            </w:r>
            <w:r w:rsidRPr="00F91381">
              <w:rPr>
                <w:rFonts w:eastAsia="MS Mincho" w:cs="Times New Roman"/>
                <w:noProof/>
                <w:szCs w:val="32"/>
              </w:rPr>
              <w:t>for information, for commercial reasons</w:t>
            </w:r>
            <w:r w:rsidR="0063382C" w:rsidRPr="00F91381">
              <w:rPr>
                <w:rFonts w:eastAsia="MS Mincho" w:cs="Times New Roman"/>
                <w:noProof/>
                <w:szCs w:val="32"/>
              </w:rPr>
              <w:t>.</w:t>
            </w:r>
          </w:p>
          <w:p w:rsidR="0063382C" w:rsidRPr="00F91381" w:rsidRDefault="00837BEC" w:rsidP="00440808">
            <w:pPr>
              <w:spacing w:before="120"/>
              <w:jc w:val="both"/>
              <w:rPr>
                <w:rFonts w:eastAsia="MS Mincho" w:cs="Times New Roman"/>
                <w:noProof/>
                <w:szCs w:val="32"/>
              </w:rPr>
            </w:pPr>
            <w:r>
              <w:rPr>
                <w:rFonts w:eastAsia="MS Mincho" w:cs="Times New Roman"/>
                <w:noProof/>
                <w:szCs w:val="32"/>
              </w:rPr>
              <w:t>It should be noted</w:t>
            </w:r>
            <w:r w:rsidR="00F91381" w:rsidRPr="00F91381">
              <w:rPr>
                <w:rFonts w:eastAsia="MS Mincho" w:cs="Times New Roman"/>
                <w:noProof/>
                <w:szCs w:val="32"/>
              </w:rPr>
              <w:t xml:space="preserve"> that the use of an earmarking through a BIC</w:t>
            </w:r>
            <w:del w:id="3" w:author="de Sousa, Maria" w:date="2016-05-16T18:42:00Z">
              <w:r w:rsidR="00F91381" w:rsidRPr="00F91381" w:rsidDel="0082474D">
                <w:rPr>
                  <w:rFonts w:eastAsia="MS Mincho" w:cs="Times New Roman"/>
                  <w:noProof/>
                  <w:szCs w:val="32"/>
                </w:rPr>
                <w:delText>-</w:delText>
              </w:r>
            </w:del>
            <w:r w:rsidR="00F91381" w:rsidRPr="00F91381">
              <w:rPr>
                <w:rFonts w:eastAsia="MS Mincho" w:cs="Times New Roman"/>
                <w:noProof/>
                <w:szCs w:val="32"/>
              </w:rPr>
              <w:t xml:space="preserve">11 must be favored in order to allow for a </w:t>
            </w:r>
            <w:r w:rsidR="00F91381">
              <w:rPr>
                <w:rFonts w:eastAsia="MS Mincho" w:cs="Times New Roman"/>
                <w:noProof/>
                <w:szCs w:val="32"/>
              </w:rPr>
              <w:t>single identifier by distributor, whatever the management company.</w:t>
            </w:r>
            <w:r w:rsidR="0063382C" w:rsidRPr="00F91381">
              <w:rPr>
                <w:rFonts w:eastAsia="MS Mincho" w:cs="Times New Roman"/>
                <w:noProof/>
                <w:szCs w:val="32"/>
              </w:rPr>
              <w:t xml:space="preserve"> </w:t>
            </w:r>
          </w:p>
          <w:p w:rsidR="0063382C" w:rsidRPr="00F91381" w:rsidRDefault="00F91381" w:rsidP="00440808">
            <w:pPr>
              <w:spacing w:before="120"/>
              <w:jc w:val="both"/>
              <w:rPr>
                <w:rFonts w:eastAsia="MS Mincho" w:cs="Times New Roman"/>
                <w:b/>
                <w:noProof/>
                <w:szCs w:val="32"/>
              </w:rPr>
            </w:pPr>
            <w:bookmarkStart w:id="4" w:name="_Toc378854345"/>
            <w:r w:rsidRPr="00F91381">
              <w:rPr>
                <w:rFonts w:eastAsia="MS Mincho" w:cs="Times New Roman"/>
                <w:b/>
                <w:noProof/>
                <w:szCs w:val="32"/>
              </w:rPr>
              <w:t>Commitment from the transfer agent on distribution agreements</w:t>
            </w:r>
            <w:bookmarkEnd w:id="4"/>
          </w:p>
          <w:p w:rsidR="00F91381" w:rsidRPr="00F91381" w:rsidRDefault="00F91381" w:rsidP="00440808">
            <w:pPr>
              <w:spacing w:before="120"/>
              <w:jc w:val="both"/>
              <w:rPr>
                <w:rFonts w:eastAsia="MS Mincho" w:cs="Times New Roman"/>
                <w:noProof/>
                <w:szCs w:val="32"/>
              </w:rPr>
            </w:pPr>
            <w:r w:rsidRPr="00F91381">
              <w:rPr>
                <w:rFonts w:eastAsia="MS Mincho" w:cs="Times New Roman"/>
                <w:noProof/>
                <w:szCs w:val="32"/>
              </w:rPr>
              <w:lastRenderedPageBreak/>
              <w:t>In its role of centralizer of the orders, whereby he manages instructions from distributors identified by the management company, the transfer agent must:</w:t>
            </w:r>
          </w:p>
          <w:p w:rsidR="0063382C" w:rsidRPr="00837BEC" w:rsidRDefault="00F91381" w:rsidP="00440808">
            <w:pPr>
              <w:spacing w:before="120"/>
              <w:jc w:val="both"/>
              <w:rPr>
                <w:rFonts w:eastAsia="MS Mincho" w:cs="Times New Roman"/>
                <w:i/>
                <w:noProof/>
                <w:szCs w:val="32"/>
                <w:u w:val="single"/>
              </w:rPr>
            </w:pPr>
            <w:r w:rsidRPr="00837BEC">
              <w:rPr>
                <w:rFonts w:eastAsia="MS Mincho" w:cs="Times New Roman"/>
                <w:i/>
                <w:noProof/>
                <w:szCs w:val="32"/>
                <w:u w:val="single"/>
              </w:rPr>
              <w:t>Apply</w:t>
            </w:r>
            <w:r w:rsidR="0063382C" w:rsidRPr="00837BEC">
              <w:rPr>
                <w:rFonts w:eastAsia="MS Mincho" w:cs="Times New Roman"/>
                <w:i/>
                <w:noProof/>
                <w:szCs w:val="32"/>
                <w:u w:val="single"/>
              </w:rPr>
              <w:t xml:space="preserve"> </w:t>
            </w:r>
            <w:r w:rsidRPr="00837BEC">
              <w:rPr>
                <w:rFonts w:eastAsia="MS Mincho" w:cs="Times New Roman"/>
                <w:i/>
                <w:noProof/>
                <w:szCs w:val="32"/>
                <w:u w:val="single"/>
              </w:rPr>
              <w:t>derogatory conditions solely to orders which the management company has authorized.</w:t>
            </w:r>
          </w:p>
          <w:p w:rsidR="00F91381" w:rsidRPr="00F91381" w:rsidRDefault="00F91381" w:rsidP="00440808">
            <w:pPr>
              <w:spacing w:before="120"/>
              <w:jc w:val="both"/>
              <w:rPr>
                <w:rFonts w:eastAsia="MS Mincho" w:cs="Times New Roman"/>
                <w:noProof/>
                <w:szCs w:val="32"/>
              </w:rPr>
            </w:pPr>
            <w:r w:rsidRPr="00F91381">
              <w:rPr>
                <w:rFonts w:eastAsia="MS Mincho" w:cs="Times New Roman"/>
                <w:noProof/>
                <w:szCs w:val="32"/>
              </w:rPr>
              <w:t xml:space="preserve">The transfer agent, upon receipt of an order mentioning a distributor reference, controls the data and applies the </w:t>
            </w:r>
            <w:r>
              <w:rPr>
                <w:rFonts w:eastAsia="MS Mincho" w:cs="Times New Roman"/>
                <w:noProof/>
                <w:szCs w:val="32"/>
              </w:rPr>
              <w:t>relevant distribution conditions, and will inform the management company.</w:t>
            </w:r>
          </w:p>
          <w:p w:rsidR="0063382C" w:rsidRPr="00837BEC" w:rsidRDefault="00F91381" w:rsidP="00440808">
            <w:pPr>
              <w:spacing w:before="120"/>
              <w:jc w:val="both"/>
              <w:rPr>
                <w:rFonts w:eastAsia="MS Mincho" w:cs="Times New Roman"/>
                <w:noProof/>
                <w:szCs w:val="32"/>
              </w:rPr>
            </w:pPr>
            <w:r>
              <w:rPr>
                <w:rFonts w:eastAsia="MS Mincho" w:cs="Times New Roman"/>
                <w:noProof/>
                <w:szCs w:val="32"/>
              </w:rPr>
              <w:t xml:space="preserve">For </w:t>
            </w:r>
            <w:r w:rsidRPr="00F91381">
              <w:rPr>
                <w:rFonts w:eastAsia="MS Mincho" w:cs="Times New Roman"/>
                <w:noProof/>
                <w:szCs w:val="32"/>
              </w:rPr>
              <w:t xml:space="preserve">durability </w:t>
            </w:r>
            <w:r>
              <w:rPr>
                <w:rFonts w:eastAsia="MS Mincho" w:cs="Times New Roman"/>
                <w:noProof/>
                <w:szCs w:val="32"/>
              </w:rPr>
              <w:t>purposes, the management of the distributor referential was entrusted to ESES CSDs, who handles the modifications, creations and deletions of BIC</w:t>
            </w:r>
            <w:del w:id="5" w:author="de Sousa, Maria" w:date="2016-05-16T18:43:00Z">
              <w:r w:rsidDel="0082474D">
                <w:rPr>
                  <w:rFonts w:eastAsia="MS Mincho" w:cs="Times New Roman"/>
                  <w:noProof/>
                  <w:szCs w:val="32"/>
                </w:rPr>
                <w:delText>-</w:delText>
              </w:r>
            </w:del>
            <w:r>
              <w:rPr>
                <w:rFonts w:eastAsia="MS Mincho" w:cs="Times New Roman"/>
                <w:noProof/>
                <w:szCs w:val="32"/>
              </w:rPr>
              <w:t>11.</w:t>
            </w:r>
          </w:p>
          <w:p w:rsidR="0063382C" w:rsidRPr="00F504EF" w:rsidRDefault="00F91381" w:rsidP="00440808">
            <w:pPr>
              <w:spacing w:before="120"/>
              <w:jc w:val="both"/>
              <w:rPr>
                <w:rFonts w:eastAsia="MS Mincho" w:cs="Times New Roman"/>
                <w:noProof/>
                <w:szCs w:val="32"/>
              </w:rPr>
            </w:pPr>
            <w:r w:rsidRPr="00F91381">
              <w:rPr>
                <w:rFonts w:eastAsia="MS Mincho" w:cs="Times New Roman"/>
                <w:noProof/>
                <w:szCs w:val="32"/>
              </w:rPr>
              <w:t xml:space="preserve">In the context of T2S, where orders can be </w:t>
            </w:r>
            <w:r>
              <w:rPr>
                <w:rFonts w:eastAsia="MS Mincho" w:cs="Times New Roman"/>
                <w:noProof/>
                <w:szCs w:val="32"/>
              </w:rPr>
              <w:t>processed without any earmarking reference provided by the investor</w:t>
            </w:r>
            <w:r w:rsidR="00F504EF">
              <w:rPr>
                <w:rFonts w:eastAsia="MS Mincho" w:cs="Times New Roman"/>
                <w:noProof/>
                <w:szCs w:val="32"/>
              </w:rPr>
              <w:t>, it would be convenient to have the opportunity to earmark settlement instructions. This earmarking would remain optional.</w:t>
            </w:r>
          </w:p>
        </w:tc>
      </w:tr>
      <w:tr w:rsidR="00D103DA" w:rsidRPr="0063382C"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63382C" w:rsidRPr="00873A6C" w:rsidTr="0081511D">
        <w:tc>
          <w:tcPr>
            <w:tcW w:w="2093" w:type="dxa"/>
            <w:tcBorders>
              <w:bottom w:val="single" w:sz="4" w:space="0" w:color="auto"/>
            </w:tcBorders>
            <w:shd w:val="clear" w:color="auto" w:fill="BFBFBF" w:themeFill="background1" w:themeFillShade="BF"/>
          </w:tcPr>
          <w:p w:rsidR="0063382C" w:rsidRPr="007B216A" w:rsidRDefault="0063382C" w:rsidP="000E651B">
            <w:pPr>
              <w:rPr>
                <w:rFonts w:eastAsia="MS Mincho" w:cs="Times New Roman"/>
                <w:b/>
                <w:noProof/>
                <w:szCs w:val="32"/>
              </w:rPr>
            </w:pPr>
            <w:r w:rsidRPr="007B216A">
              <w:rPr>
                <w:rFonts w:eastAsia="MS Mincho" w:cs="Times New Roman"/>
                <w:b/>
                <w:noProof/>
                <w:szCs w:val="32"/>
              </w:rPr>
              <w:t>Description of the T2S impact</w:t>
            </w:r>
          </w:p>
        </w:tc>
        <w:tc>
          <w:tcPr>
            <w:tcW w:w="7513" w:type="dxa"/>
            <w:tcBorders>
              <w:bottom w:val="single" w:sz="4" w:space="0" w:color="auto"/>
            </w:tcBorders>
          </w:tcPr>
          <w:p w:rsidR="0063382C" w:rsidRPr="00873A6C" w:rsidRDefault="00873A6C" w:rsidP="00440808">
            <w:pPr>
              <w:spacing w:before="120"/>
              <w:jc w:val="both"/>
              <w:rPr>
                <w:rFonts w:eastAsia="MS Mincho" w:cs="Times New Roman"/>
                <w:noProof/>
                <w:szCs w:val="32"/>
              </w:rPr>
            </w:pPr>
            <w:r w:rsidRPr="00873A6C">
              <w:rPr>
                <w:rFonts w:eastAsia="MS Mincho" w:cs="Times New Roman"/>
                <w:noProof/>
                <w:szCs w:val="32"/>
              </w:rPr>
              <w:t xml:space="preserve">This market practice should </w:t>
            </w:r>
            <w:r>
              <w:rPr>
                <w:rFonts w:eastAsia="MS Mincho" w:cs="Times New Roman"/>
                <w:noProof/>
                <w:szCs w:val="32"/>
              </w:rPr>
              <w:t>be implemented on settlement i</w:t>
            </w:r>
            <w:r w:rsidRPr="00873A6C">
              <w:rPr>
                <w:rFonts w:eastAsia="MS Mincho" w:cs="Times New Roman"/>
                <w:noProof/>
                <w:szCs w:val="32"/>
              </w:rPr>
              <w:t>n</w:t>
            </w:r>
            <w:r>
              <w:rPr>
                <w:rFonts w:eastAsia="MS Mincho" w:cs="Times New Roman"/>
                <w:noProof/>
                <w:szCs w:val="32"/>
              </w:rPr>
              <w:t>s</w:t>
            </w:r>
            <w:r w:rsidRPr="00873A6C">
              <w:rPr>
                <w:rFonts w:eastAsia="MS Mincho" w:cs="Times New Roman"/>
                <w:noProof/>
                <w:szCs w:val="32"/>
              </w:rPr>
              <w:t xml:space="preserve">tructions, </w:t>
            </w:r>
            <w:r>
              <w:rPr>
                <w:rFonts w:eastAsia="MS Mincho" w:cs="Times New Roman"/>
                <w:noProof/>
                <w:szCs w:val="32"/>
              </w:rPr>
              <w:t xml:space="preserve">for all </w:t>
            </w:r>
            <w:r w:rsidRPr="00873A6C">
              <w:rPr>
                <w:rFonts w:eastAsia="MS Mincho" w:cs="Times New Roman"/>
                <w:noProof/>
                <w:szCs w:val="32"/>
              </w:rPr>
              <w:t>investor</w:t>
            </w:r>
            <w:r>
              <w:rPr>
                <w:rFonts w:eastAsia="MS Mincho" w:cs="Times New Roman"/>
                <w:noProof/>
                <w:szCs w:val="32"/>
              </w:rPr>
              <w:t>s wishing to process such optional earmarking data (BIC</w:t>
            </w:r>
            <w:del w:id="6" w:author="de Sousa, Maria" w:date="2016-05-16T18:44:00Z">
              <w:r w:rsidDel="0082474D">
                <w:rPr>
                  <w:rFonts w:eastAsia="MS Mincho" w:cs="Times New Roman"/>
                  <w:noProof/>
                  <w:szCs w:val="32"/>
                </w:rPr>
                <w:delText>-</w:delText>
              </w:r>
            </w:del>
            <w:r>
              <w:rPr>
                <w:rFonts w:eastAsia="MS Mincho" w:cs="Times New Roman"/>
                <w:noProof/>
                <w:szCs w:val="32"/>
              </w:rPr>
              <w:t>11). The objective is to have the same earmarking at the settlement level and at the ordering level,  or to use the settlement processing to provide the information if it was not provided at the ordering level. This data will allow for the application of derogatory conditions or to adjust positions communicated to the management company.</w:t>
            </w:r>
          </w:p>
        </w:tc>
      </w:tr>
      <w:tr w:rsidR="0063382C" w:rsidRPr="00873A6C" w:rsidTr="0081511D">
        <w:tc>
          <w:tcPr>
            <w:tcW w:w="2093" w:type="dxa"/>
            <w:tcBorders>
              <w:left w:val="nil"/>
              <w:right w:val="nil"/>
            </w:tcBorders>
            <w:shd w:val="clear" w:color="auto" w:fill="auto"/>
          </w:tcPr>
          <w:p w:rsidR="0063382C" w:rsidRPr="004113EB" w:rsidRDefault="0063382C" w:rsidP="000E651B">
            <w:pPr>
              <w:rPr>
                <w:rFonts w:eastAsia="MS Mincho" w:cs="Times New Roman"/>
                <w:b/>
                <w:noProof/>
                <w:szCs w:val="32"/>
              </w:rPr>
            </w:pPr>
          </w:p>
        </w:tc>
        <w:tc>
          <w:tcPr>
            <w:tcW w:w="7513" w:type="dxa"/>
            <w:tcBorders>
              <w:left w:val="nil"/>
              <w:right w:val="nil"/>
            </w:tcBorders>
            <w:shd w:val="clear" w:color="auto" w:fill="auto"/>
          </w:tcPr>
          <w:p w:rsidR="0063382C" w:rsidRPr="00873A6C" w:rsidRDefault="0063382C" w:rsidP="0081511D">
            <w:pPr>
              <w:rPr>
                <w:rFonts w:eastAsia="MS Mincho" w:cs="Times New Roman"/>
                <w:b/>
                <w:noProof/>
                <w:szCs w:val="32"/>
              </w:rPr>
            </w:pPr>
          </w:p>
        </w:tc>
      </w:tr>
      <w:tr w:rsidR="0063382C" w:rsidRPr="00873A6C" w:rsidTr="0081511D">
        <w:tc>
          <w:tcPr>
            <w:tcW w:w="2093" w:type="dxa"/>
            <w:shd w:val="clear" w:color="auto" w:fill="BFBFBF" w:themeFill="background1" w:themeFillShade="BF"/>
          </w:tcPr>
          <w:p w:rsidR="0063382C" w:rsidRPr="000C4CA6" w:rsidRDefault="0063382C" w:rsidP="000E651B">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873A6C" w:rsidRDefault="00873A6C" w:rsidP="00440808">
            <w:pPr>
              <w:spacing w:before="120"/>
              <w:jc w:val="both"/>
              <w:rPr>
                <w:rFonts w:eastAsia="MS Mincho" w:cs="Times New Roman"/>
                <w:noProof/>
                <w:szCs w:val="32"/>
              </w:rPr>
            </w:pPr>
            <w:r w:rsidRPr="00873A6C">
              <w:rPr>
                <w:rFonts w:eastAsia="MS Mincho" w:cs="Times New Roman"/>
                <w:noProof/>
                <w:szCs w:val="32"/>
              </w:rPr>
              <w:t xml:space="preserve">The absence of a market practice at the settlement level only leaves the opportunity to provide the information at </w:t>
            </w:r>
            <w:r>
              <w:rPr>
                <w:rFonts w:eastAsia="MS Mincho" w:cs="Times New Roman"/>
                <w:noProof/>
                <w:szCs w:val="32"/>
              </w:rPr>
              <w:t xml:space="preserve">the </w:t>
            </w:r>
            <w:r w:rsidRPr="00873A6C">
              <w:rPr>
                <w:rFonts w:eastAsia="MS Mincho" w:cs="Times New Roman"/>
                <w:noProof/>
                <w:szCs w:val="32"/>
              </w:rPr>
              <w:t>order</w:t>
            </w:r>
            <w:r>
              <w:rPr>
                <w:rFonts w:eastAsia="MS Mincho" w:cs="Times New Roman"/>
                <w:noProof/>
                <w:szCs w:val="32"/>
              </w:rPr>
              <w:t>ing level.</w:t>
            </w:r>
          </w:p>
          <w:p w:rsidR="0063382C" w:rsidRPr="00873A6C" w:rsidRDefault="00873A6C" w:rsidP="00440808">
            <w:pPr>
              <w:spacing w:before="120"/>
              <w:jc w:val="both"/>
              <w:rPr>
                <w:rFonts w:eastAsia="MS Mincho" w:cs="Times New Roman"/>
                <w:noProof/>
                <w:szCs w:val="32"/>
              </w:rPr>
            </w:pPr>
            <w:r w:rsidRPr="00873A6C">
              <w:rPr>
                <w:rFonts w:eastAsia="MS Mincho" w:cs="Times New Roman"/>
                <w:noProof/>
                <w:szCs w:val="32"/>
              </w:rPr>
              <w:t>Objective</w:t>
            </w:r>
            <w:r w:rsidR="0063382C" w:rsidRPr="00873A6C">
              <w:rPr>
                <w:rFonts w:eastAsia="MS Mincho" w:cs="Times New Roman"/>
                <w:noProof/>
                <w:szCs w:val="32"/>
              </w:rPr>
              <w:t xml:space="preserve">: </w:t>
            </w:r>
            <w:r w:rsidRPr="00873A6C">
              <w:rPr>
                <w:rFonts w:eastAsia="MS Mincho" w:cs="Times New Roman"/>
                <w:noProof/>
                <w:szCs w:val="32"/>
              </w:rPr>
              <w:t xml:space="preserve">allow for a second level of earmarking of flows, thus facilitating </w:t>
            </w:r>
            <w:r>
              <w:rPr>
                <w:rFonts w:eastAsia="MS Mincho" w:cs="Times New Roman"/>
                <w:noProof/>
                <w:szCs w:val="32"/>
              </w:rPr>
              <w:t>the settlement of orders for which the information would not have been processed at the ordering level, possibly entailing mistmatches.</w:t>
            </w:r>
          </w:p>
        </w:tc>
      </w:tr>
      <w:tr w:rsidR="0063382C" w:rsidRPr="00873A6C" w:rsidTr="006542ED">
        <w:tc>
          <w:tcPr>
            <w:tcW w:w="2093" w:type="dxa"/>
            <w:tcBorders>
              <w:left w:val="nil"/>
              <w:right w:val="nil"/>
            </w:tcBorders>
            <w:shd w:val="clear" w:color="auto" w:fill="auto"/>
          </w:tcPr>
          <w:p w:rsidR="0063382C" w:rsidRPr="00873A6C" w:rsidRDefault="0063382C" w:rsidP="000E651B">
            <w:pPr>
              <w:rPr>
                <w:rFonts w:eastAsia="MS Mincho" w:cs="Times New Roman"/>
                <w:b/>
                <w:noProof/>
                <w:szCs w:val="32"/>
              </w:rPr>
            </w:pPr>
          </w:p>
        </w:tc>
        <w:tc>
          <w:tcPr>
            <w:tcW w:w="7513" w:type="dxa"/>
            <w:tcBorders>
              <w:left w:val="nil"/>
              <w:right w:val="nil"/>
            </w:tcBorders>
            <w:shd w:val="clear" w:color="auto" w:fill="auto"/>
          </w:tcPr>
          <w:p w:rsidR="0063382C" w:rsidRPr="00873A6C" w:rsidRDefault="0063382C" w:rsidP="006542ED">
            <w:pPr>
              <w:rPr>
                <w:rFonts w:eastAsia="MS Mincho" w:cs="Times New Roman"/>
                <w:b/>
                <w:noProof/>
                <w:szCs w:val="32"/>
              </w:rPr>
            </w:pPr>
          </w:p>
        </w:tc>
      </w:tr>
      <w:tr w:rsidR="0063382C" w:rsidRPr="0081511D" w:rsidTr="0081511D">
        <w:tc>
          <w:tcPr>
            <w:tcW w:w="2093" w:type="dxa"/>
            <w:shd w:val="clear" w:color="auto" w:fill="BFBFBF" w:themeFill="background1" w:themeFillShade="BF"/>
          </w:tcPr>
          <w:p w:rsidR="0063382C" w:rsidRPr="003348A6" w:rsidRDefault="0063382C"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63382C" w:rsidRPr="00D103DA" w:rsidRDefault="0063382C"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63382C" w:rsidRDefault="0063382C" w:rsidP="006542ED">
            <w:pPr>
              <w:rPr>
                <w:rFonts w:eastAsia="MS Mincho" w:cs="Times New Roman"/>
                <w:noProof/>
                <w:szCs w:val="32"/>
                <w:lang w:val="fr-FR"/>
              </w:rPr>
            </w:pPr>
          </w:p>
          <w:p w:rsidR="0063382C" w:rsidRDefault="0063382C" w:rsidP="006542ED">
            <w:pPr>
              <w:rPr>
                <w:rFonts w:eastAsia="MS Mincho" w:cs="Times New Roman"/>
                <w:noProof/>
                <w:szCs w:val="32"/>
                <w:lang w:val="fr-FR"/>
              </w:rPr>
            </w:pPr>
          </w:p>
          <w:p w:rsidR="0063382C" w:rsidRDefault="0063382C" w:rsidP="006542ED">
            <w:pPr>
              <w:rPr>
                <w:rFonts w:eastAsia="MS Mincho" w:cs="Times New Roman"/>
                <w:noProof/>
                <w:szCs w:val="32"/>
                <w:lang w:val="fr-FR"/>
              </w:rPr>
            </w:pPr>
          </w:p>
        </w:tc>
      </w:tr>
      <w:tr w:rsidR="0063382C" w:rsidRPr="0081511D" w:rsidTr="006542ED">
        <w:tc>
          <w:tcPr>
            <w:tcW w:w="2093" w:type="dxa"/>
            <w:tcBorders>
              <w:left w:val="nil"/>
              <w:right w:val="nil"/>
            </w:tcBorders>
            <w:shd w:val="clear" w:color="auto" w:fill="auto"/>
          </w:tcPr>
          <w:p w:rsidR="0063382C" w:rsidRDefault="0063382C" w:rsidP="000E651B">
            <w:pPr>
              <w:rPr>
                <w:rFonts w:eastAsia="MS Mincho" w:cs="Times New Roman"/>
                <w:b/>
                <w:noProof/>
                <w:szCs w:val="32"/>
                <w:lang w:val="fr-FR"/>
              </w:rPr>
            </w:pPr>
          </w:p>
        </w:tc>
        <w:tc>
          <w:tcPr>
            <w:tcW w:w="7513" w:type="dxa"/>
            <w:tcBorders>
              <w:left w:val="nil"/>
              <w:right w:val="nil"/>
            </w:tcBorders>
            <w:shd w:val="clear" w:color="auto" w:fill="auto"/>
          </w:tcPr>
          <w:p w:rsidR="0063382C" w:rsidRPr="0081511D" w:rsidRDefault="0063382C" w:rsidP="006542ED">
            <w:pPr>
              <w:rPr>
                <w:rFonts w:eastAsia="MS Mincho" w:cs="Times New Roman"/>
                <w:b/>
                <w:noProof/>
                <w:szCs w:val="32"/>
                <w:lang w:val="fr-FR"/>
              </w:rPr>
            </w:pPr>
          </w:p>
        </w:tc>
      </w:tr>
      <w:tr w:rsidR="0063382C" w:rsidRPr="0081511D" w:rsidTr="0081511D">
        <w:tc>
          <w:tcPr>
            <w:tcW w:w="2093" w:type="dxa"/>
            <w:shd w:val="clear" w:color="auto" w:fill="BFBFBF" w:themeFill="background1" w:themeFillShade="BF"/>
          </w:tcPr>
          <w:p w:rsidR="0063382C" w:rsidRDefault="0063382C" w:rsidP="000E651B">
            <w:pPr>
              <w:rPr>
                <w:rFonts w:eastAsia="MS Mincho" w:cs="Times New Roman"/>
                <w:b/>
                <w:noProof/>
                <w:szCs w:val="32"/>
                <w:lang w:val="fr-FR"/>
              </w:rPr>
            </w:pPr>
            <w:r>
              <w:rPr>
                <w:rFonts w:eastAsia="MS Mincho" w:cs="Times New Roman"/>
                <w:b/>
                <w:noProof/>
                <w:szCs w:val="32"/>
                <w:lang w:val="fr-FR"/>
              </w:rPr>
              <w:t>Workflows</w:t>
            </w:r>
          </w:p>
          <w:p w:rsidR="0063382C" w:rsidRDefault="0063382C"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63382C" w:rsidRPr="00FD2FD6" w:rsidRDefault="0063382C" w:rsidP="0081511D">
            <w:pPr>
              <w:rPr>
                <w:rFonts w:eastAsia="MS Mincho" w:cs="Times New Roman"/>
                <w:noProof/>
                <w:szCs w:val="32"/>
                <w:lang w:val="fr-FR"/>
              </w:rPr>
            </w:pPr>
          </w:p>
        </w:tc>
      </w:tr>
      <w:tr w:rsidR="0063382C" w:rsidRPr="0081511D" w:rsidTr="006542ED">
        <w:tc>
          <w:tcPr>
            <w:tcW w:w="2093" w:type="dxa"/>
            <w:tcBorders>
              <w:left w:val="nil"/>
              <w:right w:val="nil"/>
            </w:tcBorders>
            <w:shd w:val="clear" w:color="auto" w:fill="auto"/>
          </w:tcPr>
          <w:p w:rsidR="0063382C" w:rsidRDefault="0063382C" w:rsidP="000E651B">
            <w:pPr>
              <w:rPr>
                <w:rFonts w:eastAsia="MS Mincho" w:cs="Times New Roman"/>
                <w:b/>
                <w:noProof/>
                <w:szCs w:val="32"/>
                <w:lang w:val="fr-FR"/>
              </w:rPr>
            </w:pPr>
          </w:p>
        </w:tc>
        <w:tc>
          <w:tcPr>
            <w:tcW w:w="7513" w:type="dxa"/>
            <w:tcBorders>
              <w:left w:val="nil"/>
              <w:right w:val="nil"/>
            </w:tcBorders>
            <w:shd w:val="clear" w:color="auto" w:fill="auto"/>
          </w:tcPr>
          <w:p w:rsidR="0063382C" w:rsidRPr="0081511D" w:rsidRDefault="0063382C" w:rsidP="006542ED">
            <w:pPr>
              <w:rPr>
                <w:rFonts w:eastAsia="MS Mincho" w:cs="Times New Roman"/>
                <w:b/>
                <w:noProof/>
                <w:szCs w:val="32"/>
                <w:lang w:val="fr-FR"/>
              </w:rPr>
            </w:pPr>
          </w:p>
        </w:tc>
      </w:tr>
      <w:tr w:rsidR="0063382C" w:rsidRPr="0063382C" w:rsidTr="0091257E">
        <w:tc>
          <w:tcPr>
            <w:tcW w:w="2093" w:type="dxa"/>
            <w:tcBorders>
              <w:bottom w:val="single" w:sz="4" w:space="0" w:color="auto"/>
            </w:tcBorders>
            <w:shd w:val="clear" w:color="auto" w:fill="BFBFBF" w:themeFill="background1" w:themeFillShade="BF"/>
          </w:tcPr>
          <w:p w:rsidR="0063382C" w:rsidRPr="003348A6" w:rsidRDefault="0063382C" w:rsidP="000E651B">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63382C" w:rsidRPr="0063382C" w:rsidRDefault="0063382C" w:rsidP="0063382C">
            <w:pPr>
              <w:jc w:val="both"/>
              <w:rPr>
                <w:rFonts w:eastAsia="MS Mincho" w:cs="Times New Roman"/>
                <w:noProof/>
                <w:szCs w:val="32"/>
              </w:rPr>
            </w:pPr>
            <w:r w:rsidRPr="0063382C">
              <w:rPr>
                <w:rFonts w:eastAsia="MS Mincho" w:cs="Times New Roman"/>
                <w:noProof/>
                <w:szCs w:val="32"/>
              </w:rPr>
              <w:t xml:space="preserve">MS-MATCH-CRITE-02 : Use of the optional matching field: Client of the CSD participant </w:t>
            </w:r>
            <w:r>
              <w:rPr>
                <w:rFonts w:eastAsia="MS Mincho" w:cs="Times New Roman"/>
                <w:i/>
                <w:noProof/>
                <w:szCs w:val="32"/>
              </w:rPr>
              <w:t>(Validated</w:t>
            </w:r>
            <w:r w:rsidRPr="0063382C">
              <w:rPr>
                <w:rFonts w:eastAsia="MS Mincho" w:cs="Times New Roman"/>
                <w:i/>
                <w:noProof/>
                <w:szCs w:val="32"/>
              </w:rPr>
              <w:t xml:space="preserve"> </w:t>
            </w:r>
            <w:r>
              <w:rPr>
                <w:rFonts w:eastAsia="MS Mincho" w:cs="Times New Roman"/>
                <w:i/>
                <w:noProof/>
                <w:szCs w:val="32"/>
              </w:rPr>
              <w:t>but not published</w:t>
            </w:r>
            <w:r w:rsidRPr="0063382C">
              <w:rPr>
                <w:rFonts w:eastAsia="MS Mincho" w:cs="Times New Roman"/>
                <w:i/>
                <w:noProof/>
                <w:szCs w:val="32"/>
              </w:rPr>
              <w:t>)</w:t>
            </w:r>
          </w:p>
        </w:tc>
      </w:tr>
    </w:tbl>
    <w:p w:rsidR="001E0D83" w:rsidRPr="0063382C" w:rsidRDefault="001E0D83" w:rsidP="00D103DA">
      <w:pPr>
        <w:spacing w:after="0" w:line="240" w:lineRule="auto"/>
        <w:rPr>
          <w:rFonts w:eastAsia="MS Mincho" w:cs="Times New Roman"/>
          <w:noProof/>
          <w:szCs w:val="32"/>
        </w:rPr>
      </w:pPr>
    </w:p>
    <w:p w:rsidR="0081511D" w:rsidRPr="0063382C" w:rsidRDefault="0081511D" w:rsidP="00D103DA">
      <w:pPr>
        <w:spacing w:after="0" w:line="240" w:lineRule="auto"/>
        <w:rPr>
          <w:rFonts w:eastAsia="MS Mincho" w:cs="Times New Roman"/>
          <w:noProof/>
          <w:szCs w:val="32"/>
        </w:rPr>
      </w:pPr>
    </w:p>
    <w:p w:rsidR="0063382C" w:rsidRPr="004F6025" w:rsidRDefault="0063382C" w:rsidP="0063382C">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Grilledutableau"/>
        <w:tblW w:w="9606" w:type="dxa"/>
        <w:tblLook w:val="04A0" w:firstRow="1" w:lastRow="0" w:firstColumn="1" w:lastColumn="0" w:noHBand="0" w:noVBand="1"/>
      </w:tblPr>
      <w:tblGrid>
        <w:gridCol w:w="2093"/>
        <w:gridCol w:w="7483"/>
        <w:gridCol w:w="30"/>
      </w:tblGrid>
      <w:tr w:rsidR="0063382C" w:rsidRPr="00104FA6" w:rsidTr="0081511D">
        <w:trPr>
          <w:gridAfter w:val="1"/>
          <w:wAfter w:w="30" w:type="dxa"/>
        </w:trPr>
        <w:tc>
          <w:tcPr>
            <w:tcW w:w="2093" w:type="dxa"/>
            <w:shd w:val="clear" w:color="auto" w:fill="BFBFBF" w:themeFill="background1" w:themeFillShade="BF"/>
          </w:tcPr>
          <w:p w:rsidR="0063382C" w:rsidRPr="00D103DA" w:rsidRDefault="0063382C" w:rsidP="000E651B">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63382C" w:rsidRPr="00104FA6" w:rsidRDefault="00610C32" w:rsidP="00104FA6">
            <w:pPr>
              <w:spacing w:before="120"/>
              <w:jc w:val="both"/>
              <w:rPr>
                <w:rFonts w:eastAsia="MS Mincho" w:cs="Times New Roman"/>
                <w:noProof/>
                <w:szCs w:val="32"/>
              </w:rPr>
            </w:pPr>
            <w:r w:rsidRPr="00610C32">
              <w:rPr>
                <w:rFonts w:eastAsia="MS Mincho" w:cs="Times New Roman"/>
                <w:noProof/>
                <w:szCs w:val="32"/>
              </w:rPr>
              <w:t>The recommendation is to process the identification of the distributor (BI</w:t>
            </w:r>
            <w:r>
              <w:rPr>
                <w:rFonts w:eastAsia="MS Mincho" w:cs="Times New Roman"/>
                <w:noProof/>
                <w:szCs w:val="32"/>
              </w:rPr>
              <w:t>C</w:t>
            </w:r>
            <w:del w:id="7" w:author="de Sousa, Maria" w:date="2016-05-16T18:45:00Z">
              <w:r w:rsidRPr="00610C32" w:rsidDel="0082474D">
                <w:rPr>
                  <w:rFonts w:eastAsia="MS Mincho" w:cs="Times New Roman"/>
                  <w:noProof/>
                  <w:szCs w:val="32"/>
                </w:rPr>
                <w:delText>-</w:delText>
              </w:r>
            </w:del>
            <w:r w:rsidRPr="00610C32">
              <w:rPr>
                <w:rFonts w:eastAsia="MS Mincho" w:cs="Times New Roman"/>
                <w:noProof/>
                <w:szCs w:val="32"/>
              </w:rPr>
              <w:t>11)</w:t>
            </w:r>
            <w:r>
              <w:rPr>
                <w:rFonts w:eastAsia="MS Mincho" w:cs="Times New Roman"/>
                <w:noProof/>
                <w:szCs w:val="32"/>
              </w:rPr>
              <w:t>in the field ‘</w:t>
            </w:r>
            <w:r w:rsidR="00104FA6">
              <w:rPr>
                <w:rFonts w:eastAsia="MS Mincho" w:cs="Times New Roman"/>
                <w:noProof/>
                <w:szCs w:val="32"/>
              </w:rPr>
              <w:t>client of the participant of the CSD’ (see also the market practice ‘</w:t>
            </w:r>
            <w:r w:rsidR="00104FA6" w:rsidRPr="00104FA6">
              <w:rPr>
                <w:rFonts w:eastAsia="MS Mincho" w:cs="Times New Roman"/>
                <w:noProof/>
                <w:szCs w:val="32"/>
              </w:rPr>
              <w:t>Use of the optional matching field: Client of the CSD participant</w:t>
            </w:r>
            <w:r w:rsidR="00104FA6">
              <w:rPr>
                <w:rFonts w:eastAsia="MS Mincho" w:cs="Times New Roman"/>
                <w:noProof/>
                <w:szCs w:val="32"/>
              </w:rPr>
              <w:t xml:space="preserve">’ or </w:t>
            </w:r>
            <w:r w:rsidR="00104FA6" w:rsidRPr="00104FA6">
              <w:rPr>
                <w:rFonts w:eastAsia="MS Mincho" w:cs="Times New Roman"/>
                <w:noProof/>
                <w:szCs w:val="32"/>
              </w:rPr>
              <w:t>MS-MATCH-CRITE-02</w:t>
            </w:r>
            <w:r w:rsidR="00837BEC">
              <w:rPr>
                <w:rFonts w:eastAsia="MS Mincho" w:cs="Times New Roman"/>
                <w:noProof/>
                <w:szCs w:val="32"/>
              </w:rPr>
              <w:t>)</w:t>
            </w:r>
            <w:r w:rsidR="0063382C" w:rsidRPr="00104FA6">
              <w:rPr>
                <w:rFonts w:eastAsia="MS Mincho" w:cs="Times New Roman"/>
                <w:noProof/>
                <w:szCs w:val="32"/>
              </w:rPr>
              <w:t>.</w:t>
            </w:r>
          </w:p>
          <w:p w:rsidR="00104FA6" w:rsidRPr="00104FA6" w:rsidRDefault="00104FA6" w:rsidP="00440808">
            <w:pPr>
              <w:spacing w:before="120"/>
              <w:jc w:val="both"/>
              <w:rPr>
                <w:rFonts w:eastAsia="MS Mincho" w:cs="Times New Roman"/>
                <w:noProof/>
                <w:szCs w:val="32"/>
              </w:rPr>
            </w:pPr>
            <w:r w:rsidRPr="00104FA6">
              <w:rPr>
                <w:rFonts w:eastAsia="MS Mincho" w:cs="Times New Roman"/>
                <w:noProof/>
                <w:szCs w:val="32"/>
              </w:rPr>
              <w:t>It is important to extend this practice to cross-</w:t>
            </w:r>
            <w:r>
              <w:rPr>
                <w:rFonts w:eastAsia="MS Mincho" w:cs="Times New Roman"/>
                <w:noProof/>
                <w:szCs w:val="32"/>
              </w:rPr>
              <w:t>CSD operations, either as an intermediary in the transmission of orders on foreign funds, or as a Correspondent Transfer Agent or Local Transfer Agent for orders coming from foreign investors.</w:t>
            </w:r>
          </w:p>
          <w:p w:rsidR="0063382C" w:rsidRPr="00104FA6" w:rsidRDefault="00104FA6" w:rsidP="00440808">
            <w:pPr>
              <w:spacing w:before="120"/>
              <w:jc w:val="both"/>
              <w:rPr>
                <w:rFonts w:eastAsia="MS Mincho" w:cs="Times New Roman"/>
                <w:noProof/>
                <w:szCs w:val="32"/>
              </w:rPr>
            </w:pPr>
            <w:r w:rsidRPr="00104FA6">
              <w:rPr>
                <w:rFonts w:eastAsia="MS Mincho" w:cs="Times New Roman"/>
                <w:noProof/>
                <w:szCs w:val="32"/>
              </w:rPr>
              <w:t>The implementation of this practice at the international leve</w:t>
            </w:r>
            <w:r>
              <w:rPr>
                <w:rFonts w:eastAsia="MS Mincho" w:cs="Times New Roman"/>
                <w:noProof/>
                <w:szCs w:val="32"/>
              </w:rPr>
              <w:t>l should allow for a single market prac</w:t>
            </w:r>
            <w:r w:rsidRPr="00104FA6">
              <w:rPr>
                <w:rFonts w:eastAsia="MS Mincho" w:cs="Times New Roman"/>
                <w:noProof/>
                <w:szCs w:val="32"/>
              </w:rPr>
              <w:t xml:space="preserve">tice </w:t>
            </w:r>
            <w:r>
              <w:rPr>
                <w:rFonts w:eastAsia="MS Mincho" w:cs="Times New Roman"/>
                <w:noProof/>
                <w:szCs w:val="32"/>
              </w:rPr>
              <w:t>on the earmarking of orders in a CSD model.</w:t>
            </w:r>
          </w:p>
        </w:tc>
      </w:tr>
      <w:tr w:rsidR="0063382C" w:rsidRPr="00104FA6" w:rsidTr="0081511D">
        <w:trPr>
          <w:gridAfter w:val="1"/>
          <w:wAfter w:w="30" w:type="dxa"/>
        </w:trPr>
        <w:tc>
          <w:tcPr>
            <w:tcW w:w="2093" w:type="dxa"/>
            <w:shd w:val="clear" w:color="auto" w:fill="BFBFBF" w:themeFill="background1" w:themeFillShade="BF"/>
          </w:tcPr>
          <w:p w:rsidR="0063382C" w:rsidRDefault="0063382C" w:rsidP="000E651B">
            <w:pPr>
              <w:rPr>
                <w:rFonts w:eastAsia="MS Mincho" w:cs="Times New Roman"/>
                <w:b/>
                <w:noProof/>
                <w:szCs w:val="32"/>
                <w:lang w:val="fr-FR"/>
              </w:rPr>
            </w:pPr>
            <w:r>
              <w:rPr>
                <w:rFonts w:eastAsia="MS Mincho" w:cs="Times New Roman"/>
                <w:b/>
                <w:noProof/>
                <w:szCs w:val="32"/>
                <w:lang w:val="fr-FR"/>
              </w:rPr>
              <w:t>Reasons for the choice</w:t>
            </w:r>
          </w:p>
        </w:tc>
        <w:tc>
          <w:tcPr>
            <w:tcW w:w="7483" w:type="dxa"/>
          </w:tcPr>
          <w:p w:rsidR="0063382C" w:rsidRPr="00104FA6" w:rsidRDefault="00837BEC" w:rsidP="00440808">
            <w:pPr>
              <w:spacing w:before="120"/>
              <w:jc w:val="both"/>
              <w:rPr>
                <w:rFonts w:eastAsia="MS Mincho" w:cs="Times New Roman"/>
                <w:noProof/>
                <w:szCs w:val="32"/>
              </w:rPr>
            </w:pPr>
            <w:r>
              <w:rPr>
                <w:rFonts w:eastAsia="MS Mincho" w:cs="Times New Roman"/>
                <w:noProof/>
                <w:szCs w:val="32"/>
              </w:rPr>
              <w:t>Optional mar</w:t>
            </w:r>
            <w:r w:rsidR="00104FA6" w:rsidRPr="00104FA6">
              <w:rPr>
                <w:rFonts w:eastAsia="MS Mincho" w:cs="Times New Roman"/>
                <w:noProof/>
                <w:szCs w:val="32"/>
              </w:rPr>
              <w:t xml:space="preserve">ket practice allowing for a </w:t>
            </w:r>
            <w:r w:rsidR="00104FA6" w:rsidRPr="00873A6C">
              <w:rPr>
                <w:rFonts w:eastAsia="MS Mincho" w:cs="Times New Roman"/>
                <w:noProof/>
                <w:szCs w:val="32"/>
              </w:rPr>
              <w:t xml:space="preserve">second level of earmarking of flows, thus facilitating </w:t>
            </w:r>
            <w:r w:rsidR="00104FA6">
              <w:rPr>
                <w:rFonts w:eastAsia="MS Mincho" w:cs="Times New Roman"/>
                <w:noProof/>
                <w:szCs w:val="32"/>
              </w:rPr>
              <w:t>the settlement of orders for which the information would not have been processed at the ordering level, possibly entailing mistmatches.</w:t>
            </w:r>
            <w:r w:rsidR="0063382C" w:rsidRPr="00104FA6">
              <w:rPr>
                <w:rFonts w:eastAsia="MS Mincho" w:cs="Times New Roman"/>
                <w:noProof/>
                <w:szCs w:val="32"/>
              </w:rPr>
              <w:t xml:space="preserve"> </w:t>
            </w:r>
          </w:p>
        </w:tc>
      </w:tr>
      <w:tr w:rsidR="0063382C" w:rsidRPr="00104FA6" w:rsidTr="0081511D">
        <w:tc>
          <w:tcPr>
            <w:tcW w:w="2093" w:type="dxa"/>
            <w:tcBorders>
              <w:left w:val="nil"/>
              <w:right w:val="nil"/>
            </w:tcBorders>
            <w:shd w:val="clear" w:color="auto" w:fill="auto"/>
          </w:tcPr>
          <w:p w:rsidR="0063382C" w:rsidRPr="00104FA6" w:rsidRDefault="0063382C" w:rsidP="000E651B">
            <w:pPr>
              <w:rPr>
                <w:rFonts w:eastAsia="MS Mincho" w:cs="Times New Roman"/>
                <w:b/>
                <w:noProof/>
                <w:szCs w:val="32"/>
              </w:rPr>
            </w:pPr>
          </w:p>
        </w:tc>
        <w:tc>
          <w:tcPr>
            <w:tcW w:w="7513" w:type="dxa"/>
            <w:gridSpan w:val="2"/>
            <w:tcBorders>
              <w:left w:val="nil"/>
              <w:right w:val="nil"/>
            </w:tcBorders>
            <w:shd w:val="clear" w:color="auto" w:fill="auto"/>
          </w:tcPr>
          <w:p w:rsidR="0063382C" w:rsidRPr="00104FA6" w:rsidRDefault="0063382C" w:rsidP="006542ED">
            <w:pPr>
              <w:rPr>
                <w:rFonts w:eastAsia="MS Mincho" w:cs="Times New Roman"/>
                <w:b/>
                <w:noProof/>
                <w:szCs w:val="32"/>
              </w:rPr>
            </w:pPr>
          </w:p>
        </w:tc>
      </w:tr>
      <w:tr w:rsidR="0063382C" w:rsidTr="0081511D">
        <w:trPr>
          <w:gridAfter w:val="1"/>
          <w:wAfter w:w="30" w:type="dxa"/>
        </w:trPr>
        <w:tc>
          <w:tcPr>
            <w:tcW w:w="2093" w:type="dxa"/>
            <w:tcBorders>
              <w:bottom w:val="single" w:sz="4" w:space="0" w:color="auto"/>
            </w:tcBorders>
            <w:shd w:val="clear" w:color="auto" w:fill="BFBFBF" w:themeFill="background1" w:themeFillShade="BF"/>
          </w:tcPr>
          <w:p w:rsidR="0063382C" w:rsidRPr="003348A6" w:rsidRDefault="0063382C"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63382C" w:rsidRPr="00F370B0" w:rsidRDefault="0063382C"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63382C" w:rsidRDefault="0063382C" w:rsidP="006542ED">
            <w:pPr>
              <w:rPr>
                <w:rFonts w:eastAsia="MS Mincho" w:cs="Times New Roman"/>
                <w:noProof/>
                <w:szCs w:val="32"/>
                <w:lang w:val="fr-FR"/>
              </w:rPr>
            </w:pPr>
          </w:p>
          <w:p w:rsidR="0063382C" w:rsidRDefault="0063382C" w:rsidP="006542ED">
            <w:pPr>
              <w:rPr>
                <w:rFonts w:eastAsia="MS Mincho" w:cs="Times New Roman"/>
                <w:noProof/>
                <w:szCs w:val="32"/>
                <w:lang w:val="fr-FR"/>
              </w:rPr>
            </w:pPr>
          </w:p>
          <w:p w:rsidR="0063382C" w:rsidRDefault="0063382C" w:rsidP="006542ED">
            <w:pPr>
              <w:rPr>
                <w:rFonts w:eastAsia="MS Mincho" w:cs="Times New Roman"/>
                <w:noProof/>
                <w:szCs w:val="32"/>
                <w:lang w:val="fr-FR"/>
              </w:rPr>
            </w:pPr>
          </w:p>
          <w:p w:rsidR="0063382C" w:rsidRDefault="0063382C"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63382C" w:rsidTr="0081511D">
        <w:trPr>
          <w:gridAfter w:val="1"/>
          <w:wAfter w:w="30" w:type="dxa"/>
        </w:trPr>
        <w:tc>
          <w:tcPr>
            <w:tcW w:w="2093" w:type="dxa"/>
            <w:shd w:val="clear" w:color="auto" w:fill="BFBFBF" w:themeFill="background1" w:themeFillShade="BF"/>
          </w:tcPr>
          <w:p w:rsidR="0063382C" w:rsidRPr="00F370B0" w:rsidRDefault="0063382C" w:rsidP="000E651B">
            <w:pPr>
              <w:rPr>
                <w:rFonts w:eastAsia="MS Mincho" w:cs="Times New Roman"/>
                <w:b/>
                <w:noProof/>
                <w:szCs w:val="32"/>
              </w:rPr>
            </w:pPr>
            <w:r w:rsidRPr="00F370B0">
              <w:rPr>
                <w:rFonts w:eastAsia="MS Mincho" w:cs="Times New Roman"/>
                <w:b/>
                <w:noProof/>
                <w:szCs w:val="32"/>
              </w:rPr>
              <w:t>Workflows</w:t>
            </w:r>
          </w:p>
          <w:p w:rsidR="0063382C" w:rsidRPr="00F370B0" w:rsidRDefault="0063382C"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63382C" w:rsidRDefault="0063382C" w:rsidP="006542ED">
            <w:pPr>
              <w:rPr>
                <w:rFonts w:eastAsia="MS Mincho" w:cs="Times New Roman"/>
                <w:noProof/>
                <w:szCs w:val="32"/>
                <w:lang w:val="fr-FR"/>
              </w:rPr>
            </w:pPr>
          </w:p>
          <w:p w:rsidR="0063382C" w:rsidRDefault="0063382C"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85743B" w:rsidRDefault="0085743B">
      <w:pPr>
        <w:rPr>
          <w:rFonts w:eastAsia="MS Mincho" w:cs="Times New Roman"/>
          <w:b/>
          <w:caps/>
          <w:noProof/>
          <w:sz w:val="32"/>
          <w:szCs w:val="32"/>
          <w:lang w:val="fr-FR"/>
        </w:rPr>
      </w:pPr>
    </w:p>
    <w:p w:rsidR="00140482" w:rsidRPr="004F6025" w:rsidRDefault="0063382C" w:rsidP="00140482">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IMPLEMENTATION</w:t>
      </w:r>
    </w:p>
    <w:p w:rsidR="00140482" w:rsidRDefault="00140482" w:rsidP="00140482">
      <w:pPr>
        <w:spacing w:after="0" w:line="240" w:lineRule="auto"/>
        <w:rPr>
          <w:rFonts w:eastAsia="MS Mincho" w:cs="Times New Roman"/>
          <w:noProof/>
          <w:szCs w:val="32"/>
          <w:lang w:val="fr-FR"/>
        </w:rPr>
      </w:pPr>
    </w:p>
    <w:tbl>
      <w:tblPr>
        <w:tblStyle w:val="Grilledutableau"/>
        <w:tblW w:w="9616" w:type="dxa"/>
        <w:tblLook w:val="04A0" w:firstRow="1" w:lastRow="0" w:firstColumn="1" w:lastColumn="0" w:noHBand="0" w:noVBand="1"/>
      </w:tblPr>
      <w:tblGrid>
        <w:gridCol w:w="2302"/>
        <w:gridCol w:w="2166"/>
        <w:gridCol w:w="272"/>
        <w:gridCol w:w="1599"/>
        <w:gridCol w:w="839"/>
        <w:gridCol w:w="842"/>
        <w:gridCol w:w="1556"/>
        <w:gridCol w:w="40"/>
      </w:tblGrid>
      <w:tr w:rsidR="0063382C" w:rsidRPr="0063382C" w:rsidTr="000E651B">
        <w:trPr>
          <w:trHeight w:val="338"/>
        </w:trPr>
        <w:tc>
          <w:tcPr>
            <w:tcW w:w="2302" w:type="dxa"/>
            <w:vMerge w:val="restart"/>
            <w:shd w:val="clear" w:color="auto" w:fill="BFBFBF" w:themeFill="background1" w:themeFillShade="BF"/>
          </w:tcPr>
          <w:p w:rsidR="0063382C" w:rsidRPr="00D103DA" w:rsidRDefault="0063382C"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gridSpan w:val="2"/>
          </w:tcPr>
          <w:p w:rsidR="0063382C" w:rsidRPr="003348A6" w:rsidRDefault="0063382C" w:rsidP="000E651B">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gridSpan w:val="2"/>
          </w:tcPr>
          <w:p w:rsidR="0063382C" w:rsidRPr="003348A6" w:rsidRDefault="0063382C" w:rsidP="000E651B">
            <w:pPr>
              <w:jc w:val="center"/>
              <w:rPr>
                <w:rFonts w:eastAsia="MS Mincho" w:cs="Times New Roman"/>
                <w:b/>
                <w:noProof/>
                <w:szCs w:val="32"/>
              </w:rPr>
            </w:pPr>
            <w:r w:rsidRPr="003348A6">
              <w:rPr>
                <w:rFonts w:eastAsia="MS Mincho" w:cs="Times New Roman"/>
                <w:b/>
                <w:noProof/>
                <w:szCs w:val="32"/>
              </w:rPr>
              <w:t>Upon go live on T2S</w:t>
            </w:r>
          </w:p>
        </w:tc>
        <w:tc>
          <w:tcPr>
            <w:tcW w:w="2438" w:type="dxa"/>
            <w:gridSpan w:val="3"/>
          </w:tcPr>
          <w:p w:rsidR="0063382C" w:rsidRPr="003348A6" w:rsidRDefault="0063382C" w:rsidP="000E651B">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63382C" w:rsidTr="000E651B">
        <w:trPr>
          <w:trHeight w:val="337"/>
        </w:trPr>
        <w:tc>
          <w:tcPr>
            <w:tcW w:w="2302" w:type="dxa"/>
            <w:vMerge/>
            <w:tcBorders>
              <w:bottom w:val="single" w:sz="4" w:space="0" w:color="auto"/>
            </w:tcBorders>
            <w:shd w:val="clear" w:color="auto" w:fill="BFBFBF" w:themeFill="background1" w:themeFillShade="BF"/>
          </w:tcPr>
          <w:p w:rsidR="0063382C" w:rsidRPr="0063382C" w:rsidRDefault="0063382C" w:rsidP="000E651B">
            <w:pPr>
              <w:rPr>
                <w:rFonts w:eastAsia="MS Mincho" w:cs="Times New Roman"/>
                <w:b/>
                <w:noProof/>
                <w:szCs w:val="32"/>
              </w:rPr>
            </w:pPr>
          </w:p>
        </w:tc>
        <w:tc>
          <w:tcPr>
            <w:tcW w:w="2438" w:type="dxa"/>
            <w:gridSpan w:val="2"/>
            <w:tcBorders>
              <w:bottom w:val="single" w:sz="4" w:space="0" w:color="auto"/>
            </w:tcBorders>
            <w:shd w:val="clear" w:color="auto" w:fill="auto"/>
          </w:tcPr>
          <w:p w:rsidR="0063382C" w:rsidRDefault="0063382C" w:rsidP="000E651B">
            <w:pPr>
              <w:jc w:val="center"/>
              <w:rPr>
                <w:rFonts w:ascii="Wingdings" w:hAnsi="Wingdings" w:cs="Wingdings"/>
                <w:sz w:val="26"/>
                <w:szCs w:val="26"/>
              </w:rPr>
            </w:pPr>
            <w:r>
              <w:rPr>
                <w:rFonts w:ascii="Wingdings" w:hAnsi="Wingdings" w:cs="Wingdings"/>
                <w:sz w:val="26"/>
                <w:szCs w:val="26"/>
              </w:rPr>
              <w:t></w:t>
            </w:r>
          </w:p>
          <w:p w:rsidR="0063382C" w:rsidRPr="00785264" w:rsidRDefault="0063382C" w:rsidP="000E651B">
            <w:pPr>
              <w:jc w:val="center"/>
              <w:rPr>
                <w:rFonts w:cs="Wingdings"/>
                <w:szCs w:val="26"/>
              </w:rPr>
            </w:pPr>
            <w:r w:rsidRPr="00785264">
              <w:rPr>
                <w:rFonts w:cs="Wingdings"/>
                <w:szCs w:val="26"/>
              </w:rPr>
              <w:t xml:space="preserve">Date: </w:t>
            </w:r>
            <w:r>
              <w:rPr>
                <w:rFonts w:cs="Wingdings"/>
                <w:szCs w:val="26"/>
              </w:rPr>
              <w:t>________</w:t>
            </w:r>
          </w:p>
          <w:p w:rsidR="0063382C" w:rsidRDefault="0063382C" w:rsidP="000E651B">
            <w:pPr>
              <w:rPr>
                <w:rFonts w:eastAsia="MS Mincho" w:cs="Times New Roman"/>
                <w:noProof/>
                <w:szCs w:val="32"/>
                <w:lang w:val="fr-FR"/>
              </w:rPr>
            </w:pPr>
          </w:p>
        </w:tc>
        <w:tc>
          <w:tcPr>
            <w:tcW w:w="2438" w:type="dxa"/>
            <w:gridSpan w:val="2"/>
            <w:tcBorders>
              <w:bottom w:val="single" w:sz="4" w:space="0" w:color="auto"/>
            </w:tcBorders>
          </w:tcPr>
          <w:p w:rsidR="0063382C" w:rsidRDefault="0063382C" w:rsidP="000E651B">
            <w:pPr>
              <w:jc w:val="center"/>
              <w:rPr>
                <w:rFonts w:ascii="Wingdings" w:hAnsi="Wingdings" w:cs="Wingdings"/>
                <w:sz w:val="26"/>
                <w:szCs w:val="26"/>
              </w:rPr>
            </w:pPr>
            <w:r>
              <w:rPr>
                <w:rFonts w:ascii="Wingdings" w:hAnsi="Wingdings" w:cs="Wingdings"/>
                <w:sz w:val="26"/>
                <w:szCs w:val="26"/>
              </w:rPr>
              <w:t></w:t>
            </w:r>
          </w:p>
          <w:p w:rsidR="0063382C" w:rsidRPr="00785264" w:rsidRDefault="0063382C"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63382C" w:rsidRDefault="0063382C" w:rsidP="000E651B">
            <w:pPr>
              <w:jc w:val="center"/>
              <w:rPr>
                <w:rFonts w:ascii="Wingdings" w:hAnsi="Wingdings" w:cs="Wingdings"/>
                <w:sz w:val="26"/>
                <w:szCs w:val="26"/>
              </w:rPr>
            </w:pPr>
            <w:r>
              <w:rPr>
                <w:rFonts w:ascii="Wingdings" w:hAnsi="Wingdings" w:cs="Wingdings"/>
                <w:sz w:val="26"/>
                <w:szCs w:val="26"/>
              </w:rPr>
              <w:t></w:t>
            </w:r>
          </w:p>
          <w:p w:rsidR="0063382C" w:rsidRPr="00785264" w:rsidRDefault="0063382C" w:rsidP="000E651B">
            <w:pPr>
              <w:jc w:val="center"/>
              <w:rPr>
                <w:rFonts w:cs="Wingdings"/>
                <w:szCs w:val="26"/>
              </w:rPr>
            </w:pPr>
            <w:r w:rsidRPr="00785264">
              <w:rPr>
                <w:rFonts w:cs="Wingdings"/>
                <w:szCs w:val="26"/>
              </w:rPr>
              <w:t xml:space="preserve">Date: </w:t>
            </w:r>
            <w:r>
              <w:rPr>
                <w:rFonts w:cs="Wingdings"/>
                <w:szCs w:val="26"/>
              </w:rPr>
              <w:t>________</w:t>
            </w:r>
          </w:p>
        </w:tc>
      </w:tr>
      <w:tr w:rsidR="0063382C" w:rsidTr="000E651B">
        <w:trPr>
          <w:gridAfter w:val="1"/>
          <w:wAfter w:w="40" w:type="dxa"/>
          <w:trHeight w:val="337"/>
        </w:trPr>
        <w:tc>
          <w:tcPr>
            <w:tcW w:w="2302" w:type="dxa"/>
            <w:tcBorders>
              <w:left w:val="nil"/>
              <w:right w:val="nil"/>
            </w:tcBorders>
            <w:shd w:val="clear" w:color="auto" w:fill="FFFFFF" w:themeFill="background1"/>
          </w:tcPr>
          <w:p w:rsidR="0063382C" w:rsidRDefault="0063382C"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63382C" w:rsidRDefault="0063382C"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63382C" w:rsidRDefault="0063382C"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63382C" w:rsidRDefault="0063382C"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63382C" w:rsidRDefault="0063382C" w:rsidP="000E651B">
            <w:pPr>
              <w:rPr>
                <w:rFonts w:eastAsia="MS Mincho" w:cs="Times New Roman"/>
                <w:noProof/>
                <w:szCs w:val="32"/>
                <w:lang w:val="fr-FR"/>
              </w:rPr>
            </w:pPr>
          </w:p>
        </w:tc>
      </w:tr>
      <w:tr w:rsidR="0063382C" w:rsidTr="000E651B">
        <w:trPr>
          <w:gridAfter w:val="1"/>
          <w:wAfter w:w="40" w:type="dxa"/>
        </w:trPr>
        <w:tc>
          <w:tcPr>
            <w:tcW w:w="2302" w:type="dxa"/>
            <w:tcBorders>
              <w:bottom w:val="single" w:sz="4" w:space="0" w:color="auto"/>
            </w:tcBorders>
            <w:shd w:val="clear" w:color="auto" w:fill="BFBFBF" w:themeFill="background1" w:themeFillShade="BF"/>
          </w:tcPr>
          <w:p w:rsidR="0063382C" w:rsidRPr="000C4CA6" w:rsidRDefault="0063382C" w:rsidP="000E651B">
            <w:pPr>
              <w:rPr>
                <w:rFonts w:eastAsia="MS Mincho" w:cs="Times New Roman"/>
                <w:b/>
                <w:noProof/>
                <w:szCs w:val="32"/>
              </w:rPr>
            </w:pPr>
            <w:r w:rsidRPr="000D33A6">
              <w:rPr>
                <w:rFonts w:eastAsia="MS Mincho" w:cs="Times New Roman"/>
                <w:b/>
                <w:noProof/>
                <w:szCs w:val="32"/>
              </w:rPr>
              <w:t>Requirement for a specific test set</w:t>
            </w:r>
          </w:p>
        </w:tc>
        <w:tc>
          <w:tcPr>
            <w:tcW w:w="4037" w:type="dxa"/>
            <w:gridSpan w:val="3"/>
            <w:tcBorders>
              <w:bottom w:val="single" w:sz="4" w:space="0" w:color="auto"/>
            </w:tcBorders>
          </w:tcPr>
          <w:p w:rsidR="0063382C" w:rsidRPr="00922B9C" w:rsidRDefault="0063382C" w:rsidP="00922B9C">
            <w:pPr>
              <w:autoSpaceDE w:val="0"/>
              <w:autoSpaceDN w:val="0"/>
              <w:adjustRightInd w:val="0"/>
              <w:jc w:val="center"/>
              <w:rPr>
                <w:rFonts w:ascii="MS Shell Dlg 2" w:hAnsi="MS Shell Dlg 2" w:cs="MS Shell Dlg 2"/>
                <w:sz w:val="16"/>
                <w:szCs w:val="16"/>
                <w:lang w:val="fr-FR"/>
              </w:rPr>
            </w:pPr>
            <w:proofErr w:type="spellStart"/>
            <w:r>
              <w:rPr>
                <w:lang w:val="fr-FR"/>
              </w:rPr>
              <w:t>Yes</w:t>
            </w:r>
            <w:proofErr w:type="spellEnd"/>
            <w:r>
              <w:rPr>
                <w:lang w:val="fr-FR"/>
              </w:rPr>
              <w:t xml:space="preserve">  </w:t>
            </w:r>
            <w:r>
              <w:rPr>
                <w:rFonts w:ascii="Wingdings" w:hAnsi="Wingdings" w:cs="Wingdings"/>
                <w:sz w:val="26"/>
                <w:szCs w:val="26"/>
              </w:rPr>
              <w:t></w:t>
            </w:r>
          </w:p>
          <w:p w:rsidR="0063382C" w:rsidRPr="00E35B86" w:rsidRDefault="0063382C"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63382C" w:rsidRDefault="0063382C" w:rsidP="0085743B">
            <w:pPr>
              <w:tabs>
                <w:tab w:val="left" w:pos="9356"/>
              </w:tabs>
              <w:ind w:right="-279"/>
              <w:jc w:val="center"/>
              <w:rPr>
                <w:lang w:val="fr-FR"/>
              </w:rPr>
            </w:pPr>
            <w:r>
              <w:rPr>
                <w:lang w:val="fr-FR"/>
              </w:rPr>
              <w:t xml:space="preserve">No  </w:t>
            </w:r>
            <w:r>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even" r:id="rId7"/>
      <w:headerReference w:type="default" r:id="rId8"/>
      <w:footerReference w:type="even" r:id="rId9"/>
      <w:footerReference w:type="default" r:id="rId10"/>
      <w:headerReference w:type="first" r:id="rId11"/>
      <w:footerReference w:type="first" r:id="rId12"/>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7F8" w:rsidRDefault="00AC07F8" w:rsidP="006D6846">
      <w:pPr>
        <w:spacing w:after="0" w:line="240" w:lineRule="auto"/>
      </w:pPr>
      <w:r>
        <w:separator/>
      </w:r>
    </w:p>
  </w:endnote>
  <w:endnote w:type="continuationSeparator" w:id="0">
    <w:p w:rsidR="00AC07F8" w:rsidRDefault="00AC07F8"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74D" w:rsidRDefault="0082474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8" w:name="_GoBack" w:displacedByCustomXml="next"/>
  <w:bookmarkEnd w:id="8" w:displacedByCustomXml="next"/>
  <w:sdt>
    <w:sdtPr>
      <w:id w:val="1207140531"/>
      <w:docPartObj>
        <w:docPartGallery w:val="Page Numbers (Bottom of Page)"/>
        <w:docPartUnique/>
      </w:docPartObj>
    </w:sdtPr>
    <w:sdtContent>
      <w:sdt>
        <w:sdtPr>
          <w:id w:val="-1769616900"/>
          <w:docPartObj>
            <w:docPartGallery w:val="Page Numbers (Top of Page)"/>
            <w:docPartUnique/>
          </w:docPartObj>
        </w:sdtPr>
        <w:sdtContent>
          <w:p w:rsidR="0082474D" w:rsidRDefault="0082474D">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rsidR="00EC776F" w:rsidRDefault="00EC776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74D" w:rsidRDefault="0082474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7F8" w:rsidRDefault="00AC07F8" w:rsidP="006D6846">
      <w:pPr>
        <w:spacing w:after="0" w:line="240" w:lineRule="auto"/>
      </w:pPr>
      <w:r>
        <w:separator/>
      </w:r>
    </w:p>
  </w:footnote>
  <w:footnote w:type="continuationSeparator" w:id="0">
    <w:p w:rsidR="00AC07F8" w:rsidRDefault="00AC07F8"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74D" w:rsidRDefault="0082474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0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53"/>
      <w:gridCol w:w="4045"/>
    </w:tblGrid>
    <w:tr w:rsidR="00EC776F" w:rsidTr="0082474D">
      <w:trPr>
        <w:trHeight w:val="814"/>
      </w:trPr>
      <w:tc>
        <w:tcPr>
          <w:tcW w:w="6153" w:type="dxa"/>
          <w:vAlign w:val="center"/>
        </w:tcPr>
        <w:p w:rsidR="0063382C" w:rsidRPr="005B1C9D" w:rsidRDefault="0063382C" w:rsidP="0063382C">
          <w:pPr>
            <w:pStyle w:val="En-tte"/>
            <w:jc w:val="center"/>
            <w:rPr>
              <w:b/>
            </w:rPr>
          </w:pPr>
          <w:r w:rsidRPr="005B1C9D">
            <w:rPr>
              <w:b/>
            </w:rPr>
            <w:t>T2S Market Practice Adaptation Workgroup</w:t>
          </w:r>
        </w:p>
        <w:p w:rsidR="00EC776F" w:rsidRPr="0063382C" w:rsidRDefault="0063382C" w:rsidP="0063382C">
          <w:pPr>
            <w:pStyle w:val="En-tte"/>
            <w:jc w:val="center"/>
            <w:rPr>
              <w:b/>
            </w:rPr>
          </w:pPr>
          <w:r w:rsidRPr="005B1C9D">
            <w:rPr>
              <w:b/>
            </w:rPr>
            <w:t xml:space="preserve">Market Practice </w:t>
          </w:r>
          <w:r>
            <w:rPr>
              <w:b/>
            </w:rPr>
            <w:t>Sheet</w:t>
          </w:r>
        </w:p>
      </w:tc>
      <w:tc>
        <w:tcPr>
          <w:tcW w:w="4045" w:type="dxa"/>
          <w:vAlign w:val="center"/>
        </w:tcPr>
        <w:p w:rsidR="00EC776F" w:rsidRDefault="00EC776F" w:rsidP="0082474D">
          <w:pPr>
            <w:pStyle w:val="En-tte"/>
            <w:rPr>
              <w:b/>
              <w:lang w:val="fr-FR"/>
            </w:rPr>
          </w:pPr>
          <w:r>
            <w:rPr>
              <w:noProof/>
              <w:lang w:val="fr-FR" w:eastAsia="fr-FR"/>
            </w:rPr>
            <w:drawing>
              <wp:inline distT="0" distB="0" distL="0" distR="0" wp14:anchorId="6FF79ACA" wp14:editId="08FA2E99">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82474D">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42.6pt" o:ole="">
                <v:imagedata r:id="rId2" o:title=""/>
              </v:shape>
              <o:OLEObject Type="Embed" ProgID="PBrush" ShapeID="_x0000_i1025" DrawAspect="Content" ObjectID="_1524929702" r:id="rId3"/>
            </w:object>
          </w:r>
        </w:p>
      </w:tc>
    </w:tr>
    <w:tr w:rsidR="00EC776F" w:rsidRPr="00C90388" w:rsidTr="0082474D">
      <w:trPr>
        <w:trHeight w:val="267"/>
      </w:trPr>
      <w:tc>
        <w:tcPr>
          <w:tcW w:w="6153" w:type="dxa"/>
          <w:vAlign w:val="center"/>
        </w:tcPr>
        <w:p w:rsidR="00EC776F" w:rsidRPr="0063382C" w:rsidRDefault="0063382C" w:rsidP="0082474D">
          <w:pPr>
            <w:pStyle w:val="En-tte"/>
            <w:jc w:val="center"/>
            <w:rPr>
              <w:i/>
            </w:rPr>
          </w:pPr>
          <w:r>
            <w:rPr>
              <w:i/>
            </w:rPr>
            <w:t>Practice</w:t>
          </w:r>
          <w:r w:rsidRPr="0033411F">
            <w:rPr>
              <w:i/>
            </w:rPr>
            <w:t xml:space="preserve"> reference</w:t>
          </w:r>
          <w:r w:rsidR="00EC776F" w:rsidRPr="0063382C">
            <w:rPr>
              <w:i/>
            </w:rPr>
            <w:t xml:space="preserve">: </w:t>
          </w:r>
          <w:r w:rsidR="00440808" w:rsidRPr="0063382C">
            <w:rPr>
              <w:i/>
            </w:rPr>
            <w:t>OP-SETTL-MARQUAGE-01</w:t>
          </w:r>
        </w:p>
      </w:tc>
      <w:tc>
        <w:tcPr>
          <w:tcW w:w="4045" w:type="dxa"/>
          <w:vAlign w:val="center"/>
        </w:tcPr>
        <w:p w:rsidR="00EC776F" w:rsidRPr="0063382C" w:rsidRDefault="00EC776F" w:rsidP="00EC776F">
          <w:pPr>
            <w:pStyle w:val="En-tte"/>
            <w:jc w:val="center"/>
            <w:rPr>
              <w:noProof/>
            </w:rPr>
          </w:pPr>
        </w:p>
      </w:tc>
    </w:tr>
  </w:tbl>
  <w:p w:rsidR="00EC776F" w:rsidRPr="0063382C" w:rsidRDefault="00EC776F">
    <w:pPr>
      <w:pStyle w:val="En-tte"/>
      <w:rPr>
        <w:b/>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74D" w:rsidRDefault="0082474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15:restartNumberingAfterBreak="0">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73A35"/>
    <w:multiLevelType w:val="hybridMultilevel"/>
    <w:tmpl w:val="D24415FE"/>
    <w:lvl w:ilvl="0" w:tplc="1A1AAABA">
      <w:start w:val="1"/>
      <w:numFmt w:val="bullet"/>
      <w:pStyle w:val="FDPuce"/>
      <w:lvlText w:val=""/>
      <w:lvlJc w:val="left"/>
      <w:pPr>
        <w:tabs>
          <w:tab w:val="num" w:pos="397"/>
        </w:tabs>
        <w:ind w:left="397" w:hanging="397"/>
      </w:pPr>
      <w:rPr>
        <w:rFonts w:ascii="Wingdings" w:hAnsi="Wingdings" w:hint="default"/>
        <w:lang w:val="en-US"/>
      </w:rPr>
    </w:lvl>
    <w:lvl w:ilvl="1" w:tplc="FB68673C">
      <w:start w:val="1"/>
      <w:numFmt w:val="bullet"/>
      <w:pStyle w:val="FDPuce2"/>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9"/>
  </w:num>
  <w:num w:numId="4">
    <w:abstractNumId w:val="8"/>
  </w:num>
  <w:num w:numId="5">
    <w:abstractNumId w:val="1"/>
  </w:num>
  <w:num w:numId="6">
    <w:abstractNumId w:val="0"/>
  </w:num>
  <w:num w:numId="7">
    <w:abstractNumId w:val="4"/>
  </w:num>
  <w:num w:numId="8">
    <w:abstractNumId w:val="3"/>
  </w:num>
  <w:num w:numId="9">
    <w:abstractNumId w:val="5"/>
  </w:num>
  <w:num w:numId="10">
    <w:abstractNumId w:val="7"/>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46"/>
    <w:rsid w:val="00020084"/>
    <w:rsid w:val="000706A3"/>
    <w:rsid w:val="0009701B"/>
    <w:rsid w:val="000A6C94"/>
    <w:rsid w:val="000C1C9B"/>
    <w:rsid w:val="000D6F4D"/>
    <w:rsid w:val="000F3C24"/>
    <w:rsid w:val="00104FA6"/>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343829"/>
    <w:rsid w:val="00343B9E"/>
    <w:rsid w:val="003631EA"/>
    <w:rsid w:val="00363E89"/>
    <w:rsid w:val="003929BA"/>
    <w:rsid w:val="003A4E76"/>
    <w:rsid w:val="003B3DA4"/>
    <w:rsid w:val="003D5E9F"/>
    <w:rsid w:val="003D7060"/>
    <w:rsid w:val="00440808"/>
    <w:rsid w:val="00464015"/>
    <w:rsid w:val="004818D8"/>
    <w:rsid w:val="00482296"/>
    <w:rsid w:val="00487A07"/>
    <w:rsid w:val="004F6025"/>
    <w:rsid w:val="00504EDC"/>
    <w:rsid w:val="005061BA"/>
    <w:rsid w:val="005067E0"/>
    <w:rsid w:val="0051485E"/>
    <w:rsid w:val="00567B1D"/>
    <w:rsid w:val="00575F36"/>
    <w:rsid w:val="005C2ACA"/>
    <w:rsid w:val="00610C32"/>
    <w:rsid w:val="00622E8A"/>
    <w:rsid w:val="00625541"/>
    <w:rsid w:val="0063382C"/>
    <w:rsid w:val="00652C13"/>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2474D"/>
    <w:rsid w:val="00830B7B"/>
    <w:rsid w:val="00837334"/>
    <w:rsid w:val="00837BEC"/>
    <w:rsid w:val="00841E84"/>
    <w:rsid w:val="0085743B"/>
    <w:rsid w:val="00873A6C"/>
    <w:rsid w:val="008800A4"/>
    <w:rsid w:val="00893912"/>
    <w:rsid w:val="008A30A6"/>
    <w:rsid w:val="008C734C"/>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07F8"/>
    <w:rsid w:val="00AC134F"/>
    <w:rsid w:val="00AC5EFC"/>
    <w:rsid w:val="00B26098"/>
    <w:rsid w:val="00B31057"/>
    <w:rsid w:val="00B3407B"/>
    <w:rsid w:val="00B44E11"/>
    <w:rsid w:val="00B540C8"/>
    <w:rsid w:val="00B62B1E"/>
    <w:rsid w:val="00B727D8"/>
    <w:rsid w:val="00B9491F"/>
    <w:rsid w:val="00BA66D3"/>
    <w:rsid w:val="00BA6B0A"/>
    <w:rsid w:val="00BC7577"/>
    <w:rsid w:val="00BE4C60"/>
    <w:rsid w:val="00C06869"/>
    <w:rsid w:val="00C070B0"/>
    <w:rsid w:val="00C1000A"/>
    <w:rsid w:val="00C221EA"/>
    <w:rsid w:val="00C33595"/>
    <w:rsid w:val="00C3423B"/>
    <w:rsid w:val="00C41782"/>
    <w:rsid w:val="00C43D15"/>
    <w:rsid w:val="00C57689"/>
    <w:rsid w:val="00C60EC8"/>
    <w:rsid w:val="00C65EB2"/>
    <w:rsid w:val="00C77C0A"/>
    <w:rsid w:val="00C90388"/>
    <w:rsid w:val="00CB0F41"/>
    <w:rsid w:val="00CC7462"/>
    <w:rsid w:val="00CD3755"/>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A5560"/>
    <w:rsid w:val="00EB44AB"/>
    <w:rsid w:val="00EC776F"/>
    <w:rsid w:val="00F00BF4"/>
    <w:rsid w:val="00F358FF"/>
    <w:rsid w:val="00F35CCA"/>
    <w:rsid w:val="00F504EF"/>
    <w:rsid w:val="00F7651E"/>
    <w:rsid w:val="00F84B2D"/>
    <w:rsid w:val="00F904C9"/>
    <w:rsid w:val="00F91381"/>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FD39C73-ADB4-4FC8-B8C8-1771B9FB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6846"/>
    <w:pPr>
      <w:tabs>
        <w:tab w:val="center" w:pos="4680"/>
        <w:tab w:val="right" w:pos="9360"/>
      </w:tabs>
      <w:spacing w:after="0" w:line="240" w:lineRule="auto"/>
    </w:pPr>
  </w:style>
  <w:style w:type="character" w:customStyle="1" w:styleId="En-tteCar">
    <w:name w:val="En-tête Car"/>
    <w:basedOn w:val="Policepardfaut"/>
    <w:link w:val="En-tte"/>
    <w:uiPriority w:val="99"/>
    <w:rsid w:val="006D6846"/>
  </w:style>
  <w:style w:type="paragraph" w:styleId="Pieddepage">
    <w:name w:val="footer"/>
    <w:basedOn w:val="Normal"/>
    <w:link w:val="PieddepageCar"/>
    <w:uiPriority w:val="99"/>
    <w:unhideWhenUsed/>
    <w:rsid w:val="006D684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D6846"/>
  </w:style>
  <w:style w:type="paragraph" w:styleId="Textedebulles">
    <w:name w:val="Balloon Text"/>
    <w:basedOn w:val="Normal"/>
    <w:link w:val="TextedebullesCar"/>
    <w:uiPriority w:val="99"/>
    <w:semiHidden/>
    <w:unhideWhenUsed/>
    <w:rsid w:val="006D684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6846"/>
    <w:rPr>
      <w:rFonts w:ascii="Tahoma" w:hAnsi="Tahoma" w:cs="Tahoma"/>
      <w:sz w:val="16"/>
      <w:szCs w:val="16"/>
    </w:rPr>
  </w:style>
  <w:style w:type="paragraph" w:styleId="TM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Paragraphedeliste">
    <w:name w:val="List Paragraph"/>
    <w:basedOn w:val="Normal"/>
    <w:uiPriority w:val="34"/>
    <w:qFormat/>
    <w:rsid w:val="00B26098"/>
    <w:pPr>
      <w:ind w:left="720"/>
      <w:contextualSpacing/>
    </w:pPr>
  </w:style>
  <w:style w:type="table" w:styleId="Grilledutableau">
    <w:name w:val="Table Grid"/>
    <w:basedOn w:val="Tableau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customStyle="1" w:styleId="FDNormal">
    <w:name w:val="FDNormal"/>
    <w:basedOn w:val="Normal"/>
    <w:link w:val="FDNormalCar"/>
    <w:rsid w:val="00440808"/>
    <w:pPr>
      <w:spacing w:after="120" w:line="240" w:lineRule="auto"/>
      <w:jc w:val="both"/>
    </w:pPr>
    <w:rPr>
      <w:rFonts w:ascii="Verdana" w:eastAsia="Times New Roman" w:hAnsi="Verdana" w:cs="Verdana"/>
      <w:sz w:val="20"/>
      <w:szCs w:val="20"/>
      <w:lang w:val="fr-FR" w:eastAsia="fr-FR"/>
    </w:rPr>
  </w:style>
  <w:style w:type="character" w:customStyle="1" w:styleId="FDNormalCar">
    <w:name w:val="FDNormal Car"/>
    <w:link w:val="FDNormal"/>
    <w:rsid w:val="00440808"/>
    <w:rPr>
      <w:rFonts w:ascii="Verdana" w:eastAsia="Times New Roman" w:hAnsi="Verdana" w:cs="Verdana"/>
      <w:sz w:val="20"/>
      <w:szCs w:val="20"/>
      <w:lang w:val="fr-FR" w:eastAsia="fr-FR"/>
    </w:rPr>
  </w:style>
  <w:style w:type="paragraph" w:customStyle="1" w:styleId="FDPuce2">
    <w:name w:val="FDPuce2"/>
    <w:basedOn w:val="FDPuce"/>
    <w:rsid w:val="00440808"/>
    <w:pPr>
      <w:numPr>
        <w:ilvl w:val="1"/>
      </w:numPr>
      <w:tabs>
        <w:tab w:val="clear" w:pos="1440"/>
      </w:tabs>
      <w:ind w:left="1080"/>
    </w:pPr>
  </w:style>
  <w:style w:type="paragraph" w:customStyle="1" w:styleId="FDTitre3">
    <w:name w:val="FDTitre3"/>
    <w:basedOn w:val="FDNormal"/>
    <w:next w:val="FDNormal"/>
    <w:autoRedefine/>
    <w:rsid w:val="00440808"/>
    <w:pPr>
      <w:tabs>
        <w:tab w:val="left" w:pos="1260"/>
        <w:tab w:val="left" w:pos="1620"/>
      </w:tabs>
      <w:spacing w:before="120" w:after="240"/>
    </w:pPr>
    <w:rPr>
      <w:b/>
      <w:bCs/>
      <w:color w:val="000000"/>
      <w:sz w:val="24"/>
      <w:szCs w:val="28"/>
    </w:rPr>
  </w:style>
  <w:style w:type="paragraph" w:customStyle="1" w:styleId="FDPuce">
    <w:name w:val="FDPuce"/>
    <w:basedOn w:val="FDNormal"/>
    <w:rsid w:val="00440808"/>
    <w:pPr>
      <w:numPr>
        <w:numId w:val="11"/>
      </w:numPr>
      <w:tabs>
        <w:tab w:val="clear" w:pos="397"/>
      </w:tabs>
      <w:spacing w:before="60" w:after="60"/>
      <w:ind w:left="360" w:hanging="360"/>
    </w:pPr>
  </w:style>
  <w:style w:type="paragraph" w:customStyle="1" w:styleId="FDListeGlossaire">
    <w:name w:val="FDListeGlossaire"/>
    <w:basedOn w:val="FDNormal"/>
    <w:next w:val="FDNormal"/>
    <w:link w:val="FDListeGlossaireCar"/>
    <w:rsid w:val="00440808"/>
    <w:rPr>
      <w:b/>
      <w:bCs/>
    </w:rPr>
  </w:style>
  <w:style w:type="character" w:customStyle="1" w:styleId="FDListeGlossaireCar">
    <w:name w:val="FDListeGlossaire Car"/>
    <w:basedOn w:val="FDNormalCar"/>
    <w:link w:val="FDListeGlossaire"/>
    <w:rsid w:val="00440808"/>
    <w:rPr>
      <w:rFonts w:ascii="Verdana" w:eastAsia="Times New Roman" w:hAnsi="Verdana" w:cs="Verdana"/>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391379C3</Template>
  <TotalTime>0</TotalTime>
  <Pages>3</Pages>
  <Words>748</Words>
  <Characters>4118</Characters>
  <Application>Microsoft Office Word</Application>
  <DocSecurity>4</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de Sousa, Maria</cp:lastModifiedBy>
  <cp:revision>2</cp:revision>
  <cp:lastPrinted>2015-10-09T10:36:00Z</cp:lastPrinted>
  <dcterms:created xsi:type="dcterms:W3CDTF">2016-05-16T16:46:00Z</dcterms:created>
  <dcterms:modified xsi:type="dcterms:W3CDTF">2016-05-16T16:46:00Z</dcterms:modified>
</cp:coreProperties>
</file>