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</w:p>
    <w:p w:rsidR="00575F36" w:rsidRPr="007B216A" w:rsidRDefault="007B216A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 w:rsidRPr="007B216A">
        <w:rPr>
          <w:b/>
          <w:noProof/>
          <w:sz w:val="36"/>
        </w:rPr>
        <w:t>Payment mode for cash flows on corporate actions outside ESES</w:t>
      </w:r>
    </w:p>
    <w:p w:rsidR="001B1E38" w:rsidRPr="007B216A" w:rsidRDefault="001B1E38" w:rsidP="006D6846">
      <w:pPr>
        <w:tabs>
          <w:tab w:val="left" w:pos="9356"/>
        </w:tabs>
        <w:ind w:right="-279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r w:rsidRPr="004F6025">
              <w:rPr>
                <w:b/>
                <w:lang w:val="fr-FR"/>
              </w:rPr>
              <w:t>Versioning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776CD9" w:rsidP="00776CD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140482">
              <w:rPr>
                <w:lang w:val="fr-FR"/>
              </w:rPr>
              <w:t>.</w:t>
            </w:r>
            <w:r>
              <w:rPr>
                <w:lang w:val="fr-FR"/>
              </w:rPr>
              <w:t>0</w:t>
            </w:r>
          </w:p>
        </w:tc>
      </w:tr>
      <w:tr w:rsidR="007B216A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7B216A" w:rsidRPr="004F6025" w:rsidRDefault="007B216A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7B216A" w:rsidRDefault="007B216A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7B216A" w:rsidRDefault="00CA79E4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August 30</w:t>
            </w:r>
            <w:bookmarkStart w:id="0" w:name="_GoBack"/>
            <w:bookmarkEnd w:id="0"/>
            <w:r w:rsidRPr="00CA79E4">
              <w:rPr>
                <w:lang w:val="fr-FR"/>
              </w:rPr>
              <w:t>th,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7B216A" w:rsidRPr="000C4CA6" w:rsidRDefault="007B216A" w:rsidP="007B216A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7B216A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7B216A" w:rsidRPr="0011664E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B216A" w:rsidRPr="000C4CA6" w:rsidRDefault="007B216A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7B216A" w:rsidRPr="0011664E" w:rsidRDefault="0011664E" w:rsidP="0011664E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11664E">
              <w:rPr>
                <w:rFonts w:eastAsia="MS Mincho" w:cs="Times New Roman"/>
                <w:noProof/>
                <w:szCs w:val="32"/>
              </w:rPr>
              <w:t>Today cash flows resulting from a corporate action are settled through Target2 accounts of the relevant institutions.</w:t>
            </w:r>
          </w:p>
        </w:tc>
      </w:tr>
      <w:tr w:rsidR="007B216A" w:rsidRPr="0011664E" w:rsidTr="0091257E">
        <w:tc>
          <w:tcPr>
            <w:tcW w:w="2093" w:type="dxa"/>
            <w:tcBorders>
              <w:left w:val="nil"/>
              <w:right w:val="nil"/>
            </w:tcBorders>
          </w:tcPr>
          <w:p w:rsidR="007B216A" w:rsidRPr="0011664E" w:rsidRDefault="007B216A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7B216A" w:rsidRPr="0011664E" w:rsidRDefault="007B216A" w:rsidP="00B26098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7B216A" w:rsidRPr="004113EB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B216A" w:rsidRPr="007B216A" w:rsidRDefault="007B216A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7B216A">
              <w:rPr>
                <w:rFonts w:eastAsia="MS Mincho" w:cs="Times New Roman"/>
                <w:b/>
                <w:noProof/>
                <w:szCs w:val="32"/>
              </w:rPr>
              <w:t>Description of the T2S impact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7B216A" w:rsidRPr="0011664E" w:rsidRDefault="0011664E" w:rsidP="0011664E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11664E">
              <w:rPr>
                <w:rFonts w:eastAsia="MS Mincho" w:cs="Times New Roman"/>
                <w:noProof/>
                <w:szCs w:val="32"/>
              </w:rPr>
              <w:t xml:space="preserve">The payment of cash flows in T2S as a result of </w:t>
            </w:r>
            <w:r>
              <w:rPr>
                <w:rFonts w:eastAsia="MS Mincho" w:cs="Times New Roman"/>
                <w:noProof/>
                <w:szCs w:val="32"/>
              </w:rPr>
              <w:t xml:space="preserve">a corporate action generated by the CSD (ESES) relies on the </w:t>
            </w:r>
            <w:r w:rsidR="007B216A" w:rsidRPr="0011664E">
              <w:rPr>
                <w:rFonts w:eastAsia="MS Mincho" w:cs="Times New Roman"/>
                <w:noProof/>
                <w:szCs w:val="32"/>
              </w:rPr>
              <w:t xml:space="preserve">Dedicated Cash Account (DCA) </w:t>
            </w:r>
            <w:r>
              <w:rPr>
                <w:rFonts w:eastAsia="MS Mincho" w:cs="Times New Roman"/>
                <w:noProof/>
                <w:szCs w:val="32"/>
              </w:rPr>
              <w:t>of the rel</w:t>
            </w:r>
            <w:r w:rsidR="005F33E4">
              <w:rPr>
                <w:rFonts w:eastAsia="MS Mincho" w:cs="Times New Roman"/>
                <w:noProof/>
                <w:szCs w:val="32"/>
              </w:rPr>
              <w:t>e</w:t>
            </w:r>
            <w:r>
              <w:rPr>
                <w:rFonts w:eastAsia="MS Mincho" w:cs="Times New Roman"/>
                <w:noProof/>
                <w:szCs w:val="32"/>
              </w:rPr>
              <w:t xml:space="preserve">vant institutions in </w:t>
            </w:r>
            <w:r w:rsidR="007B216A" w:rsidRPr="0011664E">
              <w:rPr>
                <w:rFonts w:eastAsia="MS Mincho" w:cs="Times New Roman"/>
                <w:noProof/>
                <w:szCs w:val="32"/>
              </w:rPr>
              <w:t>T2S.</w:t>
            </w:r>
          </w:p>
          <w:p w:rsidR="007B216A" w:rsidRPr="0011664E" w:rsidRDefault="0011664E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11664E">
              <w:rPr>
                <w:rFonts w:eastAsia="MS Mincho" w:cs="Times New Roman"/>
                <w:noProof/>
                <w:szCs w:val="32"/>
              </w:rPr>
              <w:t>Yet, some cash flows that will not be initiated by the CSD but by custodians or paying agents outside of T2S will be handled in Target2.</w:t>
            </w:r>
          </w:p>
          <w:p w:rsidR="007B216A" w:rsidRPr="0011664E" w:rsidRDefault="005F33E4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 xml:space="preserve">For the most part, it consists in </w:t>
            </w:r>
            <w:r w:rsidR="0011664E" w:rsidRPr="0011664E">
              <w:rPr>
                <w:rFonts w:eastAsia="MS Mincho" w:cs="Times New Roman"/>
                <w:noProof/>
                <w:szCs w:val="32"/>
              </w:rPr>
              <w:t>anc</w:t>
            </w:r>
            <w:r w:rsidR="00AB02BC">
              <w:rPr>
                <w:rFonts w:eastAsia="MS Mincho" w:cs="Times New Roman"/>
                <w:noProof/>
                <w:szCs w:val="32"/>
              </w:rPr>
              <w:t xml:space="preserve">illary cash flows such as </w:t>
            </w:r>
            <w:r w:rsidR="0011664E" w:rsidRPr="0011664E">
              <w:rPr>
                <w:rFonts w:eastAsia="MS Mincho" w:cs="Times New Roman"/>
                <w:noProof/>
                <w:szCs w:val="32"/>
              </w:rPr>
              <w:t>commissi</w:t>
            </w:r>
            <w:r w:rsidR="004D7252">
              <w:rPr>
                <w:rFonts w:eastAsia="MS Mincho" w:cs="Times New Roman"/>
                <w:noProof/>
                <w:szCs w:val="32"/>
              </w:rPr>
              <w:t>ons, or even all cash flows rel</w:t>
            </w:r>
            <w:r w:rsidR="0011664E" w:rsidRPr="0011664E">
              <w:rPr>
                <w:rFonts w:eastAsia="MS Mincho" w:cs="Times New Roman"/>
                <w:noProof/>
                <w:szCs w:val="32"/>
              </w:rPr>
              <w:t xml:space="preserve">ated to specific operations </w:t>
            </w:r>
            <w:r w:rsidR="0011664E">
              <w:rPr>
                <w:rFonts w:eastAsia="MS Mincho" w:cs="Times New Roman"/>
                <w:noProof/>
                <w:szCs w:val="32"/>
              </w:rPr>
              <w:t xml:space="preserve">such as dividends on US QI securities, </w:t>
            </w:r>
            <w:r>
              <w:rPr>
                <w:rFonts w:eastAsia="MS Mincho" w:cs="Times New Roman"/>
                <w:noProof/>
                <w:szCs w:val="32"/>
              </w:rPr>
              <w:t>or the re-issuance of a corporate action following the cancellation of the underlying instruction in order to apply a market claim corresponding to a mandatory transformation when the ISIN no longer exists.</w:t>
            </w:r>
          </w:p>
          <w:p w:rsidR="007B216A" w:rsidRPr="004113EB" w:rsidRDefault="0011664E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11664E">
              <w:rPr>
                <w:rFonts w:eastAsia="MS Mincho" w:cs="Times New Roman"/>
                <w:noProof/>
                <w:szCs w:val="32"/>
              </w:rPr>
              <w:t xml:space="preserve">This does not endanger the processing of cash flows </w:t>
            </w:r>
            <w:r>
              <w:rPr>
                <w:rFonts w:eastAsia="MS Mincho" w:cs="Times New Roman"/>
                <w:noProof/>
                <w:szCs w:val="32"/>
              </w:rPr>
              <w:t xml:space="preserve">in the context of payment </w:t>
            </w:r>
            <w:r w:rsidR="004113EB">
              <w:rPr>
                <w:rFonts w:eastAsia="MS Mincho" w:cs="Times New Roman"/>
                <w:noProof/>
                <w:szCs w:val="32"/>
              </w:rPr>
              <w:t xml:space="preserve">against delivery of corporate actions initiated in </w:t>
            </w:r>
            <w:r w:rsidR="004D7252">
              <w:rPr>
                <w:rFonts w:eastAsia="MS Mincho" w:cs="Times New Roman"/>
                <w:noProof/>
                <w:szCs w:val="32"/>
              </w:rPr>
              <w:t>the form of delivery versus pay</w:t>
            </w:r>
            <w:r w:rsidR="004113EB">
              <w:rPr>
                <w:rFonts w:eastAsia="MS Mincho" w:cs="Times New Roman"/>
                <w:noProof/>
                <w:szCs w:val="32"/>
              </w:rPr>
              <w:t>m</w:t>
            </w:r>
            <w:r w:rsidR="004D7252">
              <w:rPr>
                <w:rFonts w:eastAsia="MS Mincho" w:cs="Times New Roman"/>
                <w:noProof/>
                <w:szCs w:val="32"/>
              </w:rPr>
              <w:t>e</w:t>
            </w:r>
            <w:r w:rsidR="004113EB">
              <w:rPr>
                <w:rFonts w:eastAsia="MS Mincho" w:cs="Times New Roman"/>
                <w:noProof/>
                <w:szCs w:val="32"/>
              </w:rPr>
              <w:t>nt instructions in T2S between the custodian and the paying agent.</w:t>
            </w:r>
          </w:p>
        </w:tc>
      </w:tr>
      <w:tr w:rsidR="007B216A" w:rsidRPr="004113EB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7B216A" w:rsidRPr="004113EB" w:rsidRDefault="007B216A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7B216A" w:rsidRPr="004113EB" w:rsidRDefault="007B216A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7B216A" w:rsidRPr="004113EB" w:rsidTr="0081511D">
        <w:tc>
          <w:tcPr>
            <w:tcW w:w="2093" w:type="dxa"/>
            <w:shd w:val="clear" w:color="auto" w:fill="BFBFBF" w:themeFill="background1" w:themeFillShade="BF"/>
          </w:tcPr>
          <w:p w:rsidR="007B216A" w:rsidRPr="000C4CA6" w:rsidRDefault="007B216A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major issue</w:t>
            </w:r>
          </w:p>
        </w:tc>
        <w:tc>
          <w:tcPr>
            <w:tcW w:w="7513" w:type="dxa"/>
          </w:tcPr>
          <w:p w:rsidR="004113EB" w:rsidRPr="004113EB" w:rsidRDefault="004113E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4113EB">
              <w:rPr>
                <w:rFonts w:eastAsia="MS Mincho" w:cs="Times New Roman"/>
                <w:noProof/>
                <w:szCs w:val="32"/>
              </w:rPr>
              <w:t xml:space="preserve">French institutions wish to keep the highest level of </w:t>
            </w:r>
            <w:r>
              <w:rPr>
                <w:rFonts w:eastAsia="MS Mincho" w:cs="Times New Roman"/>
                <w:noProof/>
                <w:szCs w:val="32"/>
              </w:rPr>
              <w:t>automation for these non-ESES operations which will remain partially manual.</w:t>
            </w:r>
          </w:p>
          <w:p w:rsidR="004113EB" w:rsidRPr="004113EB" w:rsidRDefault="004113E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4113EB">
              <w:rPr>
                <w:rFonts w:eastAsia="MS Mincho" w:cs="Times New Roman"/>
                <w:noProof/>
                <w:szCs w:val="32"/>
              </w:rPr>
              <w:t>Two solutions arise to manage these payments initiated by the paying agent outside of Euroclear’s systems :</w:t>
            </w:r>
          </w:p>
          <w:p w:rsidR="007B216A" w:rsidRPr="004113EB" w:rsidRDefault="007B216A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4113EB">
              <w:rPr>
                <w:rFonts w:eastAsia="MS Mincho" w:cs="Times New Roman"/>
                <w:noProof/>
                <w:szCs w:val="32"/>
              </w:rPr>
              <w:t xml:space="preserve">1 </w:t>
            </w:r>
            <w:r w:rsidR="004113EB" w:rsidRPr="004113EB">
              <w:rPr>
                <w:rFonts w:eastAsia="MS Mincho" w:cs="Times New Roman"/>
                <w:noProof/>
                <w:szCs w:val="32"/>
              </w:rPr>
              <w:t>–</w:t>
            </w:r>
            <w:r w:rsidRPr="004113EB">
              <w:rPr>
                <w:rFonts w:eastAsia="MS Mincho" w:cs="Times New Roman"/>
                <w:noProof/>
                <w:szCs w:val="32"/>
              </w:rPr>
              <w:t xml:space="preserve"> </w:t>
            </w:r>
            <w:r w:rsidR="004113EB" w:rsidRPr="004113EB">
              <w:rPr>
                <w:rFonts w:eastAsia="MS Mincho" w:cs="Times New Roman"/>
                <w:noProof/>
                <w:szCs w:val="32"/>
              </w:rPr>
              <w:t xml:space="preserve">As is currently made, that is using </w:t>
            </w:r>
            <w:r w:rsidRPr="004113EB">
              <w:rPr>
                <w:rFonts w:eastAsia="MS Mincho" w:cs="Times New Roman"/>
                <w:noProof/>
                <w:szCs w:val="32"/>
              </w:rPr>
              <w:t>T</w:t>
            </w:r>
            <w:r w:rsidR="004113EB" w:rsidRPr="004113EB">
              <w:rPr>
                <w:rFonts w:eastAsia="MS Mincho" w:cs="Times New Roman"/>
                <w:noProof/>
                <w:szCs w:val="32"/>
              </w:rPr>
              <w:t>arget</w:t>
            </w:r>
            <w:r w:rsidRPr="004113EB">
              <w:rPr>
                <w:rFonts w:eastAsia="MS Mincho" w:cs="Times New Roman"/>
                <w:noProof/>
                <w:szCs w:val="32"/>
              </w:rPr>
              <w:t>2</w:t>
            </w:r>
            <w:r w:rsidR="004113EB">
              <w:rPr>
                <w:rFonts w:eastAsia="MS Mincho" w:cs="Times New Roman"/>
                <w:noProof/>
                <w:szCs w:val="32"/>
              </w:rPr>
              <w:t xml:space="preserve"> accounts</w:t>
            </w:r>
          </w:p>
          <w:p w:rsidR="007B216A" w:rsidRPr="004D7252" w:rsidRDefault="007B216A" w:rsidP="00C06869">
            <w:pPr>
              <w:jc w:val="both"/>
              <w:rPr>
                <w:noProof/>
              </w:rPr>
            </w:pPr>
            <w:r w:rsidRPr="004D7252">
              <w:rPr>
                <w:rFonts w:ascii="Arial Narrow" w:hAnsi="Arial Narrow"/>
                <w:noProof/>
              </w:rPr>
              <w:t>►</w:t>
            </w:r>
            <w:r w:rsidRPr="004D7252">
              <w:rPr>
                <w:noProof/>
              </w:rPr>
              <w:t xml:space="preserve"> </w:t>
            </w:r>
            <w:r w:rsidR="004113EB" w:rsidRPr="004D7252">
              <w:rPr>
                <w:noProof/>
              </w:rPr>
              <w:t>Pros</w:t>
            </w:r>
            <w:r w:rsidRPr="004D7252">
              <w:rPr>
                <w:noProof/>
              </w:rPr>
              <w:t xml:space="preserve"> : </w:t>
            </w:r>
            <w:r w:rsidR="004113EB" w:rsidRPr="004D7252">
              <w:rPr>
                <w:noProof/>
              </w:rPr>
              <w:t>no impact on current habits</w:t>
            </w:r>
          </w:p>
          <w:p w:rsidR="007B216A" w:rsidRPr="004113EB" w:rsidRDefault="007B216A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4113EB">
              <w:rPr>
                <w:rFonts w:eastAsia="MS Mincho" w:cs="Times New Roman"/>
                <w:noProof/>
                <w:szCs w:val="32"/>
              </w:rPr>
              <w:t xml:space="preserve">2 </w:t>
            </w:r>
            <w:r w:rsidR="004113EB" w:rsidRPr="004113EB">
              <w:rPr>
                <w:rFonts w:eastAsia="MS Mincho" w:cs="Times New Roman"/>
                <w:noProof/>
                <w:szCs w:val="32"/>
              </w:rPr>
              <w:t>–</w:t>
            </w:r>
            <w:r w:rsidRPr="004113EB">
              <w:rPr>
                <w:rFonts w:eastAsia="MS Mincho" w:cs="Times New Roman"/>
                <w:noProof/>
                <w:szCs w:val="32"/>
              </w:rPr>
              <w:t xml:space="preserve"> </w:t>
            </w:r>
            <w:r w:rsidR="004113EB" w:rsidRPr="004113EB">
              <w:rPr>
                <w:rFonts w:eastAsia="MS Mincho" w:cs="Times New Roman"/>
                <w:noProof/>
                <w:szCs w:val="32"/>
              </w:rPr>
              <w:t xml:space="preserve">Via T2S DCA accounts, through cash payments </w:t>
            </w:r>
            <w:r w:rsidR="004113EB">
              <w:rPr>
                <w:rFonts w:eastAsia="MS Mincho" w:cs="Times New Roman"/>
                <w:noProof/>
                <w:szCs w:val="32"/>
              </w:rPr>
              <w:t xml:space="preserve">free of delivery </w:t>
            </w:r>
            <w:r w:rsidR="004113EB" w:rsidRPr="004113EB">
              <w:rPr>
                <w:rFonts w:eastAsia="MS Mincho" w:cs="Times New Roman"/>
                <w:noProof/>
                <w:szCs w:val="32"/>
              </w:rPr>
              <w:t>(</w:t>
            </w:r>
            <w:r w:rsidRPr="004113EB">
              <w:rPr>
                <w:rFonts w:eastAsia="MS Mincho" w:cs="Times New Roman"/>
                <w:noProof/>
                <w:szCs w:val="32"/>
              </w:rPr>
              <w:t>PFOD)</w:t>
            </w:r>
          </w:p>
          <w:p w:rsidR="007B216A" w:rsidRPr="004D7252" w:rsidRDefault="007B216A" w:rsidP="00C06869">
            <w:pPr>
              <w:jc w:val="both"/>
              <w:rPr>
                <w:rFonts w:eastAsia="MS Mincho" w:cs="Times New Roman"/>
                <w:noProof/>
                <w:szCs w:val="32"/>
              </w:rPr>
            </w:pPr>
            <w:r w:rsidRPr="004D7252">
              <w:rPr>
                <w:rFonts w:ascii="Arial Narrow" w:eastAsia="MS Mincho" w:hAnsi="Arial Narrow" w:cs="Times New Roman"/>
                <w:noProof/>
                <w:szCs w:val="32"/>
              </w:rPr>
              <w:t>►</w:t>
            </w:r>
            <w:r w:rsidRPr="004D7252">
              <w:rPr>
                <w:rFonts w:eastAsia="MS Mincho" w:cs="Times New Roman"/>
                <w:noProof/>
                <w:szCs w:val="32"/>
              </w:rPr>
              <w:t xml:space="preserve"> </w:t>
            </w:r>
            <w:r w:rsidR="004113EB" w:rsidRPr="004D7252">
              <w:rPr>
                <w:rFonts w:eastAsia="MS Mincho" w:cs="Times New Roman"/>
                <w:noProof/>
                <w:szCs w:val="32"/>
              </w:rPr>
              <w:t>Pros</w:t>
            </w:r>
            <w:r w:rsidRPr="004D7252">
              <w:rPr>
                <w:rFonts w:eastAsia="MS Mincho" w:cs="Times New Roman"/>
                <w:noProof/>
                <w:szCs w:val="32"/>
              </w:rPr>
              <w:t xml:space="preserve">: </w:t>
            </w:r>
            <w:r w:rsidR="004113EB" w:rsidRPr="004D7252">
              <w:rPr>
                <w:rFonts w:eastAsia="MS Mincho" w:cs="Times New Roman"/>
                <w:noProof/>
                <w:szCs w:val="32"/>
              </w:rPr>
              <w:t xml:space="preserve">all cash flows are managed </w:t>
            </w:r>
            <w:r w:rsidR="00AB02BC">
              <w:rPr>
                <w:rFonts w:eastAsia="MS Mincho" w:cs="Times New Roman"/>
                <w:noProof/>
                <w:szCs w:val="32"/>
              </w:rPr>
              <w:t xml:space="preserve">and received </w:t>
            </w:r>
            <w:r w:rsidR="004113EB" w:rsidRPr="004D7252">
              <w:rPr>
                <w:rFonts w:eastAsia="MS Mincho" w:cs="Times New Roman"/>
                <w:noProof/>
                <w:szCs w:val="32"/>
              </w:rPr>
              <w:t>though the same system</w:t>
            </w:r>
          </w:p>
          <w:p w:rsidR="007B216A" w:rsidRPr="004113EB" w:rsidRDefault="004113E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4113EB">
              <w:rPr>
                <w:rFonts w:eastAsia="MS Mincho" w:cs="Times New Roman"/>
                <w:noProof/>
                <w:szCs w:val="32"/>
              </w:rPr>
              <w:lastRenderedPageBreak/>
              <w:t xml:space="preserve">This functioning will have to be specified in the single advice form or </w:t>
            </w:r>
            <w:r w:rsidR="007B216A" w:rsidRPr="004113EB">
              <w:rPr>
                <w:rFonts w:eastAsia="MS Mincho" w:cs="Times New Roman"/>
                <w:noProof/>
                <w:szCs w:val="32"/>
              </w:rPr>
              <w:t xml:space="preserve">Corporate Action Form (CA Form) </w:t>
            </w:r>
            <w:r w:rsidRPr="004113EB">
              <w:rPr>
                <w:rFonts w:eastAsia="MS Mincho" w:cs="Times New Roman"/>
                <w:noProof/>
                <w:szCs w:val="32"/>
              </w:rPr>
              <w:t>as</w:t>
            </w:r>
            <w:r w:rsidR="007B216A" w:rsidRPr="004113EB">
              <w:rPr>
                <w:rFonts w:eastAsia="MS Mincho" w:cs="Times New Roman"/>
                <w:noProof/>
                <w:szCs w:val="32"/>
              </w:rPr>
              <w:t xml:space="preserve">, </w:t>
            </w:r>
            <w:r w:rsidRPr="004113EB">
              <w:rPr>
                <w:rFonts w:eastAsia="MS Mincho" w:cs="Times New Roman"/>
                <w:noProof/>
                <w:szCs w:val="32"/>
              </w:rPr>
              <w:t>even with a market practice common to French market players, other players will have to be informed of the functioning</w:t>
            </w:r>
            <w:r w:rsidR="007B216A" w:rsidRPr="004113EB">
              <w:rPr>
                <w:rFonts w:eastAsia="MS Mincho" w:cs="Times New Roman"/>
                <w:noProof/>
                <w:szCs w:val="32"/>
              </w:rPr>
              <w:t>.</w:t>
            </w:r>
          </w:p>
        </w:tc>
      </w:tr>
      <w:tr w:rsidR="0081511D" w:rsidRPr="004113EB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4113EB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4113EB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7B216A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7B216A" w:rsidRPr="003348A6" w:rsidRDefault="007B216A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7B216A" w:rsidRPr="00D103DA" w:rsidRDefault="007B216A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7B216A" w:rsidRDefault="007B216A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7B216A" w:rsidRDefault="007B216A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7B216A" w:rsidRDefault="007B216A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7B216A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7B216A" w:rsidRDefault="007B216A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7B216A" w:rsidRPr="0081511D" w:rsidRDefault="007B216A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7B216A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7B216A" w:rsidRDefault="007B216A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7B216A" w:rsidRDefault="007B216A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7B216A" w:rsidRPr="00FD2FD6" w:rsidRDefault="007B216A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7B216A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7B216A" w:rsidRDefault="007B216A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7B216A" w:rsidRPr="0081511D" w:rsidRDefault="007B216A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7B216A" w:rsidRPr="007B216A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B216A" w:rsidRPr="003348A6" w:rsidRDefault="007B216A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7B216A" w:rsidRPr="007B216A" w:rsidRDefault="007B216A" w:rsidP="007B216A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ind w:left="317" w:hanging="284"/>
              <w:jc w:val="both"/>
              <w:rPr>
                <w:rFonts w:eastAsia="MS Mincho" w:cs="Times New Roman"/>
                <w:noProof/>
                <w:szCs w:val="32"/>
              </w:rPr>
            </w:pPr>
            <w:r w:rsidRPr="007B216A">
              <w:rPr>
                <w:rFonts w:eastAsia="MS Mincho" w:cs="Times New Roman"/>
                <w:noProof/>
                <w:szCs w:val="32"/>
              </w:rPr>
              <w:t>MS-MATCH-CRITE-01: Settlement instruction parties – Mandatory matching criteria</w:t>
            </w:r>
          </w:p>
          <w:p w:rsidR="007B216A" w:rsidRPr="007B216A" w:rsidRDefault="007B216A" w:rsidP="007B216A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ind w:left="317" w:hanging="284"/>
              <w:jc w:val="both"/>
              <w:rPr>
                <w:rFonts w:eastAsia="MS Mincho" w:cs="Times New Roman"/>
                <w:noProof/>
                <w:szCs w:val="32"/>
              </w:rPr>
            </w:pPr>
            <w:r w:rsidRPr="007B216A">
              <w:rPr>
                <w:rFonts w:eastAsia="MS Mincho" w:cs="Times New Roman"/>
                <w:noProof/>
                <w:szCs w:val="32"/>
              </w:rPr>
              <w:t xml:space="preserve">MS-MATCH-CRITE-02: Use of the optional matching field: Client of the CSD participant </w:t>
            </w:r>
            <w:r w:rsidRPr="007B216A">
              <w:rPr>
                <w:rFonts w:eastAsia="MS Mincho" w:cs="Times New Roman"/>
                <w:i/>
                <w:noProof/>
                <w:szCs w:val="32"/>
              </w:rPr>
              <w:t>(Validated but not published)</w:t>
            </w:r>
          </w:p>
        </w:tc>
      </w:tr>
    </w:tbl>
    <w:p w:rsidR="001E0D83" w:rsidRPr="007B216A" w:rsidRDefault="001E0D83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81511D" w:rsidRPr="007B216A" w:rsidRDefault="0081511D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862D25" w:rsidRPr="004F6025" w:rsidRDefault="00862D25" w:rsidP="00862D25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Recommended market practice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2093"/>
        <w:gridCol w:w="7483"/>
        <w:gridCol w:w="30"/>
      </w:tblGrid>
      <w:tr w:rsidR="00862D25" w:rsidRPr="004113EB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862D25" w:rsidRPr="00D103DA" w:rsidRDefault="00862D25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483" w:type="dxa"/>
          </w:tcPr>
          <w:p w:rsidR="00862D25" w:rsidRPr="004D7252" w:rsidRDefault="00AB02BC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>The AFTI Corporate Action Expert Group concluded i</w:t>
            </w:r>
            <w:r w:rsidR="004113EB" w:rsidRPr="004D7252">
              <w:rPr>
                <w:rFonts w:eastAsia="MS Mincho" w:cs="Times New Roman"/>
                <w:noProof/>
                <w:szCs w:val="32"/>
              </w:rPr>
              <w:t xml:space="preserve">t appears a wiser practice to keep paying </w:t>
            </w:r>
            <w:r>
              <w:rPr>
                <w:rFonts w:eastAsia="MS Mincho" w:cs="Times New Roman"/>
                <w:noProof/>
                <w:szCs w:val="32"/>
              </w:rPr>
              <w:t xml:space="preserve">commissions on corporate actions, which represent most part of cash amounts settled outside of ESES, </w:t>
            </w:r>
            <w:r w:rsidR="004113EB" w:rsidRPr="004D7252">
              <w:rPr>
                <w:rFonts w:eastAsia="MS Mincho" w:cs="Times New Roman"/>
                <w:noProof/>
                <w:szCs w:val="32"/>
              </w:rPr>
              <w:t>though Target2 accounts.</w:t>
            </w:r>
            <w:r>
              <w:rPr>
                <w:rFonts w:eastAsia="MS Mincho" w:cs="Times New Roman"/>
                <w:noProof/>
                <w:szCs w:val="32"/>
              </w:rPr>
              <w:t xml:space="preserve"> Other residual cash flows which cannot be processed through ESES will also be processed through the Target2 account.</w:t>
            </w:r>
          </w:p>
          <w:p w:rsidR="00862D25" w:rsidRPr="004113EB" w:rsidRDefault="004113E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4113EB">
              <w:rPr>
                <w:rFonts w:eastAsia="MS Mincho" w:cs="Times New Roman"/>
                <w:noProof/>
                <w:szCs w:val="32"/>
              </w:rPr>
              <w:t xml:space="preserve">The use of Target2 account will be specified in </w:t>
            </w:r>
            <w:r>
              <w:rPr>
                <w:rFonts w:eastAsia="MS Mincho" w:cs="Times New Roman"/>
                <w:noProof/>
                <w:szCs w:val="32"/>
              </w:rPr>
              <w:t xml:space="preserve">corporate actions advices, in a free text field, as this piece of information is not scheduled for the  moment in the </w:t>
            </w:r>
            <w:r w:rsidR="00862D25" w:rsidRPr="004113EB">
              <w:rPr>
                <w:rFonts w:eastAsia="MS Mincho" w:cs="Times New Roman"/>
                <w:noProof/>
                <w:szCs w:val="32"/>
              </w:rPr>
              <w:t>CA Form.</w:t>
            </w:r>
          </w:p>
          <w:p w:rsidR="00862D25" w:rsidRPr="004113EB" w:rsidRDefault="004113E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>This rule shall apply systematically to French market players. Exceptions may arise as a participant of another CSD is impacted by a corporate action initiated by a French market player.</w:t>
            </w:r>
          </w:p>
        </w:tc>
      </w:tr>
      <w:tr w:rsidR="00C06869" w:rsidRPr="007B216A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C06869" w:rsidRDefault="00862D25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Reasons for the choice</w:t>
            </w:r>
          </w:p>
        </w:tc>
        <w:tc>
          <w:tcPr>
            <w:tcW w:w="7483" w:type="dxa"/>
          </w:tcPr>
          <w:p w:rsidR="004113EB" w:rsidRPr="004113EB" w:rsidRDefault="004113EB" w:rsidP="00C0686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4113EB">
              <w:rPr>
                <w:rFonts w:eastAsia="MS Mincho" w:cs="Times New Roman"/>
                <w:noProof/>
                <w:szCs w:val="32"/>
              </w:rPr>
              <w:t xml:space="preserve">The monitoring of cash flows coming from ESES on the DCA account appears sensible at the moment, thus </w:t>
            </w:r>
            <w:r>
              <w:rPr>
                <w:rFonts w:eastAsia="MS Mincho" w:cs="Times New Roman"/>
                <w:noProof/>
                <w:szCs w:val="32"/>
              </w:rPr>
              <w:t>resulting in the recommendation to handle these flows separately, at least as from the launch of T2S on the French market as well as several months thereafter.</w:t>
            </w:r>
          </w:p>
          <w:p w:rsidR="00C06869" w:rsidRPr="004D7252" w:rsidRDefault="004113EB" w:rsidP="00AB02BC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4D7252">
              <w:rPr>
                <w:rFonts w:eastAsia="MS Mincho" w:cs="Times New Roman"/>
                <w:noProof/>
                <w:szCs w:val="32"/>
              </w:rPr>
              <w:t>This market practice may need to b</w:t>
            </w:r>
            <w:r w:rsidR="00E34D84" w:rsidRPr="004D7252">
              <w:rPr>
                <w:rFonts w:eastAsia="MS Mincho" w:cs="Times New Roman"/>
                <w:noProof/>
                <w:szCs w:val="32"/>
              </w:rPr>
              <w:t>e reviewed if institutions wish to do so.</w:t>
            </w:r>
          </w:p>
        </w:tc>
      </w:tr>
      <w:tr w:rsidR="0081511D" w:rsidRPr="007B216A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4D7252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1511D" w:rsidRPr="004D7252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862D25" w:rsidTr="0081511D">
        <w:trPr>
          <w:gridAfter w:val="1"/>
          <w:wAfter w:w="30" w:type="dxa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62D25" w:rsidRPr="003348A6" w:rsidRDefault="00862D2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Description of the roles and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lastRenderedPageBreak/>
              <w:t>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862D25" w:rsidRPr="00F370B0" w:rsidRDefault="00862D2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862D25" w:rsidRDefault="00862D2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62D25" w:rsidRDefault="00862D2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62D25" w:rsidRDefault="00862D2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62D25" w:rsidRDefault="00862D2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62D25" w:rsidTr="0081511D">
        <w:trPr>
          <w:gridAfter w:val="1"/>
          <w:wAfter w:w="30" w:type="dxa"/>
        </w:trPr>
        <w:tc>
          <w:tcPr>
            <w:tcW w:w="2093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862D25" w:rsidRPr="00F370B0" w:rsidRDefault="00862D2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4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62D25" w:rsidRDefault="00862D2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62D25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862D25" w:rsidRPr="00F370B0" w:rsidRDefault="00862D2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Workflows</w:t>
            </w:r>
          </w:p>
          <w:p w:rsidR="00862D25" w:rsidRPr="00F370B0" w:rsidRDefault="00862D2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862D25" w:rsidRDefault="00862D2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62D25" w:rsidRDefault="00862D25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5743B" w:rsidRDefault="0085743B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140482" w:rsidRPr="004F6025" w:rsidRDefault="00862D25" w:rsidP="0014048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IMPLEMENTATION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862D25" w:rsidRPr="00862D25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862D25" w:rsidRPr="00D103DA" w:rsidRDefault="00862D25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  <w:gridSpan w:val="2"/>
          </w:tcPr>
          <w:p w:rsidR="00862D25" w:rsidRPr="003348A6" w:rsidRDefault="00862D25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  <w:gridSpan w:val="2"/>
          </w:tcPr>
          <w:p w:rsidR="00862D25" w:rsidRPr="003348A6" w:rsidRDefault="00862D25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  <w:gridSpan w:val="3"/>
          </w:tcPr>
          <w:p w:rsidR="00862D25" w:rsidRPr="003348A6" w:rsidRDefault="00862D25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Pr="00862D25" w:rsidRDefault="00140482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85743B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62D25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62D25" w:rsidRPr="000C4CA6" w:rsidRDefault="00862D25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0D33A6">
              <w:rPr>
                <w:rFonts w:eastAsia="MS Mincho" w:cs="Times New Roman"/>
                <w:b/>
                <w:noProof/>
                <w:szCs w:val="32"/>
              </w:rPr>
              <w:t>Requirement for a specific test set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862D25" w:rsidRPr="00922B9C" w:rsidRDefault="00862D25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 xml:space="preserve">Yes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862D25" w:rsidRPr="00E35B86" w:rsidRDefault="00862D25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862D25" w:rsidRDefault="00862D25" w:rsidP="0085743B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  </w:t>
            </w: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7"/>
      <w:footerReference w:type="default" r:id="rId8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272" w:rsidRDefault="00EC7272" w:rsidP="006D6846">
      <w:pPr>
        <w:spacing w:after="0" w:line="240" w:lineRule="auto"/>
      </w:pPr>
      <w:r>
        <w:separator/>
      </w:r>
    </w:p>
  </w:endnote>
  <w:endnote w:type="continuationSeparator" w:id="0">
    <w:p w:rsidR="00EC7272" w:rsidRDefault="00EC7272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9825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776F" w:rsidRDefault="00EC776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9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776F" w:rsidRDefault="00EC77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272" w:rsidRDefault="00EC7272" w:rsidP="006D6846">
      <w:pPr>
        <w:spacing w:after="0" w:line="240" w:lineRule="auto"/>
      </w:pPr>
      <w:r>
        <w:separator/>
      </w:r>
    </w:p>
  </w:footnote>
  <w:footnote w:type="continuationSeparator" w:id="0">
    <w:p w:rsidR="00EC7272" w:rsidRDefault="00EC7272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78"/>
      <w:gridCol w:w="3798"/>
    </w:tblGrid>
    <w:tr w:rsidR="00EC776F" w:rsidTr="00EC776F">
      <w:tc>
        <w:tcPr>
          <w:tcW w:w="5778" w:type="dxa"/>
          <w:vAlign w:val="center"/>
        </w:tcPr>
        <w:p w:rsidR="007B216A" w:rsidRPr="005B1C9D" w:rsidRDefault="007B216A" w:rsidP="007B216A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EC776F" w:rsidRPr="007B216A" w:rsidRDefault="007B216A" w:rsidP="007B216A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3798" w:type="dxa"/>
          <w:vAlign w:val="center"/>
        </w:tcPr>
        <w:p w:rsidR="00EC776F" w:rsidRDefault="00EC776F" w:rsidP="00EC776F">
          <w:pPr>
            <w:pStyle w:val="En-tte"/>
            <w:jc w:val="center"/>
            <w:rPr>
              <w:b/>
              <w:lang w:val="fr-FR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07FFFC4B" wp14:editId="027E8CE9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C776F" w:rsidRPr="00C06869" w:rsidTr="00EC776F">
      <w:tc>
        <w:tcPr>
          <w:tcW w:w="5778" w:type="dxa"/>
          <w:vAlign w:val="center"/>
        </w:tcPr>
        <w:p w:rsidR="00EC776F" w:rsidRPr="007B216A" w:rsidRDefault="007B216A" w:rsidP="00113071">
          <w:pPr>
            <w:pStyle w:val="En-tte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="00EC776F" w:rsidRPr="007B216A">
            <w:rPr>
              <w:i/>
            </w:rPr>
            <w:t xml:space="preserve">: </w:t>
          </w:r>
          <w:r w:rsidR="00C06869" w:rsidRPr="007B216A">
            <w:rPr>
              <w:i/>
            </w:rPr>
            <w:t>OF-OST-RETRO-01</w:t>
          </w:r>
        </w:p>
      </w:tc>
      <w:tc>
        <w:tcPr>
          <w:tcW w:w="3798" w:type="dxa"/>
          <w:vAlign w:val="center"/>
        </w:tcPr>
        <w:p w:rsidR="00EC776F" w:rsidRPr="007B216A" w:rsidRDefault="00EC776F" w:rsidP="00EC776F">
          <w:pPr>
            <w:pStyle w:val="En-tte"/>
            <w:jc w:val="center"/>
            <w:rPr>
              <w:noProof/>
            </w:rPr>
          </w:pPr>
        </w:p>
      </w:tc>
    </w:tr>
  </w:tbl>
  <w:p w:rsidR="00EC776F" w:rsidRPr="007B216A" w:rsidRDefault="00EC776F">
    <w:pPr>
      <w:pStyle w:val="En-tte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20084"/>
    <w:rsid w:val="000706A3"/>
    <w:rsid w:val="000A6C94"/>
    <w:rsid w:val="000C1C9B"/>
    <w:rsid w:val="000D6F4D"/>
    <w:rsid w:val="000F3C24"/>
    <w:rsid w:val="00113071"/>
    <w:rsid w:val="0011664E"/>
    <w:rsid w:val="00140482"/>
    <w:rsid w:val="00145ADA"/>
    <w:rsid w:val="001522A5"/>
    <w:rsid w:val="00162BBA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7510"/>
    <w:rsid w:val="00283DDE"/>
    <w:rsid w:val="0028538B"/>
    <w:rsid w:val="00343829"/>
    <w:rsid w:val="00343B9E"/>
    <w:rsid w:val="003631EA"/>
    <w:rsid w:val="00363E89"/>
    <w:rsid w:val="003929BA"/>
    <w:rsid w:val="003A4E76"/>
    <w:rsid w:val="003B3DA4"/>
    <w:rsid w:val="003D5E9F"/>
    <w:rsid w:val="003D7060"/>
    <w:rsid w:val="004113EB"/>
    <w:rsid w:val="00464015"/>
    <w:rsid w:val="004818D8"/>
    <w:rsid w:val="00482296"/>
    <w:rsid w:val="00487A07"/>
    <w:rsid w:val="004D7252"/>
    <w:rsid w:val="004F6025"/>
    <w:rsid w:val="005061BA"/>
    <w:rsid w:val="005067E0"/>
    <w:rsid w:val="0051485E"/>
    <w:rsid w:val="00567B1D"/>
    <w:rsid w:val="00575F36"/>
    <w:rsid w:val="005C2ACA"/>
    <w:rsid w:val="005F33E4"/>
    <w:rsid w:val="00622E8A"/>
    <w:rsid w:val="00625541"/>
    <w:rsid w:val="00652C13"/>
    <w:rsid w:val="00694503"/>
    <w:rsid w:val="0069580E"/>
    <w:rsid w:val="006D6846"/>
    <w:rsid w:val="00701AE2"/>
    <w:rsid w:val="00714CE6"/>
    <w:rsid w:val="00727BF7"/>
    <w:rsid w:val="0074709E"/>
    <w:rsid w:val="00765664"/>
    <w:rsid w:val="00776CD9"/>
    <w:rsid w:val="007B216A"/>
    <w:rsid w:val="007B7B10"/>
    <w:rsid w:val="007C7303"/>
    <w:rsid w:val="007F6CFC"/>
    <w:rsid w:val="0080446B"/>
    <w:rsid w:val="0081511D"/>
    <w:rsid w:val="00830B7B"/>
    <w:rsid w:val="00837334"/>
    <w:rsid w:val="00841E84"/>
    <w:rsid w:val="0085743B"/>
    <w:rsid w:val="00862D25"/>
    <w:rsid w:val="008800A4"/>
    <w:rsid w:val="00893912"/>
    <w:rsid w:val="008A30A6"/>
    <w:rsid w:val="008C734C"/>
    <w:rsid w:val="0091257E"/>
    <w:rsid w:val="0092276F"/>
    <w:rsid w:val="00922A8E"/>
    <w:rsid w:val="00922B9C"/>
    <w:rsid w:val="00933237"/>
    <w:rsid w:val="009606C4"/>
    <w:rsid w:val="00982218"/>
    <w:rsid w:val="00995F65"/>
    <w:rsid w:val="009978DE"/>
    <w:rsid w:val="009A24A6"/>
    <w:rsid w:val="009A2F1A"/>
    <w:rsid w:val="009A64D1"/>
    <w:rsid w:val="00A133A7"/>
    <w:rsid w:val="00A20577"/>
    <w:rsid w:val="00A21489"/>
    <w:rsid w:val="00A40ED4"/>
    <w:rsid w:val="00A45A45"/>
    <w:rsid w:val="00A678C0"/>
    <w:rsid w:val="00A746A0"/>
    <w:rsid w:val="00A90EEC"/>
    <w:rsid w:val="00AA1FDB"/>
    <w:rsid w:val="00AA62D7"/>
    <w:rsid w:val="00AB02BC"/>
    <w:rsid w:val="00AC134F"/>
    <w:rsid w:val="00B26098"/>
    <w:rsid w:val="00B31057"/>
    <w:rsid w:val="00B44E11"/>
    <w:rsid w:val="00B540C8"/>
    <w:rsid w:val="00B62B1E"/>
    <w:rsid w:val="00B727D8"/>
    <w:rsid w:val="00B9491F"/>
    <w:rsid w:val="00BA66D3"/>
    <w:rsid w:val="00BA6B0A"/>
    <w:rsid w:val="00BC7577"/>
    <w:rsid w:val="00BE4C60"/>
    <w:rsid w:val="00C02B2C"/>
    <w:rsid w:val="00C06869"/>
    <w:rsid w:val="00C070B0"/>
    <w:rsid w:val="00C1000A"/>
    <w:rsid w:val="00C221EA"/>
    <w:rsid w:val="00C33595"/>
    <w:rsid w:val="00C3423B"/>
    <w:rsid w:val="00C41782"/>
    <w:rsid w:val="00C43D15"/>
    <w:rsid w:val="00C57689"/>
    <w:rsid w:val="00C60EC8"/>
    <w:rsid w:val="00C65EB2"/>
    <w:rsid w:val="00C77C0A"/>
    <w:rsid w:val="00CA79E4"/>
    <w:rsid w:val="00CB0F41"/>
    <w:rsid w:val="00CC7462"/>
    <w:rsid w:val="00CD3755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B106F"/>
    <w:rsid w:val="00DB7B9A"/>
    <w:rsid w:val="00DD071C"/>
    <w:rsid w:val="00E34D84"/>
    <w:rsid w:val="00E351C1"/>
    <w:rsid w:val="00E35B86"/>
    <w:rsid w:val="00E438E3"/>
    <w:rsid w:val="00E52109"/>
    <w:rsid w:val="00E62EAE"/>
    <w:rsid w:val="00EA5560"/>
    <w:rsid w:val="00EB44AB"/>
    <w:rsid w:val="00EC7272"/>
    <w:rsid w:val="00EC776F"/>
    <w:rsid w:val="00F00BF4"/>
    <w:rsid w:val="00F358FF"/>
    <w:rsid w:val="00F35CCA"/>
    <w:rsid w:val="00F84B2D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54DEC57-38B3-4833-9B3B-524C7ACF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590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Deciron, Isabelle</cp:lastModifiedBy>
  <cp:revision>25</cp:revision>
  <cp:lastPrinted>2015-10-09T10:36:00Z</cp:lastPrinted>
  <dcterms:created xsi:type="dcterms:W3CDTF">2016-01-07T06:52:00Z</dcterms:created>
  <dcterms:modified xsi:type="dcterms:W3CDTF">2016-10-06T15:09:00Z</dcterms:modified>
</cp:coreProperties>
</file>