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p>
    <w:p w:rsidR="00575F36" w:rsidRPr="00B3406E" w:rsidRDefault="009310D4"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rPr>
      </w:pPr>
      <w:r w:rsidRPr="009310D4">
        <w:rPr>
          <w:b/>
          <w:noProof/>
          <w:sz w:val="36"/>
        </w:rPr>
        <w:t>Management of Market Claims on securities financing transactions post-T2S</w:t>
      </w:r>
    </w:p>
    <w:p w:rsidR="001B1E38" w:rsidRPr="00B3406E" w:rsidRDefault="001B1E38" w:rsidP="006D6846">
      <w:pPr>
        <w:tabs>
          <w:tab w:val="left" w:pos="9356"/>
        </w:tabs>
        <w:ind w:right="-279"/>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9310D4" w:rsidP="00776CD9">
            <w:pPr>
              <w:tabs>
                <w:tab w:val="left" w:pos="9356"/>
              </w:tabs>
              <w:ind w:right="-279"/>
              <w:rPr>
                <w:lang w:val="fr-FR"/>
              </w:rPr>
            </w:pPr>
            <w:r>
              <w:rPr>
                <w:lang w:val="fr-FR"/>
              </w:rPr>
              <w:t>1</w:t>
            </w:r>
            <w:r w:rsidR="00140482">
              <w:rPr>
                <w:lang w:val="fr-FR"/>
              </w:rPr>
              <w:t>.</w:t>
            </w:r>
            <w:r w:rsidR="00776CD9">
              <w:rPr>
                <w:lang w:val="fr-FR"/>
              </w:rPr>
              <w:t>0</w:t>
            </w:r>
          </w:p>
        </w:tc>
      </w:tr>
      <w:tr w:rsidR="00B3406E" w:rsidRPr="00AA1FDB" w:rsidTr="0091257E">
        <w:tc>
          <w:tcPr>
            <w:tcW w:w="2093" w:type="dxa"/>
            <w:vMerge/>
            <w:shd w:val="clear" w:color="auto" w:fill="BFBFBF" w:themeFill="background1" w:themeFillShade="BF"/>
          </w:tcPr>
          <w:p w:rsidR="00B3406E" w:rsidRPr="004F6025" w:rsidRDefault="00B3406E" w:rsidP="006D6846">
            <w:pPr>
              <w:tabs>
                <w:tab w:val="left" w:pos="9356"/>
              </w:tabs>
              <w:ind w:right="-279"/>
              <w:rPr>
                <w:b/>
                <w:lang w:val="fr-FR"/>
              </w:rPr>
            </w:pPr>
          </w:p>
        </w:tc>
        <w:tc>
          <w:tcPr>
            <w:tcW w:w="2551" w:type="dxa"/>
            <w:shd w:val="clear" w:color="auto" w:fill="F2F2F2" w:themeFill="background1" w:themeFillShade="F2"/>
          </w:tcPr>
          <w:p w:rsidR="00B3406E" w:rsidRDefault="00B3406E" w:rsidP="000E651B">
            <w:pPr>
              <w:tabs>
                <w:tab w:val="left" w:pos="9356"/>
              </w:tabs>
              <w:ind w:right="-279"/>
              <w:rPr>
                <w:lang w:val="fr-FR"/>
              </w:rPr>
            </w:pPr>
            <w:r>
              <w:rPr>
                <w:lang w:val="fr-FR"/>
              </w:rPr>
              <w:t>Publication date</w:t>
            </w:r>
          </w:p>
        </w:tc>
        <w:tc>
          <w:tcPr>
            <w:tcW w:w="4932" w:type="dxa"/>
          </w:tcPr>
          <w:p w:rsidR="00B3406E" w:rsidRDefault="007B4D1C" w:rsidP="00756030">
            <w:pPr>
              <w:tabs>
                <w:tab w:val="left" w:pos="9356"/>
              </w:tabs>
              <w:ind w:right="-279"/>
              <w:rPr>
                <w:lang w:val="fr-FR"/>
              </w:rPr>
            </w:pPr>
            <w:r>
              <w:rPr>
                <w:lang w:val="fr-FR"/>
              </w:rPr>
              <w:t xml:space="preserve">August </w:t>
            </w:r>
            <w:r w:rsidR="00756030">
              <w:rPr>
                <w:lang w:val="fr-FR"/>
              </w:rPr>
              <w:t>30</w:t>
            </w:r>
            <w:r>
              <w:rPr>
                <w:lang w:val="fr-FR"/>
              </w:rPr>
              <w:t>th</w:t>
            </w:r>
            <w:r w:rsidR="00B3406E">
              <w:rPr>
                <w:lang w:val="fr-FR"/>
              </w:rPr>
              <w:t>,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B3406E" w:rsidRPr="000C4CA6" w:rsidRDefault="00B3406E" w:rsidP="00B3406E">
      <w:pPr>
        <w:pStyle w:val="ListParagraph"/>
        <w:numPr>
          <w:ilvl w:val="0"/>
          <w:numId w:val="1"/>
        </w:numPr>
        <w:spacing w:after="0" w:line="240" w:lineRule="auto"/>
        <w:ind w:left="284" w:hanging="284"/>
        <w:rPr>
          <w:rFonts w:eastAsia="MS Mincho" w:cs="Times New Roman"/>
          <w:b/>
          <w:caps/>
          <w:noProof/>
          <w:sz w:val="32"/>
          <w:szCs w:val="32"/>
        </w:rPr>
      </w:pPr>
      <w:r w:rsidRPr="003348A6">
        <w:rPr>
          <w:rFonts w:eastAsia="MS Mincho" w:cs="Times New Roman"/>
          <w:b/>
          <w:caps/>
          <w:noProof/>
          <w:sz w:val="32"/>
          <w:szCs w:val="32"/>
        </w:rPr>
        <w:t>Description of the existing practice &amp; of the Impacts</w:t>
      </w:r>
    </w:p>
    <w:p w:rsidR="0081511D" w:rsidRPr="00B3406E" w:rsidRDefault="0081511D" w:rsidP="00B26098">
      <w:pPr>
        <w:spacing w:after="0" w:line="240" w:lineRule="auto"/>
        <w:rPr>
          <w:rFonts w:eastAsia="MS Mincho" w:cs="Times New Roman"/>
          <w:noProof/>
          <w:szCs w:val="32"/>
        </w:rPr>
      </w:pPr>
    </w:p>
    <w:tbl>
      <w:tblPr>
        <w:tblStyle w:val="TableGrid"/>
        <w:tblW w:w="9606" w:type="dxa"/>
        <w:tblLayout w:type="fixed"/>
        <w:tblLook w:val="04A0" w:firstRow="1" w:lastRow="0" w:firstColumn="1" w:lastColumn="0" w:noHBand="0" w:noVBand="1"/>
      </w:tblPr>
      <w:tblGrid>
        <w:gridCol w:w="2093"/>
        <w:gridCol w:w="7513"/>
      </w:tblGrid>
      <w:tr w:rsidR="00B3406E" w:rsidRPr="007B4D1C" w:rsidTr="0091257E">
        <w:tc>
          <w:tcPr>
            <w:tcW w:w="2093" w:type="dxa"/>
            <w:tcBorders>
              <w:bottom w:val="single" w:sz="4" w:space="0" w:color="auto"/>
            </w:tcBorders>
            <w:shd w:val="clear" w:color="auto" w:fill="BFBFBF" w:themeFill="background1" w:themeFillShade="BF"/>
          </w:tcPr>
          <w:p w:rsidR="00B3406E" w:rsidRPr="000C4CA6" w:rsidRDefault="00B3406E" w:rsidP="000E651B">
            <w:pPr>
              <w:rPr>
                <w:rFonts w:eastAsia="MS Mincho" w:cs="Times New Roman"/>
                <w:b/>
                <w:noProof/>
                <w:szCs w:val="32"/>
              </w:rPr>
            </w:pPr>
            <w:r w:rsidRPr="005B1C9D">
              <w:rPr>
                <w:rFonts w:eastAsia="MS Mincho" w:cs="Times New Roman"/>
                <w:b/>
                <w:noProof/>
                <w:szCs w:val="32"/>
              </w:rPr>
              <w:t>Description of the existing practice</w:t>
            </w:r>
          </w:p>
        </w:tc>
        <w:tc>
          <w:tcPr>
            <w:tcW w:w="7513" w:type="dxa"/>
            <w:tcBorders>
              <w:bottom w:val="single" w:sz="4" w:space="0" w:color="auto"/>
            </w:tcBorders>
          </w:tcPr>
          <w:p w:rsidR="00B3406E" w:rsidRDefault="009310D4" w:rsidP="00756030">
            <w:pPr>
              <w:spacing w:before="120"/>
              <w:jc w:val="both"/>
              <w:rPr>
                <w:rFonts w:eastAsia="MS Mincho" w:cs="Times New Roman"/>
                <w:noProof/>
                <w:szCs w:val="32"/>
              </w:rPr>
            </w:pPr>
            <w:r>
              <w:rPr>
                <w:rFonts w:eastAsia="MS Mincho" w:cs="Times New Roman"/>
                <w:noProof/>
                <w:szCs w:val="32"/>
              </w:rPr>
              <w:t>This market practice only applies to securities financing transactions over the counter not cleared by LCH SA, for which there is a title transfer, for the French ‘pensions livrées’ and for securities lending and borrowing (see below).</w:t>
            </w:r>
          </w:p>
          <w:p w:rsidR="009310D4" w:rsidRDefault="009310D4" w:rsidP="009310D4">
            <w:pPr>
              <w:pStyle w:val="ListParagraph"/>
              <w:numPr>
                <w:ilvl w:val="0"/>
                <w:numId w:val="3"/>
              </w:numPr>
              <w:spacing w:before="120" w:after="200" w:line="276" w:lineRule="auto"/>
              <w:ind w:left="318" w:hanging="284"/>
              <w:contextualSpacing w:val="0"/>
              <w:jc w:val="both"/>
              <w:rPr>
                <w:rFonts w:eastAsia="MS Mincho" w:cs="Times New Roman"/>
                <w:bCs/>
                <w:noProof/>
                <w:szCs w:val="32"/>
              </w:rPr>
            </w:pPr>
            <w:r>
              <w:rPr>
                <w:rFonts w:eastAsia="MS Mincho" w:cs="Times New Roman"/>
                <w:bCs/>
                <w:noProof/>
                <w:szCs w:val="32"/>
              </w:rPr>
              <w:t>Securities lending and borrowing as created on June 17</w:t>
            </w:r>
            <w:r w:rsidRPr="009310D4">
              <w:rPr>
                <w:rFonts w:eastAsia="MS Mincho" w:cs="Times New Roman"/>
                <w:bCs/>
                <w:noProof/>
                <w:szCs w:val="32"/>
                <w:vertAlign w:val="superscript"/>
              </w:rPr>
              <w:t>th</w:t>
            </w:r>
            <w:r>
              <w:rPr>
                <w:rFonts w:eastAsia="MS Mincho" w:cs="Times New Roman"/>
                <w:bCs/>
                <w:noProof/>
                <w:szCs w:val="32"/>
              </w:rPr>
              <w:t xml:space="preserve"> 1987 by the French legislator, is a securities financing transaction consisting in a consumer loan articles 1892 and 1904 of the French Civil code, usually a loan secured by collateralized securities and/or cash. It is a transfer of securities, notably equities, made for a certain time in exchange for collateral.</w:t>
            </w:r>
          </w:p>
          <w:p w:rsidR="009310D4" w:rsidRPr="009310D4" w:rsidRDefault="009310D4" w:rsidP="009310D4">
            <w:pPr>
              <w:pStyle w:val="ListParagraph"/>
              <w:numPr>
                <w:ilvl w:val="0"/>
                <w:numId w:val="3"/>
              </w:numPr>
              <w:spacing w:before="120" w:after="200" w:line="276" w:lineRule="auto"/>
              <w:ind w:left="318" w:hanging="284"/>
              <w:contextualSpacing w:val="0"/>
              <w:jc w:val="both"/>
              <w:rPr>
                <w:rFonts w:eastAsia="MS Mincho" w:cs="Times New Roman"/>
                <w:bCs/>
                <w:noProof/>
                <w:szCs w:val="32"/>
              </w:rPr>
            </w:pPr>
            <w:r w:rsidRPr="009310D4">
              <w:rPr>
                <w:rFonts w:eastAsia="MS Mincho" w:cs="Times New Roman"/>
                <w:bCs/>
                <w:noProof/>
                <w:szCs w:val="32"/>
              </w:rPr>
              <w:t>Article L211-27 of the French Monetary and Financial Code defines</w:t>
            </w:r>
            <w:r w:rsidR="00FF1C23">
              <w:rPr>
                <w:rFonts w:eastAsia="MS Mincho" w:cs="Times New Roman"/>
                <w:bCs/>
                <w:noProof/>
                <w:szCs w:val="32"/>
              </w:rPr>
              <w:t xml:space="preserve"> the French ‘pensions livrées’ as such:</w:t>
            </w:r>
            <w:r w:rsidRPr="009310D4">
              <w:rPr>
                <w:rFonts w:eastAsia="MS Mincho" w:cs="Times New Roman"/>
                <w:bCs/>
                <w:noProof/>
                <w:szCs w:val="32"/>
              </w:rPr>
              <w:t xml:space="preserve"> </w:t>
            </w:r>
            <w:r w:rsidRPr="009310D4">
              <w:rPr>
                <w:rFonts w:eastAsia="MS Mincho" w:cs="Times New Roman"/>
                <w:bCs/>
                <w:i/>
                <w:noProof/>
                <w:szCs w:val="32"/>
              </w:rPr>
              <w:t>‘A repurchase agreement is the means by which a legal entity, common fund, real-estate investment trust or securitisation common fund assigns to another legal entity, common fund, real-estate investment trust or securitisation common fund, with full title and at an agreed price, financial securities, and through which the assignor and the assignee respectively and irrevocably undertake, the former, to take back the securities, and the latter, to sell them back at an agreed price and on an agreed date.’</w:t>
            </w:r>
          </w:p>
          <w:p w:rsidR="009310D4" w:rsidRDefault="00FF1C23" w:rsidP="00756030">
            <w:pPr>
              <w:spacing w:before="120"/>
              <w:jc w:val="both"/>
              <w:rPr>
                <w:rFonts w:eastAsia="MS Mincho" w:cs="Times New Roman"/>
                <w:noProof/>
                <w:szCs w:val="32"/>
              </w:rPr>
            </w:pPr>
            <w:r>
              <w:rPr>
                <w:rFonts w:eastAsia="MS Mincho" w:cs="Times New Roman"/>
                <w:noProof/>
                <w:szCs w:val="32"/>
              </w:rPr>
              <w:t>Both operations result in a title transfer.</w:t>
            </w:r>
          </w:p>
          <w:p w:rsidR="00FF1C23" w:rsidRDefault="00FF1C23" w:rsidP="00FF1C23">
            <w:pPr>
              <w:spacing w:before="120"/>
              <w:jc w:val="both"/>
              <w:rPr>
                <w:rFonts w:eastAsia="MS Mincho" w:cs="Times New Roman"/>
                <w:noProof/>
                <w:szCs w:val="32"/>
              </w:rPr>
            </w:pPr>
            <w:r>
              <w:rPr>
                <w:rFonts w:eastAsia="MS Mincho" w:cs="Times New Roman"/>
                <w:noProof/>
                <w:szCs w:val="32"/>
              </w:rPr>
              <w:t>Euroclear France presents a module to handle securities financing transactions, for both ‘pensions livrées’ and securities lending and borrowing. Only a limited number of operators still use</w:t>
            </w:r>
            <w:r w:rsidR="004F4C53">
              <w:rPr>
                <w:rFonts w:eastAsia="MS Mincho" w:cs="Times New Roman"/>
                <w:noProof/>
                <w:szCs w:val="32"/>
              </w:rPr>
              <w:t>d</w:t>
            </w:r>
            <w:r>
              <w:rPr>
                <w:rFonts w:eastAsia="MS Mincho" w:cs="Times New Roman"/>
                <w:noProof/>
                <w:szCs w:val="32"/>
              </w:rPr>
              <w:t xml:space="preserve"> it</w:t>
            </w:r>
            <w:r w:rsidR="004F4C53">
              <w:rPr>
                <w:rFonts w:eastAsia="MS Mincho" w:cs="Times New Roman"/>
                <w:noProof/>
                <w:szCs w:val="32"/>
              </w:rPr>
              <w:t xml:space="preserve"> before the migration</w:t>
            </w:r>
            <w:r>
              <w:rPr>
                <w:rFonts w:eastAsia="MS Mincho" w:cs="Times New Roman"/>
                <w:noProof/>
                <w:szCs w:val="32"/>
              </w:rPr>
              <w:t>.</w:t>
            </w:r>
          </w:p>
          <w:p w:rsidR="00FF1C23" w:rsidRDefault="00FF1C23" w:rsidP="00FF1C23">
            <w:pPr>
              <w:spacing w:before="120"/>
              <w:jc w:val="both"/>
              <w:rPr>
                <w:rFonts w:eastAsia="MS Mincho" w:cs="Times New Roman"/>
                <w:noProof/>
                <w:szCs w:val="32"/>
              </w:rPr>
            </w:pPr>
            <w:r>
              <w:rPr>
                <w:rFonts w:eastAsia="MS Mincho" w:cs="Times New Roman"/>
                <w:noProof/>
                <w:szCs w:val="32"/>
              </w:rPr>
              <w:t xml:space="preserve">This module automatically generates the far leg of the securities financing transaction with a fixed or variable rate (EONIA). This functionality also allows to </w:t>
            </w:r>
            <w:r>
              <w:rPr>
                <w:rFonts w:eastAsia="MS Mincho" w:cs="Times New Roman"/>
                <w:noProof/>
                <w:szCs w:val="32"/>
              </w:rPr>
              <w:lastRenderedPageBreak/>
              <w:t>ensure the retrocession of coupons to the lender throughout the lifecycle o</w:t>
            </w:r>
            <w:r w:rsidR="00CB7EEE">
              <w:rPr>
                <w:rFonts w:eastAsia="MS Mincho" w:cs="Times New Roman"/>
                <w:noProof/>
                <w:szCs w:val="32"/>
              </w:rPr>
              <w:t>f the contract, without fu</w:t>
            </w:r>
            <w:r>
              <w:rPr>
                <w:rFonts w:eastAsia="MS Mincho" w:cs="Times New Roman"/>
                <w:noProof/>
                <w:szCs w:val="32"/>
              </w:rPr>
              <w:t>rther action from the parties.</w:t>
            </w:r>
          </w:p>
          <w:p w:rsidR="00FF1C23" w:rsidRDefault="00FF1C23" w:rsidP="00FF1C23">
            <w:pPr>
              <w:spacing w:before="120"/>
              <w:jc w:val="both"/>
              <w:rPr>
                <w:rFonts w:eastAsia="MS Mincho" w:cs="Times New Roman"/>
                <w:noProof/>
                <w:szCs w:val="32"/>
              </w:rPr>
            </w:pPr>
            <w:r>
              <w:rPr>
                <w:rFonts w:eastAsia="MS Mincho" w:cs="Times New Roman"/>
                <w:noProof/>
                <w:szCs w:val="32"/>
              </w:rPr>
              <w:t>The module handles only one detection rule, whatever the type of securities.</w:t>
            </w:r>
          </w:p>
          <w:p w:rsidR="00FF1C23" w:rsidRDefault="00FF1C23" w:rsidP="00FF1C23">
            <w:pPr>
              <w:spacing w:before="120"/>
              <w:jc w:val="both"/>
              <w:rPr>
                <w:rFonts w:eastAsia="MS Mincho" w:cs="Times New Roman"/>
                <w:noProof/>
                <w:szCs w:val="32"/>
              </w:rPr>
            </w:pPr>
            <w:r>
              <w:rPr>
                <w:rFonts w:eastAsia="MS Mincho" w:cs="Times New Roman"/>
                <w:noProof/>
                <w:szCs w:val="32"/>
              </w:rPr>
              <w:t xml:space="preserve">Outside of Euroclear’s module, instructions are input as Buy/Sell transactions or </w:t>
            </w:r>
            <w:r w:rsidR="00CB7EEE">
              <w:rPr>
                <w:rFonts w:eastAsia="MS Mincho" w:cs="Times New Roman"/>
                <w:noProof/>
                <w:szCs w:val="32"/>
              </w:rPr>
              <w:t>‘</w:t>
            </w:r>
            <w:r>
              <w:rPr>
                <w:rFonts w:eastAsia="MS Mincho" w:cs="Times New Roman"/>
                <w:noProof/>
                <w:szCs w:val="32"/>
              </w:rPr>
              <w:t>cash trades</w:t>
            </w:r>
            <w:r w:rsidR="00CB7EEE">
              <w:rPr>
                <w:rFonts w:eastAsia="MS Mincho" w:cs="Times New Roman"/>
                <w:noProof/>
                <w:szCs w:val="32"/>
              </w:rPr>
              <w:t>’</w:t>
            </w:r>
            <w:r>
              <w:rPr>
                <w:rFonts w:eastAsia="MS Mincho" w:cs="Times New Roman"/>
                <w:noProof/>
                <w:szCs w:val="32"/>
              </w:rPr>
              <w:t>, market claims detection rules on these instructions through Euroclear’s SLAB module varying depending on the type of securities.</w:t>
            </w:r>
          </w:p>
          <w:p w:rsidR="00FF1C23" w:rsidRDefault="00FF1C23" w:rsidP="00FF1C23">
            <w:pPr>
              <w:pStyle w:val="ListParagraph"/>
              <w:numPr>
                <w:ilvl w:val="0"/>
                <w:numId w:val="3"/>
              </w:numPr>
              <w:spacing w:before="120" w:after="200" w:line="276" w:lineRule="auto"/>
              <w:ind w:left="318" w:hanging="284"/>
              <w:contextualSpacing w:val="0"/>
              <w:jc w:val="both"/>
              <w:rPr>
                <w:rFonts w:eastAsia="MS Mincho" w:cs="Times New Roman"/>
                <w:bCs/>
                <w:noProof/>
                <w:szCs w:val="32"/>
              </w:rPr>
            </w:pPr>
            <w:r>
              <w:rPr>
                <w:rFonts w:eastAsia="MS Mincho" w:cs="Times New Roman"/>
                <w:bCs/>
                <w:noProof/>
                <w:szCs w:val="32"/>
              </w:rPr>
              <w:t>Euroclear’s IT systems bears some limitations on the anteriority of the trade date (TD), that cannot be positioned more than 35 days ahead of the intended settlement date (ISD).</w:t>
            </w:r>
          </w:p>
          <w:p w:rsidR="00FF1C23" w:rsidRPr="00FF1C23" w:rsidRDefault="00FF1C23" w:rsidP="00CB7EEE">
            <w:pPr>
              <w:pStyle w:val="ListParagraph"/>
              <w:numPr>
                <w:ilvl w:val="0"/>
                <w:numId w:val="3"/>
              </w:numPr>
              <w:spacing w:before="120" w:after="200" w:line="276" w:lineRule="auto"/>
              <w:ind w:left="318" w:hanging="284"/>
              <w:contextualSpacing w:val="0"/>
              <w:jc w:val="both"/>
              <w:rPr>
                <w:rFonts w:eastAsia="MS Mincho" w:cs="Times New Roman"/>
                <w:bCs/>
                <w:noProof/>
                <w:szCs w:val="32"/>
              </w:rPr>
            </w:pPr>
            <w:r>
              <w:rPr>
                <w:rFonts w:eastAsia="MS Mincho" w:cs="Times New Roman"/>
                <w:bCs/>
                <w:noProof/>
                <w:szCs w:val="32"/>
              </w:rPr>
              <w:t>As regards market claim</w:t>
            </w:r>
            <w:r w:rsidR="00CB7EEE">
              <w:rPr>
                <w:rFonts w:eastAsia="MS Mincho" w:cs="Times New Roman"/>
                <w:bCs/>
                <w:noProof/>
                <w:szCs w:val="32"/>
              </w:rPr>
              <w:t>s</w:t>
            </w:r>
            <w:r>
              <w:rPr>
                <w:rFonts w:eastAsia="MS Mincho" w:cs="Times New Roman"/>
                <w:bCs/>
                <w:noProof/>
                <w:szCs w:val="32"/>
              </w:rPr>
              <w:t xml:space="preserve"> detection, </w:t>
            </w:r>
            <w:r w:rsidR="00CB7EEE">
              <w:rPr>
                <w:rFonts w:eastAsia="MS Mincho" w:cs="Times New Roman"/>
                <w:bCs/>
                <w:noProof/>
                <w:szCs w:val="32"/>
              </w:rPr>
              <w:t xml:space="preserve">the process </w:t>
            </w:r>
            <w:r>
              <w:rPr>
                <w:rFonts w:eastAsia="MS Mincho" w:cs="Times New Roman"/>
                <w:bCs/>
                <w:noProof/>
                <w:szCs w:val="32"/>
              </w:rPr>
              <w:t>is limited to 45 days after the record date (RD)</w:t>
            </w:r>
          </w:p>
        </w:tc>
      </w:tr>
      <w:tr w:rsidR="00B3406E" w:rsidRPr="007B4D1C" w:rsidTr="0091257E">
        <w:tc>
          <w:tcPr>
            <w:tcW w:w="2093" w:type="dxa"/>
            <w:tcBorders>
              <w:left w:val="nil"/>
              <w:right w:val="nil"/>
            </w:tcBorders>
          </w:tcPr>
          <w:p w:rsidR="00B3406E" w:rsidRPr="007B4D1C" w:rsidRDefault="00B3406E" w:rsidP="000E651B">
            <w:pPr>
              <w:rPr>
                <w:rFonts w:eastAsia="MS Mincho" w:cs="Times New Roman"/>
                <w:b/>
                <w:noProof/>
                <w:szCs w:val="32"/>
              </w:rPr>
            </w:pPr>
          </w:p>
        </w:tc>
        <w:tc>
          <w:tcPr>
            <w:tcW w:w="7513" w:type="dxa"/>
            <w:tcBorders>
              <w:left w:val="nil"/>
              <w:right w:val="nil"/>
            </w:tcBorders>
          </w:tcPr>
          <w:p w:rsidR="00B3406E" w:rsidRPr="007B4D1C" w:rsidRDefault="00B3406E" w:rsidP="00B26098">
            <w:pPr>
              <w:rPr>
                <w:rFonts w:eastAsia="MS Mincho" w:cs="Times New Roman"/>
                <w:noProof/>
                <w:szCs w:val="32"/>
              </w:rPr>
            </w:pPr>
          </w:p>
        </w:tc>
      </w:tr>
      <w:tr w:rsidR="00B3406E" w:rsidRPr="007B4D1C" w:rsidTr="0081511D">
        <w:tc>
          <w:tcPr>
            <w:tcW w:w="2093" w:type="dxa"/>
            <w:tcBorders>
              <w:bottom w:val="single" w:sz="4" w:space="0" w:color="auto"/>
            </w:tcBorders>
            <w:shd w:val="clear" w:color="auto" w:fill="BFBFBF" w:themeFill="background1" w:themeFillShade="BF"/>
          </w:tcPr>
          <w:p w:rsidR="00B3406E" w:rsidRPr="00343E9C" w:rsidRDefault="00B3406E" w:rsidP="000E651B">
            <w:pPr>
              <w:rPr>
                <w:rFonts w:eastAsia="MS Mincho" w:cs="Times New Roman"/>
                <w:b/>
                <w:noProof/>
                <w:szCs w:val="32"/>
              </w:rPr>
            </w:pPr>
            <w:r w:rsidRPr="00343E9C">
              <w:rPr>
                <w:rFonts w:eastAsia="MS Mincho" w:cs="Times New Roman"/>
                <w:b/>
                <w:noProof/>
                <w:szCs w:val="32"/>
              </w:rPr>
              <w:t>Description of the T2S impact</w:t>
            </w:r>
          </w:p>
        </w:tc>
        <w:tc>
          <w:tcPr>
            <w:tcW w:w="7513" w:type="dxa"/>
            <w:tcBorders>
              <w:bottom w:val="single" w:sz="4" w:space="0" w:color="auto"/>
            </w:tcBorders>
          </w:tcPr>
          <w:p w:rsidR="00B3406E" w:rsidRDefault="000A0704" w:rsidP="000A0704">
            <w:pPr>
              <w:spacing w:before="120" w:after="60"/>
              <w:jc w:val="both"/>
              <w:rPr>
                <w:rFonts w:eastAsia="MS Mincho" w:cs="Times New Roman"/>
                <w:noProof/>
                <w:szCs w:val="32"/>
              </w:rPr>
            </w:pPr>
            <w:r w:rsidRPr="000A0704">
              <w:rPr>
                <w:rFonts w:eastAsia="MS Mincho" w:cs="Times New Roman"/>
                <w:noProof/>
                <w:szCs w:val="32"/>
              </w:rPr>
              <w:t>The module ‘Pension Livrée’ will be decommissionned, securities financing transactions in T2S being instructed in a buy/sell mode.</w:t>
            </w:r>
          </w:p>
          <w:p w:rsidR="000A0704" w:rsidRDefault="000A0704" w:rsidP="000A0704">
            <w:pPr>
              <w:spacing w:before="120" w:after="60"/>
              <w:jc w:val="both"/>
              <w:rPr>
                <w:rFonts w:eastAsia="MS Mincho" w:cs="Times New Roman"/>
                <w:noProof/>
                <w:szCs w:val="32"/>
              </w:rPr>
            </w:pPr>
            <w:r>
              <w:rPr>
                <w:rFonts w:eastAsia="MS Mincho" w:cs="Times New Roman"/>
                <w:noProof/>
                <w:szCs w:val="32"/>
              </w:rPr>
              <w:t>The management of market claims will no longer be automatically managed by the module, involving changes in the procedures.</w:t>
            </w:r>
          </w:p>
          <w:p w:rsidR="000A0704" w:rsidRDefault="000A0704" w:rsidP="000A0704">
            <w:pPr>
              <w:pStyle w:val="ListParagraph"/>
              <w:numPr>
                <w:ilvl w:val="0"/>
                <w:numId w:val="3"/>
              </w:numPr>
              <w:spacing w:before="120" w:after="60" w:line="276" w:lineRule="auto"/>
              <w:ind w:left="318" w:hanging="284"/>
              <w:contextualSpacing w:val="0"/>
              <w:jc w:val="both"/>
              <w:rPr>
                <w:rFonts w:eastAsia="MS Mincho" w:cs="Times New Roman"/>
                <w:bCs/>
                <w:noProof/>
                <w:szCs w:val="32"/>
              </w:rPr>
            </w:pPr>
            <w:r>
              <w:rPr>
                <w:rFonts w:eastAsia="MS Mincho" w:cs="Times New Roman"/>
                <w:bCs/>
                <w:noProof/>
                <w:szCs w:val="32"/>
              </w:rPr>
              <w:t>T2S does not have limitations on the anteriority of the trade date (TD)</w:t>
            </w:r>
            <w:r w:rsidR="00367A12">
              <w:rPr>
                <w:rFonts w:eastAsia="MS Mincho" w:cs="Times New Roman"/>
                <w:bCs/>
                <w:noProof/>
                <w:szCs w:val="32"/>
              </w:rPr>
              <w:t>, that can</w:t>
            </w:r>
            <w:r>
              <w:rPr>
                <w:rFonts w:eastAsia="MS Mincho" w:cs="Times New Roman"/>
                <w:bCs/>
                <w:noProof/>
                <w:szCs w:val="32"/>
              </w:rPr>
              <w:t xml:space="preserve"> be positioned more than 35 days ahead of the intended settlement date (ISD).</w:t>
            </w:r>
          </w:p>
          <w:p w:rsidR="000A0704" w:rsidRPr="000A0704" w:rsidRDefault="000A0704" w:rsidP="00CB7EEE">
            <w:pPr>
              <w:pStyle w:val="ListParagraph"/>
              <w:numPr>
                <w:ilvl w:val="0"/>
                <w:numId w:val="3"/>
              </w:numPr>
              <w:spacing w:before="120" w:after="60" w:line="276" w:lineRule="auto"/>
              <w:ind w:left="318" w:hanging="284"/>
              <w:contextualSpacing w:val="0"/>
              <w:jc w:val="both"/>
              <w:rPr>
                <w:rFonts w:eastAsia="MS Mincho" w:cs="Times New Roman"/>
                <w:bCs/>
                <w:noProof/>
                <w:szCs w:val="32"/>
              </w:rPr>
            </w:pPr>
            <w:r w:rsidRPr="000A0704">
              <w:rPr>
                <w:rFonts w:eastAsia="MS Mincho" w:cs="Times New Roman"/>
                <w:bCs/>
                <w:noProof/>
                <w:szCs w:val="32"/>
              </w:rPr>
              <w:t>As regards market claim</w:t>
            </w:r>
            <w:r w:rsidR="00CB7EEE">
              <w:rPr>
                <w:rFonts w:eastAsia="MS Mincho" w:cs="Times New Roman"/>
                <w:bCs/>
                <w:noProof/>
                <w:szCs w:val="32"/>
              </w:rPr>
              <w:t>s</w:t>
            </w:r>
            <w:r w:rsidRPr="000A0704">
              <w:rPr>
                <w:rFonts w:eastAsia="MS Mincho" w:cs="Times New Roman"/>
                <w:bCs/>
                <w:noProof/>
                <w:szCs w:val="32"/>
              </w:rPr>
              <w:t xml:space="preserve"> detection, </w:t>
            </w:r>
            <w:r w:rsidR="00CB7EEE">
              <w:rPr>
                <w:rFonts w:eastAsia="MS Mincho" w:cs="Times New Roman"/>
                <w:bCs/>
                <w:noProof/>
                <w:szCs w:val="32"/>
              </w:rPr>
              <w:t xml:space="preserve">the process </w:t>
            </w:r>
            <w:r w:rsidR="00367A12">
              <w:rPr>
                <w:rFonts w:eastAsia="MS Mincho" w:cs="Times New Roman"/>
                <w:bCs/>
                <w:noProof/>
                <w:szCs w:val="32"/>
              </w:rPr>
              <w:t xml:space="preserve">will be </w:t>
            </w:r>
            <w:r w:rsidRPr="000A0704">
              <w:rPr>
                <w:rFonts w:eastAsia="MS Mincho" w:cs="Times New Roman"/>
                <w:bCs/>
                <w:noProof/>
                <w:szCs w:val="32"/>
              </w:rPr>
              <w:t xml:space="preserve">limited to </w:t>
            </w:r>
            <w:r w:rsidR="00367A12">
              <w:rPr>
                <w:rFonts w:eastAsia="MS Mincho" w:cs="Times New Roman"/>
                <w:bCs/>
                <w:noProof/>
                <w:szCs w:val="32"/>
              </w:rPr>
              <w:t>20</w:t>
            </w:r>
            <w:r w:rsidRPr="000A0704">
              <w:rPr>
                <w:rFonts w:eastAsia="MS Mincho" w:cs="Times New Roman"/>
                <w:bCs/>
                <w:noProof/>
                <w:szCs w:val="32"/>
              </w:rPr>
              <w:t xml:space="preserve"> days after the record date (RD)</w:t>
            </w:r>
            <w:r w:rsidR="00367A12">
              <w:rPr>
                <w:rFonts w:eastAsia="MS Mincho" w:cs="Times New Roman"/>
                <w:bCs/>
                <w:noProof/>
                <w:szCs w:val="32"/>
              </w:rPr>
              <w:t>.</w:t>
            </w:r>
          </w:p>
        </w:tc>
      </w:tr>
      <w:tr w:rsidR="0081511D" w:rsidRPr="007B4D1C" w:rsidTr="0081511D">
        <w:tc>
          <w:tcPr>
            <w:tcW w:w="2093" w:type="dxa"/>
            <w:tcBorders>
              <w:left w:val="nil"/>
              <w:right w:val="nil"/>
            </w:tcBorders>
            <w:shd w:val="clear" w:color="auto" w:fill="auto"/>
          </w:tcPr>
          <w:p w:rsidR="0081511D" w:rsidRPr="007B4D1C" w:rsidRDefault="0081511D" w:rsidP="00EC776F">
            <w:pPr>
              <w:rPr>
                <w:rFonts w:eastAsia="MS Mincho" w:cs="Times New Roman"/>
                <w:b/>
                <w:noProof/>
                <w:szCs w:val="32"/>
              </w:rPr>
            </w:pPr>
          </w:p>
        </w:tc>
        <w:tc>
          <w:tcPr>
            <w:tcW w:w="7513" w:type="dxa"/>
            <w:tcBorders>
              <w:left w:val="nil"/>
              <w:right w:val="nil"/>
            </w:tcBorders>
            <w:shd w:val="clear" w:color="auto" w:fill="auto"/>
          </w:tcPr>
          <w:p w:rsidR="0081511D" w:rsidRPr="007B4D1C" w:rsidRDefault="0081511D" w:rsidP="0081511D">
            <w:pPr>
              <w:rPr>
                <w:rFonts w:eastAsia="MS Mincho" w:cs="Times New Roman"/>
                <w:b/>
                <w:noProof/>
                <w:szCs w:val="32"/>
              </w:rPr>
            </w:pPr>
          </w:p>
        </w:tc>
      </w:tr>
      <w:tr w:rsidR="00B3406E" w:rsidRPr="00CB5DDB" w:rsidTr="0081511D">
        <w:tc>
          <w:tcPr>
            <w:tcW w:w="2093" w:type="dxa"/>
            <w:shd w:val="clear" w:color="auto" w:fill="BFBFBF" w:themeFill="background1" w:themeFillShade="BF"/>
          </w:tcPr>
          <w:p w:rsidR="00B3406E" w:rsidRPr="000C4CA6" w:rsidRDefault="00B3406E" w:rsidP="000E651B">
            <w:pPr>
              <w:rPr>
                <w:rFonts w:eastAsia="MS Mincho" w:cs="Times New Roman"/>
                <w:b/>
                <w:noProof/>
                <w:szCs w:val="32"/>
              </w:rPr>
            </w:pPr>
            <w:r w:rsidRPr="003348A6">
              <w:rPr>
                <w:rFonts w:eastAsia="MS Mincho" w:cs="Times New Roman"/>
                <w:b/>
                <w:noProof/>
                <w:szCs w:val="32"/>
              </w:rPr>
              <w:t>Description of the major issue</w:t>
            </w:r>
          </w:p>
        </w:tc>
        <w:tc>
          <w:tcPr>
            <w:tcW w:w="7513" w:type="dxa"/>
          </w:tcPr>
          <w:p w:rsidR="00B3406E" w:rsidRDefault="00367A12" w:rsidP="00367A12">
            <w:pPr>
              <w:pStyle w:val="ListParagraph"/>
              <w:numPr>
                <w:ilvl w:val="0"/>
                <w:numId w:val="3"/>
              </w:numPr>
              <w:spacing w:before="120" w:after="60"/>
              <w:ind w:left="318" w:hanging="284"/>
              <w:contextualSpacing w:val="0"/>
              <w:jc w:val="both"/>
              <w:rPr>
                <w:rFonts w:eastAsia="MS Mincho" w:cs="Times New Roman"/>
                <w:bCs/>
                <w:noProof/>
                <w:szCs w:val="32"/>
              </w:rPr>
            </w:pPr>
            <w:r>
              <w:rPr>
                <w:rFonts w:eastAsia="MS Mincho" w:cs="Times New Roman"/>
                <w:bCs/>
                <w:noProof/>
                <w:szCs w:val="32"/>
              </w:rPr>
              <w:t>In T2S, instructions on the near leg and the far leg are input in a buy/sell mode, corresponding to DVP/RVP</w:t>
            </w:r>
            <w:r w:rsidRPr="00367A12">
              <w:rPr>
                <w:rFonts w:eastAsia="MS Mincho" w:cs="Times New Roman"/>
                <w:bCs/>
                <w:noProof/>
                <w:szCs w:val="32"/>
              </w:rPr>
              <w:t>.</w:t>
            </w:r>
          </w:p>
          <w:p w:rsidR="00367A12" w:rsidRDefault="00367A12" w:rsidP="00367A12">
            <w:pPr>
              <w:pStyle w:val="ListParagraph"/>
              <w:numPr>
                <w:ilvl w:val="0"/>
                <w:numId w:val="3"/>
              </w:numPr>
              <w:spacing w:before="120" w:after="60"/>
              <w:ind w:left="318" w:hanging="284"/>
              <w:contextualSpacing w:val="0"/>
              <w:jc w:val="both"/>
              <w:rPr>
                <w:rFonts w:eastAsia="MS Mincho" w:cs="Times New Roman"/>
                <w:bCs/>
                <w:noProof/>
                <w:szCs w:val="32"/>
              </w:rPr>
            </w:pPr>
            <w:r>
              <w:rPr>
                <w:rFonts w:eastAsia="MS Mincho" w:cs="Times New Roman"/>
                <w:bCs/>
                <w:noProof/>
                <w:szCs w:val="32"/>
              </w:rPr>
              <w:t xml:space="preserve">The proceeds of corporate actions on stock are the </w:t>
            </w:r>
            <w:r w:rsidR="004F4C53">
              <w:rPr>
                <w:rFonts w:eastAsia="MS Mincho" w:cs="Times New Roman"/>
                <w:bCs/>
                <w:noProof/>
                <w:szCs w:val="32"/>
              </w:rPr>
              <w:t xml:space="preserve">ownership </w:t>
            </w:r>
            <w:r>
              <w:rPr>
                <w:rFonts w:eastAsia="MS Mincho" w:cs="Times New Roman"/>
                <w:bCs/>
                <w:noProof/>
                <w:szCs w:val="32"/>
              </w:rPr>
              <w:t>of the counterparty who has the securities at the CSD (Euroclear France) at the time of the record date, usually the borrower.</w:t>
            </w:r>
          </w:p>
          <w:p w:rsidR="00367A12" w:rsidRDefault="00367A12" w:rsidP="00234A2C">
            <w:pPr>
              <w:pStyle w:val="ListParagraph"/>
              <w:numPr>
                <w:ilvl w:val="0"/>
                <w:numId w:val="3"/>
              </w:numPr>
              <w:spacing w:before="120" w:after="60"/>
              <w:ind w:left="318" w:hanging="284"/>
              <w:contextualSpacing w:val="0"/>
              <w:jc w:val="both"/>
              <w:rPr>
                <w:rFonts w:eastAsia="MS Mincho" w:cs="Times New Roman"/>
                <w:bCs/>
                <w:noProof/>
                <w:szCs w:val="32"/>
              </w:rPr>
            </w:pPr>
            <w:r>
              <w:rPr>
                <w:rFonts w:eastAsia="MS Mincho" w:cs="Times New Roman"/>
                <w:bCs/>
                <w:noProof/>
                <w:szCs w:val="32"/>
              </w:rPr>
              <w:t>Market claim management rules vary depending on the nature of the securities (capital or debt) and their accounting mode (UNT, FMT).</w:t>
            </w:r>
          </w:p>
          <w:p w:rsidR="00FE5C88" w:rsidRPr="00FE5C88" w:rsidRDefault="00FE5C88" w:rsidP="00FE5C88">
            <w:pPr>
              <w:spacing w:before="120" w:after="60"/>
              <w:jc w:val="both"/>
              <w:rPr>
                <w:rFonts w:eastAsia="MS Mincho" w:cs="Times New Roman"/>
                <w:bCs/>
                <w:noProof/>
                <w:szCs w:val="32"/>
              </w:rPr>
            </w:pPr>
            <w:r>
              <w:rPr>
                <w:rFonts w:eastAsia="MS Mincho" w:cs="Times New Roman"/>
                <w:bCs/>
                <w:noProof/>
                <w:szCs w:val="32"/>
              </w:rPr>
              <w:t>These rules are detailed in the appendix to this market practice. They show the diversity of the rules and also the exceptional character of the actual detection of market claims (see appendix).</w:t>
            </w:r>
          </w:p>
        </w:tc>
      </w:tr>
      <w:tr w:rsidR="00B3406E" w:rsidRPr="00CB5DDB" w:rsidTr="006542ED">
        <w:tc>
          <w:tcPr>
            <w:tcW w:w="2093" w:type="dxa"/>
            <w:tcBorders>
              <w:left w:val="nil"/>
              <w:right w:val="nil"/>
            </w:tcBorders>
            <w:shd w:val="clear" w:color="auto" w:fill="auto"/>
          </w:tcPr>
          <w:p w:rsidR="00B3406E" w:rsidRPr="00CB5DDB" w:rsidRDefault="00B3406E" w:rsidP="000E651B">
            <w:pPr>
              <w:rPr>
                <w:rFonts w:eastAsia="MS Mincho" w:cs="Times New Roman"/>
                <w:b/>
                <w:noProof/>
                <w:szCs w:val="32"/>
              </w:rPr>
            </w:pPr>
          </w:p>
        </w:tc>
        <w:tc>
          <w:tcPr>
            <w:tcW w:w="7513" w:type="dxa"/>
            <w:tcBorders>
              <w:left w:val="nil"/>
              <w:right w:val="nil"/>
            </w:tcBorders>
            <w:shd w:val="clear" w:color="auto" w:fill="auto"/>
          </w:tcPr>
          <w:p w:rsidR="00B3406E" w:rsidRPr="00CB5DDB" w:rsidRDefault="00B3406E" w:rsidP="006542ED">
            <w:pPr>
              <w:rPr>
                <w:rFonts w:eastAsia="MS Mincho" w:cs="Times New Roman"/>
                <w:b/>
                <w:noProof/>
                <w:szCs w:val="32"/>
              </w:rPr>
            </w:pPr>
          </w:p>
        </w:tc>
      </w:tr>
      <w:tr w:rsidR="00B3406E" w:rsidRPr="005E593C" w:rsidTr="0081511D">
        <w:tc>
          <w:tcPr>
            <w:tcW w:w="2093" w:type="dxa"/>
            <w:shd w:val="clear" w:color="auto" w:fill="BFBFBF" w:themeFill="background1" w:themeFillShade="BF"/>
          </w:tcPr>
          <w:p w:rsidR="00B3406E" w:rsidRPr="003348A6" w:rsidRDefault="00B3406E" w:rsidP="000E651B">
            <w:pPr>
              <w:rPr>
                <w:rFonts w:eastAsia="MS Mincho" w:cs="Times New Roman"/>
                <w:b/>
                <w:noProof/>
                <w:szCs w:val="32"/>
              </w:rPr>
            </w:pPr>
            <w:r w:rsidRPr="003348A6">
              <w:rPr>
                <w:rFonts w:eastAsia="MS Mincho" w:cs="Times New Roman"/>
                <w:b/>
                <w:noProof/>
                <w:szCs w:val="32"/>
              </w:rPr>
              <w:t xml:space="preserve">Description of the roles and responsibilities of </w:t>
            </w:r>
            <w:r w:rsidRPr="003348A6">
              <w:rPr>
                <w:rFonts w:eastAsia="MS Mincho" w:cs="Times New Roman"/>
                <w:b/>
                <w:noProof/>
                <w:szCs w:val="32"/>
              </w:rPr>
              <w:lastRenderedPageBreak/>
              <w:t>the ac</w:t>
            </w:r>
            <w:r>
              <w:rPr>
                <w:rFonts w:eastAsia="MS Mincho" w:cs="Times New Roman"/>
                <w:b/>
                <w:noProof/>
                <w:szCs w:val="32"/>
              </w:rPr>
              <w:t>to</w:t>
            </w:r>
            <w:r w:rsidRPr="003348A6">
              <w:rPr>
                <w:rFonts w:eastAsia="MS Mincho" w:cs="Times New Roman"/>
                <w:b/>
                <w:noProof/>
                <w:szCs w:val="32"/>
              </w:rPr>
              <w:t xml:space="preserve">rs involved </w:t>
            </w:r>
          </w:p>
          <w:p w:rsidR="00B3406E" w:rsidRPr="00FE5C88" w:rsidRDefault="00B3406E" w:rsidP="000E651B">
            <w:pPr>
              <w:rPr>
                <w:rFonts w:eastAsia="MS Mincho" w:cs="Times New Roman"/>
                <w:b/>
                <w:noProof/>
                <w:szCs w:val="32"/>
              </w:rPr>
            </w:pPr>
            <w:r w:rsidRPr="00FE5C88">
              <w:rPr>
                <w:rFonts w:eastAsia="MS Mincho" w:cs="Times New Roman"/>
                <w:b/>
                <w:noProof/>
                <w:szCs w:val="32"/>
              </w:rPr>
              <w:t>(OPTIONAL)</w:t>
            </w:r>
          </w:p>
        </w:tc>
        <w:tc>
          <w:tcPr>
            <w:tcW w:w="7513" w:type="dxa"/>
          </w:tcPr>
          <w:p w:rsidR="00B3406E" w:rsidRPr="005E593C" w:rsidRDefault="00B3406E" w:rsidP="005E593C">
            <w:pPr>
              <w:spacing w:beforeLines="60" w:before="144"/>
              <w:jc w:val="both"/>
              <w:rPr>
                <w:rFonts w:cs="Tahoma"/>
                <w:lang w:eastAsia="fr-FR"/>
              </w:rPr>
            </w:pPr>
          </w:p>
        </w:tc>
      </w:tr>
      <w:tr w:rsidR="00B3406E" w:rsidRPr="005E593C" w:rsidTr="006542ED">
        <w:tc>
          <w:tcPr>
            <w:tcW w:w="2093" w:type="dxa"/>
            <w:tcBorders>
              <w:left w:val="nil"/>
              <w:right w:val="nil"/>
            </w:tcBorders>
            <w:shd w:val="clear" w:color="auto" w:fill="auto"/>
          </w:tcPr>
          <w:p w:rsidR="00B3406E" w:rsidRPr="005E593C" w:rsidRDefault="00B3406E" w:rsidP="000E651B">
            <w:pPr>
              <w:rPr>
                <w:rFonts w:eastAsia="MS Mincho" w:cs="Times New Roman"/>
                <w:b/>
                <w:noProof/>
                <w:szCs w:val="32"/>
              </w:rPr>
            </w:pPr>
          </w:p>
        </w:tc>
        <w:tc>
          <w:tcPr>
            <w:tcW w:w="7513" w:type="dxa"/>
            <w:tcBorders>
              <w:left w:val="nil"/>
              <w:right w:val="nil"/>
            </w:tcBorders>
            <w:shd w:val="clear" w:color="auto" w:fill="auto"/>
          </w:tcPr>
          <w:p w:rsidR="00B3406E" w:rsidRPr="005E593C" w:rsidRDefault="00B3406E" w:rsidP="006542ED">
            <w:pPr>
              <w:rPr>
                <w:rFonts w:eastAsia="MS Mincho" w:cs="Times New Roman"/>
                <w:b/>
                <w:noProof/>
                <w:szCs w:val="32"/>
              </w:rPr>
            </w:pPr>
          </w:p>
        </w:tc>
      </w:tr>
      <w:tr w:rsidR="00B3406E" w:rsidRPr="0081511D" w:rsidTr="0081511D">
        <w:tc>
          <w:tcPr>
            <w:tcW w:w="2093" w:type="dxa"/>
            <w:shd w:val="clear" w:color="auto" w:fill="BFBFBF" w:themeFill="background1" w:themeFillShade="BF"/>
          </w:tcPr>
          <w:p w:rsidR="00B3406E" w:rsidRDefault="00B3406E" w:rsidP="000E651B">
            <w:pPr>
              <w:rPr>
                <w:rFonts w:eastAsia="MS Mincho" w:cs="Times New Roman"/>
                <w:b/>
                <w:noProof/>
                <w:szCs w:val="32"/>
                <w:lang w:val="fr-FR"/>
              </w:rPr>
            </w:pPr>
            <w:r>
              <w:rPr>
                <w:rFonts w:eastAsia="MS Mincho" w:cs="Times New Roman"/>
                <w:b/>
                <w:noProof/>
                <w:szCs w:val="32"/>
                <w:lang w:val="fr-FR"/>
              </w:rPr>
              <w:t>Workflows</w:t>
            </w:r>
          </w:p>
          <w:p w:rsidR="00B3406E" w:rsidRDefault="00B3406E" w:rsidP="000E651B">
            <w:pPr>
              <w:rPr>
                <w:rFonts w:eastAsia="MS Mincho" w:cs="Times New Roman"/>
                <w:b/>
                <w:noProof/>
                <w:szCs w:val="32"/>
                <w:lang w:val="fr-FR"/>
              </w:rPr>
            </w:pPr>
            <w:r>
              <w:rPr>
                <w:rFonts w:eastAsia="MS Mincho" w:cs="Times New Roman"/>
                <w:b/>
                <w:noProof/>
                <w:szCs w:val="32"/>
                <w:lang w:val="fr-FR"/>
              </w:rPr>
              <w:t>(OPTIONAL)</w:t>
            </w:r>
          </w:p>
        </w:tc>
        <w:tc>
          <w:tcPr>
            <w:tcW w:w="7513" w:type="dxa"/>
          </w:tcPr>
          <w:p w:rsidR="00B3406E" w:rsidRPr="00FD2FD6" w:rsidRDefault="00B3406E" w:rsidP="0081511D">
            <w:pPr>
              <w:rPr>
                <w:rFonts w:eastAsia="MS Mincho" w:cs="Times New Roman"/>
                <w:noProof/>
                <w:szCs w:val="32"/>
                <w:lang w:val="fr-FR"/>
              </w:rPr>
            </w:pPr>
          </w:p>
        </w:tc>
      </w:tr>
      <w:tr w:rsidR="00B3406E" w:rsidRPr="0081511D" w:rsidTr="006542ED">
        <w:tc>
          <w:tcPr>
            <w:tcW w:w="2093" w:type="dxa"/>
            <w:tcBorders>
              <w:left w:val="nil"/>
              <w:right w:val="nil"/>
            </w:tcBorders>
            <w:shd w:val="clear" w:color="auto" w:fill="auto"/>
          </w:tcPr>
          <w:p w:rsidR="00B3406E" w:rsidRDefault="00B3406E" w:rsidP="000E651B">
            <w:pPr>
              <w:rPr>
                <w:rFonts w:eastAsia="MS Mincho" w:cs="Times New Roman"/>
                <w:b/>
                <w:noProof/>
                <w:szCs w:val="32"/>
                <w:lang w:val="fr-FR"/>
              </w:rPr>
            </w:pPr>
          </w:p>
        </w:tc>
        <w:tc>
          <w:tcPr>
            <w:tcW w:w="7513" w:type="dxa"/>
            <w:tcBorders>
              <w:left w:val="nil"/>
              <w:right w:val="nil"/>
            </w:tcBorders>
            <w:shd w:val="clear" w:color="auto" w:fill="auto"/>
          </w:tcPr>
          <w:p w:rsidR="00B3406E" w:rsidRPr="0081511D" w:rsidRDefault="00B3406E" w:rsidP="006542ED">
            <w:pPr>
              <w:rPr>
                <w:rFonts w:eastAsia="MS Mincho" w:cs="Times New Roman"/>
                <w:b/>
                <w:noProof/>
                <w:szCs w:val="32"/>
                <w:lang w:val="fr-FR"/>
              </w:rPr>
            </w:pPr>
          </w:p>
        </w:tc>
      </w:tr>
      <w:tr w:rsidR="00B3406E" w:rsidRPr="00113071" w:rsidTr="0091257E">
        <w:tc>
          <w:tcPr>
            <w:tcW w:w="2093" w:type="dxa"/>
            <w:tcBorders>
              <w:bottom w:val="single" w:sz="4" w:space="0" w:color="auto"/>
            </w:tcBorders>
            <w:shd w:val="clear" w:color="auto" w:fill="BFBFBF" w:themeFill="background1" w:themeFillShade="BF"/>
          </w:tcPr>
          <w:p w:rsidR="00B3406E" w:rsidRPr="003348A6" w:rsidRDefault="00B3406E" w:rsidP="000E651B">
            <w:pPr>
              <w:rPr>
                <w:rFonts w:eastAsia="MS Mincho" w:cs="Times New Roman"/>
                <w:b/>
                <w:noProof/>
                <w:szCs w:val="32"/>
              </w:rPr>
            </w:pPr>
            <w:r w:rsidRPr="003348A6">
              <w:rPr>
                <w:rFonts w:eastAsia="MS Mincho" w:cs="Times New Roman"/>
                <w:b/>
                <w:noProof/>
                <w:szCs w:val="32"/>
              </w:rPr>
              <w:t>Links with other market practices</w:t>
            </w:r>
          </w:p>
        </w:tc>
        <w:tc>
          <w:tcPr>
            <w:tcW w:w="7513" w:type="dxa"/>
            <w:tcBorders>
              <w:bottom w:val="single" w:sz="4" w:space="0" w:color="auto"/>
            </w:tcBorders>
          </w:tcPr>
          <w:p w:rsidR="00367A12" w:rsidRPr="00CB7EEE" w:rsidRDefault="00367A12" w:rsidP="00CB7EEE">
            <w:pPr>
              <w:pStyle w:val="ListParagraph"/>
              <w:numPr>
                <w:ilvl w:val="0"/>
                <w:numId w:val="12"/>
              </w:numPr>
              <w:ind w:left="317" w:hanging="218"/>
              <w:rPr>
                <w:rFonts w:eastAsia="MS Mincho" w:cs="Times New Roman"/>
                <w:noProof/>
                <w:szCs w:val="32"/>
              </w:rPr>
            </w:pPr>
            <w:r w:rsidRPr="00CB7EEE">
              <w:rPr>
                <w:rFonts w:eastAsia="MS Mincho" w:cs="Times New Roman"/>
                <w:noProof/>
                <w:szCs w:val="32"/>
              </w:rPr>
              <w:t>MS-SETTL-CESSIONTEMP-02</w:t>
            </w:r>
            <w:r w:rsidR="00CB7EEE" w:rsidRPr="00CB7EEE">
              <w:rPr>
                <w:rFonts w:eastAsia="MS Mincho" w:cs="Times New Roman"/>
                <w:i/>
                <w:noProof/>
                <w:szCs w:val="32"/>
              </w:rPr>
              <w:t xml:space="preserve"> - Post-T2S management of securities financing transactions</w:t>
            </w:r>
          </w:p>
          <w:p w:rsidR="00367A12" w:rsidRPr="00CB7EEE" w:rsidRDefault="00367A12" w:rsidP="00CB7EEE">
            <w:pPr>
              <w:pStyle w:val="ListParagraph"/>
              <w:numPr>
                <w:ilvl w:val="0"/>
                <w:numId w:val="12"/>
              </w:numPr>
              <w:ind w:left="317" w:hanging="218"/>
              <w:rPr>
                <w:rFonts w:eastAsia="MS Mincho" w:cs="Times New Roman"/>
                <w:noProof/>
                <w:szCs w:val="32"/>
              </w:rPr>
            </w:pPr>
            <w:r w:rsidRPr="00CB7EEE">
              <w:rPr>
                <w:rFonts w:eastAsia="MS Mincho" w:cs="Times New Roman"/>
                <w:noProof/>
                <w:szCs w:val="32"/>
              </w:rPr>
              <w:t>OF-FLUX-CESSIONSTEMPORAIRES-01</w:t>
            </w:r>
            <w:r w:rsidR="00CB7EEE" w:rsidRPr="00CB7EEE">
              <w:rPr>
                <w:rFonts w:eastAsia="MS Mincho" w:cs="Times New Roman"/>
                <w:i/>
                <w:noProof/>
                <w:szCs w:val="32"/>
              </w:rPr>
              <w:t xml:space="preserve"> - Management of Market Claims in the context of the switch of securities financing transactions in a buy/sell mode</w:t>
            </w:r>
          </w:p>
          <w:p w:rsidR="00B3406E" w:rsidRPr="00AE20EB" w:rsidRDefault="00367A12" w:rsidP="00CB7EEE">
            <w:pPr>
              <w:pStyle w:val="ListParagraph"/>
              <w:numPr>
                <w:ilvl w:val="0"/>
                <w:numId w:val="12"/>
              </w:numPr>
              <w:spacing w:before="120"/>
              <w:ind w:left="317" w:hanging="218"/>
              <w:jc w:val="both"/>
              <w:rPr>
                <w:rFonts w:eastAsia="MS Mincho" w:cs="Times New Roman"/>
                <w:noProof/>
                <w:szCs w:val="32"/>
              </w:rPr>
            </w:pPr>
            <w:r w:rsidRPr="00CB7EEE">
              <w:rPr>
                <w:rFonts w:eastAsia="MS Mincho" w:cs="Times New Roman"/>
                <w:noProof/>
                <w:szCs w:val="32"/>
              </w:rPr>
              <w:t>MS-MATCH-CRITE-03</w:t>
            </w:r>
            <w:r w:rsidR="00CB7EEE" w:rsidRPr="00CB7EEE">
              <w:rPr>
                <w:rFonts w:eastAsia="MS Mincho" w:cs="Times New Roman"/>
                <w:i/>
                <w:noProof/>
                <w:szCs w:val="32"/>
              </w:rPr>
              <w:t xml:space="preserve"> - Use of additional matching fields</w:t>
            </w:r>
          </w:p>
        </w:tc>
      </w:tr>
    </w:tbl>
    <w:p w:rsidR="001E0D83" w:rsidRPr="00AE20EB" w:rsidRDefault="001E0D83" w:rsidP="00D103DA">
      <w:pPr>
        <w:spacing w:after="0" w:line="240" w:lineRule="auto"/>
        <w:rPr>
          <w:rFonts w:eastAsia="MS Mincho" w:cs="Times New Roman"/>
          <w:noProof/>
          <w:szCs w:val="32"/>
        </w:rPr>
      </w:pPr>
    </w:p>
    <w:p w:rsidR="0081511D" w:rsidRPr="00AE20EB" w:rsidRDefault="0081511D" w:rsidP="00D103DA">
      <w:pPr>
        <w:spacing w:after="0" w:line="240" w:lineRule="auto"/>
        <w:rPr>
          <w:rFonts w:eastAsia="MS Mincho" w:cs="Times New Roman"/>
          <w:noProof/>
          <w:szCs w:val="32"/>
        </w:rPr>
      </w:pPr>
    </w:p>
    <w:p w:rsidR="00B3406E" w:rsidRPr="004F6025" w:rsidRDefault="00B3406E" w:rsidP="00B3406E">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Recommended market practice</w:t>
      </w:r>
    </w:p>
    <w:p w:rsidR="0081511D" w:rsidRDefault="0081511D" w:rsidP="00D103DA">
      <w:pPr>
        <w:spacing w:after="0" w:line="240" w:lineRule="auto"/>
        <w:rPr>
          <w:rFonts w:eastAsia="MS Mincho" w:cs="Times New Roman"/>
          <w:noProof/>
          <w:szCs w:val="32"/>
          <w:lang w:val="fr-FR"/>
        </w:rPr>
      </w:pPr>
    </w:p>
    <w:tbl>
      <w:tblPr>
        <w:tblStyle w:val="TableGrid"/>
        <w:tblW w:w="9606" w:type="dxa"/>
        <w:tblLook w:val="04A0" w:firstRow="1" w:lastRow="0" w:firstColumn="1" w:lastColumn="0" w:noHBand="0" w:noVBand="1"/>
      </w:tblPr>
      <w:tblGrid>
        <w:gridCol w:w="2093"/>
        <w:gridCol w:w="7483"/>
        <w:gridCol w:w="30"/>
      </w:tblGrid>
      <w:tr w:rsidR="00B3406E" w:rsidRPr="008D0CDE" w:rsidTr="0081511D">
        <w:trPr>
          <w:gridAfter w:val="1"/>
          <w:wAfter w:w="30" w:type="dxa"/>
        </w:trPr>
        <w:tc>
          <w:tcPr>
            <w:tcW w:w="2093" w:type="dxa"/>
            <w:shd w:val="clear" w:color="auto" w:fill="BFBFBF" w:themeFill="background1" w:themeFillShade="BF"/>
          </w:tcPr>
          <w:p w:rsidR="00B3406E" w:rsidRPr="00D103DA" w:rsidRDefault="00B3406E" w:rsidP="000E651B">
            <w:pPr>
              <w:rPr>
                <w:rFonts w:eastAsia="MS Mincho" w:cs="Times New Roman"/>
                <w:b/>
                <w:noProof/>
                <w:szCs w:val="32"/>
                <w:lang w:val="fr-FR"/>
              </w:rPr>
            </w:pPr>
            <w:r>
              <w:rPr>
                <w:rFonts w:eastAsia="MS Mincho" w:cs="Times New Roman"/>
                <w:b/>
                <w:noProof/>
                <w:szCs w:val="32"/>
                <w:lang w:val="fr-FR"/>
              </w:rPr>
              <w:t>Recommended practice</w:t>
            </w:r>
          </w:p>
        </w:tc>
        <w:tc>
          <w:tcPr>
            <w:tcW w:w="7483" w:type="dxa"/>
          </w:tcPr>
          <w:p w:rsidR="001F21F9" w:rsidRDefault="00280082" w:rsidP="00280082">
            <w:pPr>
              <w:spacing w:before="120"/>
              <w:jc w:val="both"/>
              <w:rPr>
                <w:rFonts w:cs="Tahoma"/>
                <w:lang w:eastAsia="fr-FR"/>
              </w:rPr>
            </w:pPr>
            <w:r>
              <w:rPr>
                <w:rFonts w:cs="Tahoma"/>
                <w:lang w:eastAsia="fr-FR"/>
              </w:rPr>
              <w:t xml:space="preserve">The management rules for market claim detection depend on the account mode of the security: unit (UNT) or nominal (FMT). </w:t>
            </w:r>
            <w:r w:rsidR="00FE5C88">
              <w:rPr>
                <w:rFonts w:cs="Tahoma"/>
                <w:lang w:eastAsia="fr-FR"/>
              </w:rPr>
              <w:t>The study in appendix to this market practice shows the non-systematic character of the detection of market claims, considering the date of input of the far leg and the business rule to fill the trade date (TD)</w:t>
            </w:r>
            <w:r>
              <w:rPr>
                <w:rFonts w:cs="Tahoma"/>
                <w:lang w:eastAsia="fr-FR"/>
              </w:rPr>
              <w:t>.</w:t>
            </w:r>
          </w:p>
          <w:p w:rsidR="00280082" w:rsidRDefault="00280082" w:rsidP="00A03851">
            <w:pPr>
              <w:spacing w:before="120"/>
              <w:jc w:val="both"/>
              <w:rPr>
                <w:rFonts w:eastAsia="MS Mincho" w:cs="Times New Roman"/>
                <w:noProof/>
                <w:szCs w:val="32"/>
              </w:rPr>
            </w:pPr>
            <w:r>
              <w:rPr>
                <w:rFonts w:cs="Tahoma"/>
                <w:lang w:eastAsia="fr-FR"/>
              </w:rPr>
              <w:t>The use of the additional matching criterion OPT-OUT would allow from an operational point of view to systematically ensure that no coupon retrocession is automatically generated by Euroclear France</w:t>
            </w:r>
            <w:r w:rsidR="00A03851">
              <w:rPr>
                <w:rFonts w:cs="Tahoma"/>
                <w:lang w:eastAsia="fr-FR"/>
              </w:rPr>
              <w:t>, neither</w:t>
            </w:r>
            <w:r>
              <w:rPr>
                <w:rFonts w:cs="Tahoma"/>
                <w:lang w:eastAsia="fr-FR"/>
              </w:rPr>
              <w:t xml:space="preserve"> on the near leg nor on the far leg. To this end, the additional field </w:t>
            </w:r>
            <w:r w:rsidR="00A03851" w:rsidRPr="00A03851">
              <w:rPr>
                <w:rFonts w:eastAsia="MS Mincho" w:cs="Times New Roman"/>
                <w:noProof/>
                <w:szCs w:val="32"/>
              </w:rPr>
              <w:t>« Settlement Transaction Condition Indicator »</w:t>
            </w:r>
            <w:r w:rsidR="00A03851">
              <w:rPr>
                <w:rFonts w:eastAsia="MS Mincho" w:cs="Times New Roman"/>
                <w:noProof/>
                <w:szCs w:val="32"/>
              </w:rPr>
              <w:t xml:space="preserve"> should be set at ‘NOMC’ (No Market Claim) in the instructions between counterparties. Nonetheless, the use of such indicator, even if it ensures a single rule applicable to all counterparties, cannot be recommended for the following reasons:</w:t>
            </w:r>
          </w:p>
          <w:p w:rsidR="00A03851" w:rsidRPr="00A03851" w:rsidRDefault="00A03851" w:rsidP="00A03851">
            <w:pPr>
              <w:pStyle w:val="ListParagraph"/>
              <w:numPr>
                <w:ilvl w:val="0"/>
                <w:numId w:val="15"/>
              </w:numPr>
              <w:spacing w:before="120"/>
              <w:jc w:val="both"/>
              <w:rPr>
                <w:rFonts w:eastAsia="MS Mincho" w:cs="Times New Roman"/>
                <w:b/>
                <w:noProof/>
                <w:szCs w:val="32"/>
              </w:rPr>
            </w:pPr>
            <w:r w:rsidRPr="00A03851">
              <w:rPr>
                <w:rFonts w:eastAsia="MS Mincho" w:cs="Times New Roman"/>
                <w:b/>
                <w:noProof/>
                <w:szCs w:val="32"/>
              </w:rPr>
              <w:t>Issue common to all types of securities financing transactions</w:t>
            </w:r>
          </w:p>
          <w:p w:rsidR="00A03851" w:rsidRDefault="004D78AA" w:rsidP="00A03851">
            <w:pPr>
              <w:spacing w:before="120"/>
              <w:jc w:val="both"/>
              <w:rPr>
                <w:rFonts w:cs="Tahoma"/>
                <w:lang w:eastAsia="fr-FR"/>
              </w:rPr>
            </w:pPr>
            <w:r>
              <w:rPr>
                <w:rFonts w:cs="Tahoma"/>
                <w:lang w:eastAsia="fr-FR"/>
              </w:rPr>
              <w:t>Two elements must be considered:</w:t>
            </w:r>
          </w:p>
          <w:p w:rsidR="004D78AA" w:rsidRDefault="004D78AA" w:rsidP="004D78AA">
            <w:pPr>
              <w:pStyle w:val="ListParagraph"/>
              <w:numPr>
                <w:ilvl w:val="0"/>
                <w:numId w:val="16"/>
              </w:numPr>
              <w:spacing w:before="120"/>
              <w:jc w:val="both"/>
              <w:rPr>
                <w:rFonts w:cs="Tahoma"/>
                <w:lang w:eastAsia="fr-FR"/>
              </w:rPr>
            </w:pPr>
            <w:r>
              <w:rPr>
                <w:rFonts w:cs="Tahoma"/>
                <w:lang w:eastAsia="fr-FR"/>
              </w:rPr>
              <w:t>The fiscal impact</w:t>
            </w:r>
          </w:p>
          <w:p w:rsidR="004D78AA" w:rsidRDefault="004D78AA" w:rsidP="004D78AA">
            <w:pPr>
              <w:spacing w:before="120"/>
              <w:jc w:val="both"/>
              <w:rPr>
                <w:rFonts w:cs="Tahoma"/>
                <w:lang w:eastAsia="fr-FR"/>
              </w:rPr>
            </w:pPr>
            <w:r>
              <w:rPr>
                <w:rFonts w:cs="Tahoma"/>
                <w:lang w:eastAsia="fr-FR"/>
              </w:rPr>
              <w:t xml:space="preserve">These indicators having an </w:t>
            </w:r>
            <w:r w:rsidR="00361180">
              <w:rPr>
                <w:rFonts w:cs="Tahoma"/>
                <w:lang w:eastAsia="fr-FR"/>
              </w:rPr>
              <w:t>effect on the transfer of title</w:t>
            </w:r>
            <w:r>
              <w:rPr>
                <w:rFonts w:cs="Tahoma"/>
                <w:lang w:eastAsia="fr-FR"/>
              </w:rPr>
              <w:t xml:space="preserve"> and thus on the party subject to taxes, their use leads to questions on the recommendation depending on the type of transactions, ‘pensions </w:t>
            </w:r>
            <w:proofErr w:type="spellStart"/>
            <w:r>
              <w:rPr>
                <w:rFonts w:cs="Tahoma"/>
                <w:lang w:eastAsia="fr-FR"/>
              </w:rPr>
              <w:t>livrées</w:t>
            </w:r>
            <w:proofErr w:type="spellEnd"/>
            <w:r>
              <w:rPr>
                <w:rFonts w:cs="Tahoma"/>
                <w:lang w:eastAsia="fr-FR"/>
              </w:rPr>
              <w:t>’ or securities lending and borrowing.</w:t>
            </w:r>
          </w:p>
          <w:p w:rsidR="004D78AA" w:rsidRDefault="004D78AA" w:rsidP="004D78AA">
            <w:pPr>
              <w:pStyle w:val="ListParagraph"/>
              <w:numPr>
                <w:ilvl w:val="0"/>
                <w:numId w:val="16"/>
              </w:numPr>
              <w:spacing w:before="120"/>
              <w:jc w:val="both"/>
              <w:rPr>
                <w:rFonts w:cs="Tahoma"/>
                <w:lang w:eastAsia="fr-FR"/>
              </w:rPr>
            </w:pPr>
            <w:r>
              <w:rPr>
                <w:rFonts w:cs="Tahoma"/>
                <w:lang w:eastAsia="fr-FR"/>
              </w:rPr>
              <w:t>Mismatching of instructions</w:t>
            </w:r>
          </w:p>
          <w:p w:rsidR="004D78AA" w:rsidRDefault="004D78AA" w:rsidP="004D78AA">
            <w:pPr>
              <w:spacing w:before="120"/>
              <w:jc w:val="both"/>
              <w:rPr>
                <w:rFonts w:cs="Tahoma"/>
                <w:lang w:eastAsia="fr-FR"/>
              </w:rPr>
            </w:pPr>
            <w:r>
              <w:rPr>
                <w:rFonts w:cs="Tahoma"/>
                <w:lang w:eastAsia="fr-FR"/>
              </w:rPr>
              <w:t>A risk of mismatching is implied by the use of this additional matching criterion that must be filled by both counterparties.</w:t>
            </w:r>
          </w:p>
          <w:p w:rsidR="004D78AA" w:rsidRDefault="004D78AA" w:rsidP="004D78AA">
            <w:pPr>
              <w:spacing w:before="120"/>
              <w:jc w:val="both"/>
              <w:rPr>
                <w:rFonts w:cs="Tahoma"/>
                <w:lang w:eastAsia="fr-FR"/>
              </w:rPr>
            </w:pPr>
          </w:p>
          <w:p w:rsidR="004D78AA" w:rsidRPr="004D78AA" w:rsidRDefault="004D78AA" w:rsidP="004D78AA">
            <w:pPr>
              <w:pStyle w:val="ListParagraph"/>
              <w:numPr>
                <w:ilvl w:val="0"/>
                <w:numId w:val="17"/>
              </w:numPr>
              <w:spacing w:before="120"/>
              <w:jc w:val="both"/>
              <w:rPr>
                <w:rFonts w:cs="Tahoma"/>
                <w:b/>
                <w:lang w:eastAsia="fr-FR"/>
              </w:rPr>
            </w:pPr>
            <w:r w:rsidRPr="004D78AA">
              <w:rPr>
                <w:rFonts w:cs="Tahoma"/>
                <w:b/>
                <w:lang w:eastAsia="fr-FR"/>
              </w:rPr>
              <w:lastRenderedPageBreak/>
              <w:t>Fiscal impact</w:t>
            </w:r>
          </w:p>
          <w:p w:rsidR="004D78AA" w:rsidRDefault="004D78AA" w:rsidP="004D78AA">
            <w:pPr>
              <w:spacing w:before="120"/>
              <w:jc w:val="both"/>
              <w:rPr>
                <w:rFonts w:cs="Tahoma"/>
                <w:lang w:eastAsia="fr-FR"/>
              </w:rPr>
            </w:pPr>
            <w:r>
              <w:rPr>
                <w:rFonts w:cs="Tahoma"/>
                <w:lang w:eastAsia="fr-FR"/>
              </w:rPr>
              <w:t>The use of CUM/EX and OPT-OUT indicators reverse the direction or neutralize market claims, potentially implying a lack of transparency in their detection by the IT systems of custodians.</w:t>
            </w:r>
          </w:p>
          <w:p w:rsidR="004D78AA" w:rsidRDefault="004D78AA" w:rsidP="004D78AA">
            <w:pPr>
              <w:spacing w:before="120"/>
              <w:jc w:val="both"/>
              <w:rPr>
                <w:rFonts w:cs="Tahoma"/>
                <w:lang w:eastAsia="fr-FR"/>
              </w:rPr>
            </w:pPr>
            <w:r>
              <w:rPr>
                <w:rFonts w:cs="Tahoma"/>
                <w:lang w:eastAsia="fr-FR"/>
              </w:rPr>
              <w:t xml:space="preserve">They modify the transfer of title and thus the beneficiary of the corporate action, who could end not being the actual tax payer and lead to fiscal arbitrage, which is forbidden in France, notably in cases of coupon or dividend payments allowing for credits on taxes or </w:t>
            </w:r>
            <w:r w:rsidR="00361180">
              <w:rPr>
                <w:rFonts w:cs="Tahoma"/>
                <w:lang w:eastAsia="fr-FR"/>
              </w:rPr>
              <w:t xml:space="preserve">on </w:t>
            </w:r>
            <w:r>
              <w:rPr>
                <w:rFonts w:cs="Tahoma"/>
                <w:lang w:eastAsia="fr-FR"/>
              </w:rPr>
              <w:t>withholding tax (see appendix 2 of the market practice).</w:t>
            </w:r>
          </w:p>
          <w:p w:rsidR="004D78AA" w:rsidRDefault="004D78AA" w:rsidP="004D78AA">
            <w:pPr>
              <w:spacing w:before="120"/>
              <w:jc w:val="both"/>
              <w:rPr>
                <w:rFonts w:cs="Tahoma"/>
                <w:lang w:eastAsia="fr-FR"/>
              </w:rPr>
            </w:pPr>
            <w:r>
              <w:rPr>
                <w:rFonts w:cs="Tahoma"/>
                <w:lang w:eastAsia="fr-FR"/>
              </w:rPr>
              <w:t>To be noted that securities financing contracts under French law (notably under FBF or AFTI agreements) refer to a suspension of the transaction when this type of corporate action occurs.</w:t>
            </w:r>
          </w:p>
          <w:p w:rsidR="004D78AA" w:rsidRDefault="004D78AA" w:rsidP="004D78AA">
            <w:pPr>
              <w:spacing w:before="120"/>
              <w:jc w:val="both"/>
              <w:rPr>
                <w:rFonts w:cs="Tahoma"/>
                <w:lang w:eastAsia="fr-FR"/>
              </w:rPr>
            </w:pPr>
            <w:r>
              <w:rPr>
                <w:rFonts w:cs="Tahoma"/>
                <w:lang w:eastAsia="fr-FR"/>
              </w:rPr>
              <w:t xml:space="preserve">This situation may lead to a responsibility of the custodian, considering they are responsible towards the tax authorities for collecting tax information and </w:t>
            </w:r>
            <w:r w:rsidR="004521D0">
              <w:rPr>
                <w:rFonts w:cs="Tahoma"/>
                <w:lang w:eastAsia="fr-FR"/>
              </w:rPr>
              <w:t>proceeds. They could notably be considered responsible, directly or indirectly, of fiscal arbitrage.</w:t>
            </w:r>
          </w:p>
          <w:p w:rsidR="004521D0" w:rsidRDefault="004521D0" w:rsidP="004D78AA">
            <w:pPr>
              <w:spacing w:before="120"/>
              <w:jc w:val="both"/>
              <w:rPr>
                <w:rFonts w:cs="Tahoma"/>
                <w:lang w:eastAsia="fr-FR"/>
              </w:rPr>
            </w:pPr>
            <w:proofErr w:type="gramStart"/>
            <w:r>
              <w:rPr>
                <w:rFonts w:cs="Tahoma"/>
                <w:lang w:eastAsia="fr-FR"/>
              </w:rPr>
              <w:t>A that</w:t>
            </w:r>
            <w:proofErr w:type="gramEnd"/>
            <w:r>
              <w:rPr>
                <w:rFonts w:cs="Tahoma"/>
                <w:lang w:eastAsia="fr-FR"/>
              </w:rPr>
              <w:t xml:space="preserve"> stage, prudence should prevail in the use of these indicators.</w:t>
            </w:r>
          </w:p>
          <w:p w:rsidR="004521D0" w:rsidRDefault="004521D0" w:rsidP="004D78AA">
            <w:pPr>
              <w:spacing w:before="120"/>
              <w:jc w:val="both"/>
              <w:rPr>
                <w:rFonts w:cs="Tahoma"/>
                <w:lang w:eastAsia="fr-FR"/>
              </w:rPr>
            </w:pPr>
          </w:p>
          <w:p w:rsidR="004521D0" w:rsidRPr="004521D0" w:rsidRDefault="004521D0" w:rsidP="004521D0">
            <w:pPr>
              <w:pStyle w:val="ListParagraph"/>
              <w:numPr>
                <w:ilvl w:val="0"/>
                <w:numId w:val="17"/>
              </w:numPr>
              <w:spacing w:before="120"/>
              <w:jc w:val="both"/>
              <w:rPr>
                <w:rFonts w:cs="Tahoma"/>
                <w:b/>
                <w:lang w:eastAsia="fr-FR"/>
              </w:rPr>
            </w:pPr>
            <w:r w:rsidRPr="004521D0">
              <w:rPr>
                <w:rFonts w:cs="Tahoma"/>
                <w:b/>
                <w:lang w:eastAsia="fr-FR"/>
              </w:rPr>
              <w:t>Mismatching of instructions</w:t>
            </w:r>
          </w:p>
          <w:p w:rsidR="004521D0" w:rsidRDefault="005B7B22" w:rsidP="005B7B22">
            <w:pPr>
              <w:spacing w:before="120"/>
              <w:jc w:val="both"/>
              <w:rPr>
                <w:rFonts w:cs="Tahoma"/>
                <w:lang w:eastAsia="fr-FR"/>
              </w:rPr>
            </w:pPr>
            <w:r>
              <w:rPr>
                <w:rFonts w:cs="Tahoma"/>
                <w:lang w:eastAsia="fr-FR"/>
              </w:rPr>
              <w:t xml:space="preserve">Market operators on ‘pensions </w:t>
            </w:r>
            <w:proofErr w:type="spellStart"/>
            <w:r>
              <w:rPr>
                <w:rFonts w:cs="Tahoma"/>
                <w:lang w:eastAsia="fr-FR"/>
              </w:rPr>
              <w:t>livrées</w:t>
            </w:r>
            <w:proofErr w:type="spellEnd"/>
            <w:r>
              <w:rPr>
                <w:rFonts w:cs="Tahoma"/>
                <w:lang w:eastAsia="fr-FR"/>
              </w:rPr>
              <w:t>’ (transactions usually on securities in FMT</w:t>
            </w:r>
            <w:r w:rsidR="00361180">
              <w:rPr>
                <w:rFonts w:cs="Tahoma"/>
                <w:lang w:eastAsia="fr-FR"/>
              </w:rPr>
              <w:t>)</w:t>
            </w:r>
            <w:r>
              <w:rPr>
                <w:rFonts w:cs="Tahoma"/>
                <w:lang w:eastAsia="fr-FR"/>
              </w:rPr>
              <w:t xml:space="preserve"> and on securities lending and borrowing (transactions usually on securities in UNT) dot not wish to use these indicators, which could,  when used in an un</w:t>
            </w:r>
            <w:r w:rsidR="00361180">
              <w:rPr>
                <w:rFonts w:cs="Tahoma"/>
                <w:lang w:eastAsia="fr-FR"/>
              </w:rPr>
              <w:t>-</w:t>
            </w:r>
            <w:r>
              <w:rPr>
                <w:rFonts w:cs="Tahoma"/>
                <w:lang w:eastAsia="fr-FR"/>
              </w:rPr>
              <w:t>harmonized way, involve delays in the matching and the settlement of instructions. It is important to remind that these indicators must be filled identically by both parties so instructions can match.</w:t>
            </w:r>
          </w:p>
          <w:p w:rsidR="005B7B22" w:rsidRDefault="005B7B22" w:rsidP="005B7B22">
            <w:pPr>
              <w:spacing w:before="120"/>
              <w:jc w:val="both"/>
              <w:rPr>
                <w:rFonts w:cs="Tahoma"/>
                <w:lang w:eastAsia="fr-FR"/>
              </w:rPr>
            </w:pPr>
          </w:p>
          <w:p w:rsidR="005B7B22" w:rsidRPr="005B7B22" w:rsidRDefault="005B7B22" w:rsidP="005B7B22">
            <w:pPr>
              <w:pStyle w:val="ListParagraph"/>
              <w:numPr>
                <w:ilvl w:val="0"/>
                <w:numId w:val="17"/>
              </w:numPr>
              <w:spacing w:before="120"/>
              <w:jc w:val="both"/>
              <w:rPr>
                <w:rFonts w:cs="Tahoma"/>
                <w:b/>
                <w:lang w:eastAsia="fr-FR"/>
              </w:rPr>
            </w:pPr>
            <w:r w:rsidRPr="005B7B22">
              <w:rPr>
                <w:rFonts w:cs="Tahoma"/>
                <w:b/>
                <w:lang w:eastAsia="fr-FR"/>
              </w:rPr>
              <w:t>Analysis by type of securities financing transaction</w:t>
            </w:r>
          </w:p>
          <w:p w:rsidR="005B7B22" w:rsidRPr="005B7B22" w:rsidRDefault="005B7B22" w:rsidP="005B7B22">
            <w:pPr>
              <w:pStyle w:val="ListParagraph"/>
              <w:numPr>
                <w:ilvl w:val="0"/>
                <w:numId w:val="18"/>
              </w:numPr>
              <w:spacing w:before="120"/>
              <w:ind w:left="714" w:hanging="357"/>
              <w:contextualSpacing w:val="0"/>
              <w:jc w:val="both"/>
              <w:rPr>
                <w:rFonts w:cs="Tahoma"/>
                <w:lang w:eastAsia="fr-FR"/>
              </w:rPr>
            </w:pPr>
            <w:r>
              <w:rPr>
                <w:rFonts w:cs="Tahoma"/>
                <w:lang w:eastAsia="fr-FR"/>
              </w:rPr>
              <w:t xml:space="preserve">‘Pensions </w:t>
            </w:r>
            <w:proofErr w:type="spellStart"/>
            <w:r>
              <w:rPr>
                <w:rFonts w:cs="Tahoma"/>
                <w:lang w:eastAsia="fr-FR"/>
              </w:rPr>
              <w:t>livrées</w:t>
            </w:r>
            <w:proofErr w:type="spellEnd"/>
            <w:r>
              <w:rPr>
                <w:rFonts w:cs="Tahoma"/>
                <w:lang w:eastAsia="fr-FR"/>
              </w:rPr>
              <w:t>’ (repurchase agreements)</w:t>
            </w:r>
          </w:p>
          <w:p w:rsidR="005B7B22" w:rsidRDefault="005B7B22" w:rsidP="005B7B22">
            <w:pPr>
              <w:spacing w:before="120"/>
              <w:jc w:val="both"/>
              <w:rPr>
                <w:rFonts w:cs="Tahoma"/>
                <w:u w:val="single"/>
                <w:lang w:eastAsia="fr-FR"/>
              </w:rPr>
            </w:pPr>
            <w:r>
              <w:rPr>
                <w:rFonts w:cs="Tahoma"/>
                <w:u w:val="single"/>
                <w:lang w:eastAsia="fr-FR"/>
              </w:rPr>
              <w:t>Harmonization of the trade date (TD)</w:t>
            </w:r>
          </w:p>
          <w:p w:rsidR="005B7B22" w:rsidRDefault="005B7B22" w:rsidP="005B7B22">
            <w:pPr>
              <w:spacing w:before="120"/>
              <w:jc w:val="both"/>
              <w:rPr>
                <w:rFonts w:cs="Tahoma"/>
                <w:lang w:eastAsia="fr-FR"/>
              </w:rPr>
            </w:pPr>
            <w:r>
              <w:rPr>
                <w:rFonts w:cs="Tahoma"/>
                <w:lang w:eastAsia="fr-FR"/>
              </w:rPr>
              <w:t>The AFTI market workgroup on Bonds &amp; Collateral wishes to design a common practice for ‘</w:t>
            </w:r>
            <w:proofErr w:type="gramStart"/>
            <w:r>
              <w:rPr>
                <w:rFonts w:cs="Tahoma"/>
                <w:lang w:eastAsia="fr-FR"/>
              </w:rPr>
              <w:t>pensions</w:t>
            </w:r>
            <w:proofErr w:type="gramEnd"/>
            <w:r>
              <w:rPr>
                <w:rFonts w:cs="Tahoma"/>
                <w:lang w:eastAsia="fr-FR"/>
              </w:rPr>
              <w:t xml:space="preserve"> </w:t>
            </w:r>
            <w:proofErr w:type="spellStart"/>
            <w:r>
              <w:rPr>
                <w:rFonts w:cs="Tahoma"/>
                <w:lang w:eastAsia="fr-FR"/>
              </w:rPr>
              <w:t>livrées</w:t>
            </w:r>
            <w:proofErr w:type="spellEnd"/>
            <w:r>
              <w:rPr>
                <w:rFonts w:cs="Tahoma"/>
                <w:lang w:eastAsia="fr-FR"/>
              </w:rPr>
              <w:t xml:space="preserve">’, notably a TD on the far leg set at the TD of the original contract (cf. MS-SETTL-CESSIONSTEMP-02). To be noted that the guidelines on repurchase transactions by ICMA (July 2015) can be the reference as the practice related to the </w:t>
            </w:r>
            <w:r w:rsidR="00361180">
              <w:rPr>
                <w:rFonts w:cs="Tahoma"/>
                <w:lang w:eastAsia="fr-FR"/>
              </w:rPr>
              <w:t>crystallization</w:t>
            </w:r>
            <w:r>
              <w:rPr>
                <w:rFonts w:cs="Tahoma"/>
                <w:lang w:eastAsia="fr-FR"/>
              </w:rPr>
              <w:t xml:space="preserve"> of repos already refers to it for determining the appropriate rate to be applied.</w:t>
            </w:r>
          </w:p>
          <w:p w:rsidR="005B7B22" w:rsidRDefault="005B7B22" w:rsidP="005B7B22">
            <w:pPr>
              <w:spacing w:before="120"/>
              <w:jc w:val="both"/>
              <w:rPr>
                <w:rFonts w:cs="Tahoma"/>
                <w:u w:val="single"/>
                <w:lang w:eastAsia="fr-FR"/>
              </w:rPr>
            </w:pPr>
            <w:r>
              <w:rPr>
                <w:rFonts w:cs="Tahoma"/>
                <w:u w:val="single"/>
                <w:lang w:eastAsia="fr-FR"/>
              </w:rPr>
              <w:t>Functional analysis of market claims</w:t>
            </w:r>
          </w:p>
          <w:p w:rsidR="005B7B22" w:rsidRDefault="00E13B9B" w:rsidP="005B7B22">
            <w:pPr>
              <w:spacing w:before="120"/>
              <w:jc w:val="both"/>
              <w:rPr>
                <w:rFonts w:cs="Tahoma"/>
                <w:lang w:eastAsia="fr-FR"/>
              </w:rPr>
            </w:pPr>
            <w:r>
              <w:rPr>
                <w:rFonts w:cs="Tahoma"/>
                <w:lang w:eastAsia="fr-FR"/>
              </w:rPr>
              <w:t>The study in appendix shows that c</w:t>
            </w:r>
            <w:r w:rsidR="005B7B22">
              <w:rPr>
                <w:rFonts w:cs="Tahoma"/>
                <w:lang w:eastAsia="fr-FR"/>
              </w:rPr>
              <w:t xml:space="preserve">ases of market claims are less frequent on </w:t>
            </w:r>
            <w:r w:rsidR="005B7B22">
              <w:rPr>
                <w:rFonts w:cs="Tahoma"/>
                <w:lang w:eastAsia="fr-FR"/>
              </w:rPr>
              <w:lastRenderedPageBreak/>
              <w:t>FMT securities, even as the trade date of the far leg is set at the original trade date of the contract. They in effect only concern failed instructions, where actual settlement is posterior to the intended settlement date.</w:t>
            </w:r>
          </w:p>
          <w:p w:rsidR="005B7B22" w:rsidRDefault="005B7B22" w:rsidP="005B7B22">
            <w:pPr>
              <w:spacing w:before="120"/>
              <w:jc w:val="both"/>
              <w:rPr>
                <w:rFonts w:cs="Tahoma"/>
                <w:lang w:eastAsia="fr-FR"/>
              </w:rPr>
            </w:pPr>
            <w:r>
              <w:rPr>
                <w:rFonts w:cs="Tahoma"/>
                <w:lang w:eastAsia="fr-FR"/>
              </w:rPr>
              <w:t>To be noted that certain repurchase transactions affect securities in UNT (equities), for which the issue of market claim is more frequent.</w:t>
            </w:r>
          </w:p>
          <w:p w:rsidR="005B7B22" w:rsidRDefault="005B7B22" w:rsidP="005B7B22">
            <w:pPr>
              <w:pStyle w:val="ListParagraph"/>
              <w:numPr>
                <w:ilvl w:val="0"/>
                <w:numId w:val="18"/>
              </w:numPr>
              <w:spacing w:before="120"/>
              <w:jc w:val="both"/>
              <w:rPr>
                <w:rFonts w:cs="Tahoma"/>
                <w:lang w:eastAsia="fr-FR"/>
              </w:rPr>
            </w:pPr>
            <w:r>
              <w:rPr>
                <w:rFonts w:cs="Tahoma"/>
                <w:lang w:eastAsia="fr-FR"/>
              </w:rPr>
              <w:t>Securities lending and borrowing</w:t>
            </w:r>
          </w:p>
          <w:p w:rsidR="005B7B22" w:rsidRDefault="005B7B22" w:rsidP="005B7B22">
            <w:pPr>
              <w:spacing w:before="120"/>
              <w:jc w:val="both"/>
              <w:rPr>
                <w:rFonts w:cs="Tahoma"/>
                <w:lang w:eastAsia="fr-FR"/>
              </w:rPr>
            </w:pPr>
            <w:r>
              <w:rPr>
                <w:rFonts w:cs="Tahoma"/>
                <w:lang w:eastAsia="fr-FR"/>
              </w:rPr>
              <w:t>Securities lending and borrowing is already handled in buy/sell mode (over the counter). Market operators avoid to trade around corporate action periods to avoid market claims.</w:t>
            </w:r>
          </w:p>
          <w:p w:rsidR="005B7B22" w:rsidRDefault="005010F8" w:rsidP="005010F8">
            <w:pPr>
              <w:spacing w:before="120"/>
              <w:jc w:val="both"/>
              <w:rPr>
                <w:rFonts w:cs="Tahoma"/>
                <w:lang w:eastAsia="fr-FR"/>
              </w:rPr>
            </w:pPr>
            <w:r>
              <w:rPr>
                <w:rFonts w:cs="Tahoma"/>
                <w:lang w:eastAsia="fr-FR"/>
              </w:rPr>
              <w:t>It does not appear to be necessary to set the trade date of the far leg at the original trade date of the contract. Both legs are distinct, and counterparties set the trade date based on a bilateral agreement depending on market conditions.</w:t>
            </w:r>
          </w:p>
          <w:p w:rsidR="005010F8" w:rsidRDefault="005010F8" w:rsidP="005010F8">
            <w:pPr>
              <w:spacing w:before="120"/>
              <w:jc w:val="both"/>
              <w:rPr>
                <w:rFonts w:cs="Tahoma"/>
                <w:lang w:eastAsia="fr-FR"/>
              </w:rPr>
            </w:pPr>
            <w:r>
              <w:rPr>
                <w:rFonts w:cs="Tahoma"/>
                <w:lang w:eastAsia="fr-FR"/>
              </w:rPr>
              <w:t>To avoid market claims, they can set at the same date both the trade date and the intended settlement date.</w:t>
            </w:r>
          </w:p>
          <w:p w:rsidR="005010F8" w:rsidRDefault="005010F8" w:rsidP="005010F8">
            <w:pPr>
              <w:spacing w:before="120"/>
              <w:jc w:val="both"/>
              <w:rPr>
                <w:rFonts w:cs="Tahoma"/>
                <w:lang w:eastAsia="fr-FR"/>
              </w:rPr>
            </w:pPr>
            <w:r>
              <w:rPr>
                <w:rFonts w:cs="Tahoma"/>
                <w:lang w:eastAsia="fr-FR"/>
              </w:rPr>
              <w:t>Considering the types of securities and the market claim management rules</w:t>
            </w:r>
            <w:r w:rsidR="00E13B9B">
              <w:rPr>
                <w:rFonts w:cs="Tahoma"/>
                <w:lang w:eastAsia="fr-FR"/>
              </w:rPr>
              <w:t xml:space="preserve"> (see appendix)</w:t>
            </w:r>
            <w:bookmarkStart w:id="0" w:name="_GoBack"/>
            <w:bookmarkEnd w:id="0"/>
            <w:r>
              <w:rPr>
                <w:rFonts w:cs="Tahoma"/>
                <w:lang w:eastAsia="fr-FR"/>
              </w:rPr>
              <w:t>, any gap between the trade date and the intended settlement date can lead to market claims when a corporate action occurs during the initiation or the restitution phases.</w:t>
            </w:r>
          </w:p>
          <w:p w:rsidR="005010F8" w:rsidRDefault="005010F8" w:rsidP="005010F8">
            <w:pPr>
              <w:spacing w:before="120"/>
              <w:jc w:val="both"/>
              <w:rPr>
                <w:rFonts w:cs="Tahoma"/>
                <w:lang w:eastAsia="fr-FR"/>
              </w:rPr>
            </w:pPr>
            <w:r>
              <w:rPr>
                <w:rFonts w:cs="Tahoma"/>
                <w:lang w:eastAsia="fr-FR"/>
              </w:rPr>
              <w:t>As is the case today, attention will be required from market operators on these operations.</w:t>
            </w:r>
          </w:p>
          <w:p w:rsidR="005010F8" w:rsidRPr="005010F8" w:rsidRDefault="005010F8" w:rsidP="005010F8">
            <w:pPr>
              <w:spacing w:before="120"/>
              <w:jc w:val="both"/>
              <w:rPr>
                <w:rFonts w:cs="Tahoma"/>
                <w:b/>
                <w:lang w:eastAsia="fr-FR"/>
              </w:rPr>
            </w:pPr>
            <w:r w:rsidRPr="005010F8">
              <w:rPr>
                <w:rFonts w:cs="Tahoma"/>
                <w:b/>
                <w:lang w:eastAsia="fr-FR"/>
              </w:rPr>
              <w:t>Synthesis</w:t>
            </w:r>
          </w:p>
          <w:p w:rsidR="005010F8" w:rsidRDefault="005010F8" w:rsidP="005010F8">
            <w:pPr>
              <w:spacing w:before="120"/>
              <w:jc w:val="both"/>
              <w:rPr>
                <w:rFonts w:cs="Tahoma"/>
                <w:lang w:eastAsia="fr-FR"/>
              </w:rPr>
            </w:pPr>
            <w:r>
              <w:rPr>
                <w:rFonts w:cs="Tahoma"/>
                <w:lang w:eastAsia="fr-FR"/>
              </w:rPr>
              <w:t>Market operators must remain careful in the management of market claims as, depending on the type of operation and security, IT systems may or may not generate market claims; the most important factor being the respect of contract and tax provisions.</w:t>
            </w:r>
          </w:p>
          <w:p w:rsidR="005010F8" w:rsidRDefault="005010F8" w:rsidP="005010F8">
            <w:pPr>
              <w:spacing w:before="120"/>
              <w:jc w:val="both"/>
              <w:rPr>
                <w:rFonts w:cs="Tahoma"/>
                <w:lang w:eastAsia="fr-FR"/>
              </w:rPr>
            </w:pPr>
            <w:r>
              <w:rPr>
                <w:rFonts w:cs="Tahoma"/>
                <w:lang w:eastAsia="fr-FR"/>
              </w:rPr>
              <w:t xml:space="preserve">As a consequence of the above mentioned analysis, the additional matching criteria ‘CUM/EX, OPT-OUT) should not be </w:t>
            </w:r>
            <w:proofErr w:type="gramStart"/>
            <w:r>
              <w:rPr>
                <w:rFonts w:cs="Tahoma"/>
                <w:lang w:eastAsia="fr-FR"/>
              </w:rPr>
              <w:t>used,</w:t>
            </w:r>
            <w:proofErr w:type="gramEnd"/>
            <w:r>
              <w:rPr>
                <w:rFonts w:cs="Tahoma"/>
                <w:lang w:eastAsia="fr-FR"/>
              </w:rPr>
              <w:t xml:space="preserve"> and set at blank.</w:t>
            </w:r>
          </w:p>
          <w:p w:rsidR="005010F8" w:rsidRDefault="005010F8" w:rsidP="00033FBF">
            <w:pPr>
              <w:spacing w:before="120"/>
              <w:jc w:val="both"/>
              <w:rPr>
                <w:rFonts w:cs="Tahoma"/>
                <w:lang w:eastAsia="fr-FR"/>
              </w:rPr>
            </w:pPr>
            <w:r>
              <w:rPr>
                <w:rFonts w:cs="Tahoma"/>
                <w:lang w:eastAsia="fr-FR"/>
              </w:rPr>
              <w:t xml:space="preserve">Counterparties </w:t>
            </w:r>
            <w:proofErr w:type="gramStart"/>
            <w:r>
              <w:rPr>
                <w:rFonts w:cs="Tahoma"/>
                <w:lang w:eastAsia="fr-FR"/>
              </w:rPr>
              <w:t>to a securities</w:t>
            </w:r>
            <w:proofErr w:type="gramEnd"/>
            <w:r>
              <w:rPr>
                <w:rFonts w:cs="Tahoma"/>
                <w:lang w:eastAsia="fr-FR"/>
              </w:rPr>
              <w:t xml:space="preserve"> financing transactions (client, or intermediaries) should ensure that the necessary </w:t>
            </w:r>
            <w:r w:rsidR="00033FBF">
              <w:rPr>
                <w:rFonts w:cs="Tahoma"/>
                <w:lang w:eastAsia="fr-FR"/>
              </w:rPr>
              <w:t>adjustments are made, either through a market claim or bilaterally, in order to ensure that the lender gets the income as contractually agreed and under the payment conditions agreed, also taking into account the fiscal impact of the distribution.</w:t>
            </w:r>
          </w:p>
          <w:p w:rsidR="008214BC" w:rsidRPr="005B7B22" w:rsidRDefault="008214BC" w:rsidP="00033FBF">
            <w:pPr>
              <w:spacing w:before="120"/>
              <w:jc w:val="both"/>
              <w:rPr>
                <w:rFonts w:cs="Tahoma"/>
                <w:lang w:eastAsia="fr-FR"/>
              </w:rPr>
            </w:pPr>
            <w:r>
              <w:rPr>
                <w:rFonts w:cs="Tahoma"/>
                <w:lang w:eastAsia="fr-FR"/>
              </w:rPr>
              <w:t>Market participants will need to organize the internalization of the management of market claims in relation with their clients.</w:t>
            </w:r>
          </w:p>
        </w:tc>
      </w:tr>
      <w:tr w:rsidR="0081511D" w:rsidRPr="008D0CDE" w:rsidTr="0081511D">
        <w:tc>
          <w:tcPr>
            <w:tcW w:w="2093" w:type="dxa"/>
            <w:tcBorders>
              <w:left w:val="nil"/>
              <w:right w:val="nil"/>
            </w:tcBorders>
            <w:shd w:val="clear" w:color="auto" w:fill="auto"/>
          </w:tcPr>
          <w:p w:rsidR="0081511D" w:rsidRPr="008D0CDE" w:rsidRDefault="0081511D" w:rsidP="006542ED">
            <w:pPr>
              <w:rPr>
                <w:rFonts w:eastAsia="MS Mincho" w:cs="Times New Roman"/>
                <w:b/>
                <w:noProof/>
                <w:szCs w:val="32"/>
              </w:rPr>
            </w:pPr>
          </w:p>
        </w:tc>
        <w:tc>
          <w:tcPr>
            <w:tcW w:w="7513" w:type="dxa"/>
            <w:gridSpan w:val="2"/>
            <w:tcBorders>
              <w:left w:val="nil"/>
              <w:right w:val="nil"/>
            </w:tcBorders>
            <w:shd w:val="clear" w:color="auto" w:fill="auto"/>
          </w:tcPr>
          <w:p w:rsidR="0081511D" w:rsidRPr="008D0CDE" w:rsidRDefault="0081511D" w:rsidP="006542ED">
            <w:pPr>
              <w:rPr>
                <w:rFonts w:eastAsia="MS Mincho" w:cs="Times New Roman"/>
                <w:b/>
                <w:noProof/>
                <w:szCs w:val="32"/>
              </w:rPr>
            </w:pPr>
          </w:p>
        </w:tc>
      </w:tr>
      <w:tr w:rsidR="00B3406E" w:rsidTr="0081511D">
        <w:trPr>
          <w:gridAfter w:val="1"/>
          <w:wAfter w:w="30" w:type="dxa"/>
        </w:trPr>
        <w:tc>
          <w:tcPr>
            <w:tcW w:w="2093" w:type="dxa"/>
            <w:tcBorders>
              <w:bottom w:val="single" w:sz="4" w:space="0" w:color="auto"/>
            </w:tcBorders>
            <w:shd w:val="clear" w:color="auto" w:fill="BFBFBF" w:themeFill="background1" w:themeFillShade="BF"/>
          </w:tcPr>
          <w:p w:rsidR="00B3406E" w:rsidRPr="003348A6" w:rsidRDefault="00B3406E" w:rsidP="000E651B">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B3406E" w:rsidRPr="00F370B0" w:rsidRDefault="00B3406E" w:rsidP="000E651B">
            <w:pPr>
              <w:rPr>
                <w:rFonts w:eastAsia="MS Mincho" w:cs="Times New Roman"/>
                <w:b/>
                <w:noProof/>
                <w:szCs w:val="32"/>
              </w:rPr>
            </w:pPr>
            <w:r w:rsidRPr="00F370B0">
              <w:rPr>
                <w:rFonts w:eastAsia="MS Mincho" w:cs="Times New Roman"/>
                <w:b/>
                <w:noProof/>
                <w:szCs w:val="32"/>
              </w:rPr>
              <w:lastRenderedPageBreak/>
              <w:t>(OPTIONAL)</w:t>
            </w:r>
          </w:p>
        </w:tc>
        <w:tc>
          <w:tcPr>
            <w:tcW w:w="7483" w:type="dxa"/>
            <w:tcBorders>
              <w:bottom w:val="single" w:sz="4" w:space="0" w:color="auto"/>
            </w:tcBorders>
          </w:tcPr>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tc>
      </w:tr>
      <w:tr w:rsidR="00B3406E" w:rsidTr="0081511D">
        <w:trPr>
          <w:gridAfter w:val="1"/>
          <w:wAfter w:w="30" w:type="dxa"/>
        </w:trPr>
        <w:tc>
          <w:tcPr>
            <w:tcW w:w="2093" w:type="dxa"/>
            <w:tcBorders>
              <w:left w:val="nil"/>
              <w:right w:val="nil"/>
            </w:tcBorders>
            <w:shd w:val="clear" w:color="auto" w:fill="FFFFFF" w:themeFill="background1"/>
          </w:tcPr>
          <w:p w:rsidR="00B3406E" w:rsidRPr="00F370B0" w:rsidRDefault="00B3406E" w:rsidP="000E651B">
            <w:pPr>
              <w:rPr>
                <w:rFonts w:eastAsia="MS Mincho" w:cs="Times New Roman"/>
                <w:b/>
                <w:noProof/>
                <w:szCs w:val="32"/>
              </w:rPr>
            </w:pPr>
          </w:p>
        </w:tc>
        <w:tc>
          <w:tcPr>
            <w:tcW w:w="7483" w:type="dxa"/>
            <w:tcBorders>
              <w:left w:val="nil"/>
              <w:bottom w:val="single" w:sz="4" w:space="0" w:color="auto"/>
              <w:right w:val="nil"/>
            </w:tcBorders>
            <w:shd w:val="clear" w:color="auto" w:fill="FFFFFF" w:themeFill="background1"/>
          </w:tcPr>
          <w:p w:rsidR="00B3406E" w:rsidRPr="00F370B0" w:rsidRDefault="00B3406E" w:rsidP="006542ED">
            <w:pPr>
              <w:rPr>
                <w:rFonts w:eastAsia="MS Mincho" w:cs="Times New Roman"/>
                <w:noProof/>
                <w:szCs w:val="32"/>
              </w:rPr>
            </w:pPr>
          </w:p>
        </w:tc>
      </w:tr>
      <w:tr w:rsidR="00B3406E" w:rsidTr="0081511D">
        <w:trPr>
          <w:gridAfter w:val="1"/>
          <w:wAfter w:w="30" w:type="dxa"/>
        </w:trPr>
        <w:tc>
          <w:tcPr>
            <w:tcW w:w="2093" w:type="dxa"/>
            <w:shd w:val="clear" w:color="auto" w:fill="BFBFBF" w:themeFill="background1" w:themeFillShade="BF"/>
          </w:tcPr>
          <w:p w:rsidR="00B3406E" w:rsidRPr="00F370B0" w:rsidRDefault="00B3406E" w:rsidP="000E651B">
            <w:pPr>
              <w:rPr>
                <w:rFonts w:eastAsia="MS Mincho" w:cs="Times New Roman"/>
                <w:b/>
                <w:noProof/>
                <w:szCs w:val="32"/>
              </w:rPr>
            </w:pPr>
            <w:r w:rsidRPr="00F370B0">
              <w:rPr>
                <w:rFonts w:eastAsia="MS Mincho" w:cs="Times New Roman"/>
                <w:b/>
                <w:noProof/>
                <w:szCs w:val="32"/>
              </w:rPr>
              <w:t>Workflows</w:t>
            </w:r>
          </w:p>
          <w:p w:rsidR="00B3406E" w:rsidRPr="00F370B0" w:rsidRDefault="00B3406E" w:rsidP="000E651B">
            <w:pPr>
              <w:rPr>
                <w:rFonts w:eastAsia="MS Mincho" w:cs="Times New Roman"/>
                <w:b/>
                <w:noProof/>
                <w:szCs w:val="32"/>
              </w:rPr>
            </w:pPr>
            <w:r w:rsidRPr="00F370B0">
              <w:rPr>
                <w:rFonts w:eastAsia="MS Mincho" w:cs="Times New Roman"/>
                <w:b/>
                <w:noProof/>
                <w:szCs w:val="32"/>
              </w:rPr>
              <w:t>(OPTIONAL)</w:t>
            </w:r>
          </w:p>
        </w:tc>
        <w:tc>
          <w:tcPr>
            <w:tcW w:w="7483" w:type="dxa"/>
            <w:tcBorders>
              <w:bottom w:val="single" w:sz="4" w:space="0" w:color="auto"/>
            </w:tcBorders>
          </w:tcPr>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tc>
      </w:tr>
    </w:tbl>
    <w:p w:rsidR="00363E89" w:rsidRPr="00F370B0" w:rsidRDefault="00363E89" w:rsidP="001E0D83">
      <w:pPr>
        <w:spacing w:after="0" w:line="240" w:lineRule="auto"/>
        <w:rPr>
          <w:rFonts w:eastAsia="MS Mincho" w:cs="Times New Roman"/>
          <w:noProof/>
          <w:szCs w:val="32"/>
        </w:rPr>
      </w:pPr>
    </w:p>
    <w:p w:rsidR="0085743B" w:rsidRPr="00F370B0" w:rsidRDefault="0085743B">
      <w:pPr>
        <w:rPr>
          <w:rFonts w:eastAsia="MS Mincho" w:cs="Times New Roman"/>
          <w:b/>
          <w:caps/>
          <w:noProof/>
          <w:sz w:val="32"/>
          <w:szCs w:val="32"/>
        </w:rPr>
      </w:pPr>
    </w:p>
    <w:p w:rsidR="00140482" w:rsidRPr="004F6025" w:rsidRDefault="00B3406E" w:rsidP="00140482">
      <w:pPr>
        <w:pStyle w:val="ListParagraph"/>
        <w:numPr>
          <w:ilvl w:val="0"/>
          <w:numId w:val="1"/>
        </w:numPr>
        <w:spacing w:after="0" w:line="240" w:lineRule="auto"/>
        <w:ind w:left="284" w:hanging="284"/>
        <w:rPr>
          <w:rFonts w:eastAsia="MS Mincho" w:cs="Times New Roman"/>
          <w:b/>
          <w:caps/>
          <w:noProof/>
          <w:sz w:val="32"/>
          <w:szCs w:val="32"/>
          <w:lang w:val="fr-FR"/>
        </w:rPr>
      </w:pPr>
      <w:r w:rsidRPr="00F370B0">
        <w:rPr>
          <w:rFonts w:eastAsia="MS Mincho" w:cs="Times New Roman"/>
          <w:b/>
          <w:caps/>
          <w:noProof/>
          <w:sz w:val="32"/>
          <w:szCs w:val="32"/>
        </w:rPr>
        <w:t>IMPLEM</w:t>
      </w:r>
      <w:r>
        <w:rPr>
          <w:rFonts w:eastAsia="MS Mincho" w:cs="Times New Roman"/>
          <w:b/>
          <w:caps/>
          <w:noProof/>
          <w:sz w:val="32"/>
          <w:szCs w:val="32"/>
          <w:lang w:val="fr-FR"/>
        </w:rPr>
        <w:t>ENTATION</w:t>
      </w:r>
    </w:p>
    <w:p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438"/>
        <w:gridCol w:w="2438"/>
        <w:gridCol w:w="2438"/>
      </w:tblGrid>
      <w:tr w:rsidR="00B3406E" w:rsidRPr="00B3406E" w:rsidTr="000E651B">
        <w:trPr>
          <w:trHeight w:val="338"/>
        </w:trPr>
        <w:tc>
          <w:tcPr>
            <w:tcW w:w="2302" w:type="dxa"/>
            <w:vMerge w:val="restart"/>
            <w:shd w:val="clear" w:color="auto" w:fill="BFBFBF" w:themeFill="background1" w:themeFillShade="BF"/>
          </w:tcPr>
          <w:p w:rsidR="00B3406E" w:rsidRPr="00D103DA" w:rsidRDefault="00B3406E" w:rsidP="000E651B">
            <w:pPr>
              <w:rPr>
                <w:rFonts w:eastAsia="MS Mincho" w:cs="Times New Roman"/>
                <w:b/>
                <w:noProof/>
                <w:szCs w:val="32"/>
                <w:lang w:val="fr-FR"/>
              </w:rPr>
            </w:pPr>
            <w:r>
              <w:rPr>
                <w:rFonts w:eastAsia="MS Mincho" w:cs="Times New Roman"/>
                <w:b/>
                <w:noProof/>
                <w:szCs w:val="32"/>
                <w:lang w:val="fr-FR"/>
              </w:rPr>
              <w:t>Implementation timeline</w:t>
            </w:r>
          </w:p>
        </w:tc>
        <w:tc>
          <w:tcPr>
            <w:tcW w:w="2438" w:type="dxa"/>
          </w:tcPr>
          <w:p w:rsidR="00B3406E" w:rsidRPr="003348A6" w:rsidRDefault="00B3406E" w:rsidP="000E651B">
            <w:pPr>
              <w:jc w:val="center"/>
              <w:rPr>
                <w:rFonts w:eastAsia="MS Mincho" w:cs="Times New Roman"/>
                <w:b/>
                <w:noProof/>
                <w:szCs w:val="32"/>
              </w:rPr>
            </w:pPr>
            <w:r w:rsidRPr="003348A6">
              <w:rPr>
                <w:rFonts w:eastAsia="MS Mincho" w:cs="Times New Roman"/>
                <w:b/>
                <w:noProof/>
                <w:szCs w:val="32"/>
              </w:rPr>
              <w:t xml:space="preserve">Before the migration </w:t>
            </w:r>
            <w:r>
              <w:rPr>
                <w:rFonts w:eastAsia="MS Mincho" w:cs="Times New Roman"/>
                <w:b/>
                <w:noProof/>
                <w:szCs w:val="32"/>
              </w:rPr>
              <w:t xml:space="preserve">to </w:t>
            </w:r>
            <w:r w:rsidRPr="003348A6">
              <w:rPr>
                <w:rFonts w:eastAsia="MS Mincho" w:cs="Times New Roman"/>
                <w:b/>
                <w:noProof/>
                <w:szCs w:val="32"/>
              </w:rPr>
              <w:t>T2S</w:t>
            </w:r>
          </w:p>
        </w:tc>
        <w:tc>
          <w:tcPr>
            <w:tcW w:w="2438" w:type="dxa"/>
          </w:tcPr>
          <w:p w:rsidR="00B3406E" w:rsidRPr="003348A6" w:rsidRDefault="00B3406E" w:rsidP="000E651B">
            <w:pPr>
              <w:jc w:val="center"/>
              <w:rPr>
                <w:rFonts w:eastAsia="MS Mincho" w:cs="Times New Roman"/>
                <w:b/>
                <w:noProof/>
                <w:szCs w:val="32"/>
              </w:rPr>
            </w:pPr>
            <w:r w:rsidRPr="003348A6">
              <w:rPr>
                <w:rFonts w:eastAsia="MS Mincho" w:cs="Times New Roman"/>
                <w:b/>
                <w:noProof/>
                <w:szCs w:val="32"/>
              </w:rPr>
              <w:t>Upon go live on T2S</w:t>
            </w:r>
          </w:p>
        </w:tc>
        <w:tc>
          <w:tcPr>
            <w:tcW w:w="2438" w:type="dxa"/>
          </w:tcPr>
          <w:p w:rsidR="00B3406E" w:rsidRPr="003348A6" w:rsidRDefault="00B3406E" w:rsidP="000E651B">
            <w:pPr>
              <w:jc w:val="center"/>
              <w:rPr>
                <w:rFonts w:eastAsia="MS Mincho" w:cs="Times New Roman"/>
                <w:b/>
                <w:noProof/>
                <w:szCs w:val="32"/>
              </w:rPr>
            </w:pPr>
            <w:r w:rsidRPr="003348A6">
              <w:rPr>
                <w:rFonts w:eastAsia="MS Mincho" w:cs="Times New Roman"/>
                <w:b/>
                <w:noProof/>
                <w:szCs w:val="32"/>
              </w:rPr>
              <w:t xml:space="preserve">After the migration </w:t>
            </w:r>
            <w:r>
              <w:rPr>
                <w:rFonts w:eastAsia="MS Mincho" w:cs="Times New Roman"/>
                <w:b/>
                <w:noProof/>
                <w:szCs w:val="32"/>
              </w:rPr>
              <w:t xml:space="preserve">to </w:t>
            </w:r>
            <w:r w:rsidRPr="003348A6">
              <w:rPr>
                <w:rFonts w:eastAsia="MS Mincho" w:cs="Times New Roman"/>
                <w:b/>
                <w:noProof/>
                <w:szCs w:val="32"/>
              </w:rPr>
              <w:t>T2S</w:t>
            </w:r>
          </w:p>
        </w:tc>
      </w:tr>
      <w:tr w:rsidR="00140482" w:rsidTr="000E651B">
        <w:trPr>
          <w:trHeight w:val="337"/>
        </w:trPr>
        <w:tc>
          <w:tcPr>
            <w:tcW w:w="2302" w:type="dxa"/>
            <w:vMerge/>
            <w:tcBorders>
              <w:bottom w:val="single" w:sz="4" w:space="0" w:color="auto"/>
            </w:tcBorders>
            <w:shd w:val="clear" w:color="auto" w:fill="BFBFBF" w:themeFill="background1" w:themeFillShade="BF"/>
          </w:tcPr>
          <w:p w:rsidR="00140482" w:rsidRPr="00B3406E" w:rsidRDefault="00140482" w:rsidP="000E651B">
            <w:pPr>
              <w:rPr>
                <w:rFonts w:eastAsia="MS Mincho" w:cs="Times New Roman"/>
                <w:b/>
                <w:noProof/>
                <w:szCs w:val="32"/>
              </w:rPr>
            </w:pPr>
          </w:p>
        </w:tc>
        <w:tc>
          <w:tcPr>
            <w:tcW w:w="2438" w:type="dxa"/>
            <w:tcBorders>
              <w:bottom w:val="single" w:sz="4" w:space="0" w:color="auto"/>
            </w:tcBorders>
            <w:shd w:val="clear" w:color="auto" w:fill="auto"/>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p w:rsidR="00140482" w:rsidRDefault="00140482" w:rsidP="000E651B">
            <w:pPr>
              <w:rPr>
                <w:rFonts w:eastAsia="MS Mincho" w:cs="Times New Roman"/>
                <w:noProof/>
                <w:szCs w:val="32"/>
                <w:lang w:val="fr-FR"/>
              </w:rPr>
            </w:pPr>
          </w:p>
        </w:tc>
        <w:tc>
          <w:tcPr>
            <w:tcW w:w="2438" w:type="dxa"/>
            <w:tcBorders>
              <w:bottom w:val="single" w:sz="4" w:space="0" w:color="auto"/>
            </w:tcBorders>
          </w:tcPr>
          <w:p w:rsidR="00140482" w:rsidRDefault="001F21F9"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tcBorders>
              <w:bottom w:val="single" w:sz="4" w:space="0" w:color="auto"/>
            </w:tcBorders>
            <w:shd w:val="clear" w:color="auto" w:fill="FFFFFF" w:themeFill="background1"/>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bl>
    <w:p w:rsidR="00717A12" w:rsidRDefault="00717A12" w:rsidP="00717A12">
      <w:pPr>
        <w:spacing w:before="120" w:after="0" w:line="240" w:lineRule="auto"/>
        <w:jc w:val="both"/>
        <w:rPr>
          <w:rFonts w:eastAsia="MS Mincho" w:cs="Times New Roman"/>
          <w:noProof/>
          <w:szCs w:val="32"/>
        </w:rPr>
      </w:pPr>
    </w:p>
    <w:p w:rsidR="00B97EEC" w:rsidRDefault="00B97EEC">
      <w:pPr>
        <w:rPr>
          <w:rFonts w:eastAsia="MS Mincho" w:cs="Times New Roman"/>
          <w:noProof/>
          <w:szCs w:val="32"/>
        </w:rPr>
      </w:pPr>
      <w:r>
        <w:rPr>
          <w:rFonts w:eastAsia="MS Mincho" w:cs="Times New Roman"/>
          <w:noProof/>
          <w:szCs w:val="32"/>
        </w:rPr>
        <w:br w:type="page"/>
      </w:r>
    </w:p>
    <w:p w:rsidR="00717A12" w:rsidRPr="00B97EEC" w:rsidRDefault="00B97EEC" w:rsidP="00B97EEC">
      <w:pPr>
        <w:spacing w:before="120" w:after="0" w:line="240" w:lineRule="auto"/>
        <w:jc w:val="center"/>
        <w:rPr>
          <w:rFonts w:eastAsia="MS Mincho" w:cs="Times New Roman"/>
          <w:b/>
          <w:noProof/>
          <w:sz w:val="28"/>
          <w:szCs w:val="32"/>
        </w:rPr>
      </w:pPr>
      <w:r w:rsidRPr="00B97EEC">
        <w:rPr>
          <w:rFonts w:eastAsia="MS Mincho" w:cs="Times New Roman"/>
          <w:b/>
          <w:noProof/>
          <w:sz w:val="28"/>
          <w:szCs w:val="32"/>
        </w:rPr>
        <w:lastRenderedPageBreak/>
        <w:t>APPENDIX 1 – Functional stuy on eligibility to market claims</w:t>
      </w:r>
    </w:p>
    <w:p w:rsidR="00B97EEC" w:rsidRDefault="00B97EEC" w:rsidP="00717A12">
      <w:pPr>
        <w:spacing w:before="120" w:after="0" w:line="240" w:lineRule="auto"/>
        <w:jc w:val="both"/>
        <w:rPr>
          <w:rFonts w:eastAsia="MS Mincho" w:cs="Times New Roman"/>
          <w:noProof/>
          <w:szCs w:val="32"/>
        </w:rPr>
      </w:pPr>
    </w:p>
    <w:p w:rsidR="00B97EEC" w:rsidRDefault="00B97EEC" w:rsidP="00717A12">
      <w:pPr>
        <w:spacing w:before="120" w:after="0" w:line="240" w:lineRule="auto"/>
        <w:jc w:val="both"/>
        <w:rPr>
          <w:rFonts w:eastAsia="MS Mincho" w:cs="Times New Roman"/>
          <w:noProof/>
          <w:szCs w:val="32"/>
        </w:rPr>
      </w:pPr>
      <w:r>
        <w:rPr>
          <w:rFonts w:eastAsia="MS Mincho" w:cs="Times New Roman"/>
          <w:noProof/>
          <w:szCs w:val="32"/>
        </w:rPr>
        <w:t>This appendix details rules applicable to securities financing transactions and their operational consequences in terms of market claims as proposed in Euroclear France</w:t>
      </w:r>
      <w:r w:rsidR="004F4C53">
        <w:rPr>
          <w:rFonts w:eastAsia="MS Mincho" w:cs="Times New Roman"/>
          <w:noProof/>
          <w:szCs w:val="32"/>
        </w:rPr>
        <w:t>’s DSD. Securities financing tra</w:t>
      </w:r>
      <w:r>
        <w:rPr>
          <w:rFonts w:eastAsia="MS Mincho" w:cs="Times New Roman"/>
          <w:noProof/>
          <w:szCs w:val="32"/>
        </w:rPr>
        <w:t>nsactions imply a transfer of title:</w:t>
      </w:r>
    </w:p>
    <w:p w:rsidR="00B97EEC" w:rsidRDefault="00B97EEC" w:rsidP="00717A12">
      <w:pPr>
        <w:spacing w:before="120" w:after="0" w:line="240" w:lineRule="auto"/>
        <w:jc w:val="both"/>
        <w:rPr>
          <w:rFonts w:eastAsia="MS Mincho" w:cs="Times New Roman"/>
          <w:noProof/>
          <w:szCs w:val="32"/>
        </w:rPr>
      </w:pPr>
    </w:p>
    <w:p w:rsidR="00B97EEC" w:rsidRDefault="00146DC5" w:rsidP="00B97EEC">
      <w:pPr>
        <w:pStyle w:val="ListParagraph"/>
        <w:numPr>
          <w:ilvl w:val="0"/>
          <w:numId w:val="16"/>
        </w:numPr>
        <w:spacing w:before="120" w:after="0" w:line="240" w:lineRule="auto"/>
        <w:jc w:val="both"/>
        <w:rPr>
          <w:rFonts w:eastAsia="MS Mincho" w:cs="Times New Roman"/>
          <w:noProof/>
          <w:szCs w:val="32"/>
        </w:rPr>
      </w:pPr>
      <w:r>
        <w:rPr>
          <w:rFonts w:eastAsia="MS Mincho" w:cs="Times New Roman"/>
          <w:noProof/>
          <w:szCs w:val="32"/>
        </w:rPr>
        <w:t xml:space="preserve">A loan of securities is a </w:t>
      </w:r>
      <w:r w:rsidR="008C3090">
        <w:rPr>
          <w:rFonts w:eastAsia="MS Mincho" w:cs="Times New Roman"/>
          <w:noProof/>
          <w:szCs w:val="32"/>
        </w:rPr>
        <w:t xml:space="preserve">contractualized </w:t>
      </w:r>
      <w:r>
        <w:rPr>
          <w:rFonts w:eastAsia="MS Mincho" w:cs="Times New Roman"/>
          <w:noProof/>
          <w:szCs w:val="32"/>
        </w:rPr>
        <w:t xml:space="preserve">transaction </w:t>
      </w:r>
      <w:r w:rsidR="008C3090">
        <w:rPr>
          <w:rFonts w:eastAsia="MS Mincho" w:cs="Times New Roman"/>
          <w:noProof/>
          <w:szCs w:val="32"/>
        </w:rPr>
        <w:t xml:space="preserve">whereby a party will transter to the other securities over a certain period of time, with an interest rate agreed between </w:t>
      </w:r>
      <w:r w:rsidR="004F4C53">
        <w:rPr>
          <w:rFonts w:eastAsia="MS Mincho" w:cs="Times New Roman"/>
          <w:noProof/>
          <w:szCs w:val="32"/>
        </w:rPr>
        <w:t>the parties. The borrower of th</w:t>
      </w:r>
      <w:r w:rsidR="008C3090">
        <w:rPr>
          <w:rFonts w:eastAsia="MS Mincho" w:cs="Times New Roman"/>
          <w:noProof/>
          <w:szCs w:val="32"/>
        </w:rPr>
        <w:t>e</w:t>
      </w:r>
      <w:r w:rsidR="004F4C53">
        <w:rPr>
          <w:rFonts w:eastAsia="MS Mincho" w:cs="Times New Roman"/>
          <w:noProof/>
          <w:szCs w:val="32"/>
        </w:rPr>
        <w:t xml:space="preserve"> </w:t>
      </w:r>
      <w:r w:rsidR="008C3090">
        <w:rPr>
          <w:rFonts w:eastAsia="MS Mincho" w:cs="Times New Roman"/>
          <w:noProof/>
          <w:szCs w:val="32"/>
        </w:rPr>
        <w:t>s</w:t>
      </w:r>
      <w:r w:rsidR="004F4C53">
        <w:rPr>
          <w:rFonts w:eastAsia="MS Mincho" w:cs="Times New Roman"/>
          <w:noProof/>
          <w:szCs w:val="32"/>
        </w:rPr>
        <w:t>e</w:t>
      </w:r>
      <w:r w:rsidR="008C3090">
        <w:rPr>
          <w:rFonts w:eastAsia="MS Mincho" w:cs="Times New Roman"/>
          <w:noProof/>
          <w:szCs w:val="32"/>
        </w:rPr>
        <w:t>curities is supposed to deliver collateral in securities or cas</w:t>
      </w:r>
      <w:r w:rsidR="004F4C53">
        <w:rPr>
          <w:rFonts w:eastAsia="MS Mincho" w:cs="Times New Roman"/>
          <w:noProof/>
          <w:szCs w:val="32"/>
        </w:rPr>
        <w:t>h</w:t>
      </w:r>
      <w:r w:rsidR="008C3090">
        <w:rPr>
          <w:rFonts w:eastAsia="MS Mincho" w:cs="Times New Roman"/>
          <w:noProof/>
          <w:szCs w:val="32"/>
        </w:rPr>
        <w:t xml:space="preserve"> to the lender, and is also supposed to pay the interest rate, for the use of the securities.</w:t>
      </w:r>
    </w:p>
    <w:p w:rsidR="008C3090" w:rsidRPr="00B97EEC" w:rsidRDefault="008C3090" w:rsidP="008C3090">
      <w:pPr>
        <w:pStyle w:val="ListParagraph"/>
        <w:numPr>
          <w:ilvl w:val="1"/>
          <w:numId w:val="16"/>
        </w:numPr>
        <w:spacing w:before="120" w:after="0" w:line="240" w:lineRule="auto"/>
        <w:jc w:val="both"/>
        <w:rPr>
          <w:rFonts w:eastAsia="MS Mincho" w:cs="Times New Roman"/>
          <w:noProof/>
          <w:szCs w:val="32"/>
        </w:rPr>
      </w:pPr>
      <w:r>
        <w:rPr>
          <w:rFonts w:eastAsia="MS Mincho" w:cs="Times New Roman"/>
          <w:noProof/>
          <w:szCs w:val="32"/>
        </w:rPr>
        <w:t xml:space="preserve">The lender </w:t>
      </w:r>
      <w:r w:rsidR="004F4C53">
        <w:rPr>
          <w:rFonts w:eastAsia="MS Mincho" w:cs="Times New Roman"/>
          <w:noProof/>
          <w:szCs w:val="32"/>
        </w:rPr>
        <w:t>is always entitled to the incom</w:t>
      </w:r>
      <w:r>
        <w:rPr>
          <w:rFonts w:eastAsia="MS Mincho" w:cs="Times New Roman"/>
          <w:noProof/>
          <w:szCs w:val="32"/>
        </w:rPr>
        <w:t>e, based on the provisions of the contract, with the exception of voting rights, in the form of a compensation (manufactured dividend) or a sharing accoring to AFTI rules, “hors 1987”.</w:t>
      </w:r>
    </w:p>
    <w:p w:rsidR="00B97EEC" w:rsidRDefault="008C3090" w:rsidP="008C3090">
      <w:pPr>
        <w:pStyle w:val="ListParagraph"/>
        <w:numPr>
          <w:ilvl w:val="0"/>
          <w:numId w:val="16"/>
        </w:numPr>
        <w:spacing w:before="120" w:after="0" w:line="240" w:lineRule="auto"/>
        <w:jc w:val="both"/>
        <w:rPr>
          <w:rFonts w:eastAsia="MS Mincho" w:cs="Times New Roman"/>
          <w:noProof/>
          <w:szCs w:val="32"/>
        </w:rPr>
      </w:pPr>
      <w:r>
        <w:rPr>
          <w:rFonts w:eastAsia="MS Mincho" w:cs="Times New Roman"/>
          <w:noProof/>
          <w:szCs w:val="32"/>
        </w:rPr>
        <w:t xml:space="preserve">In France, Article L211-27 of the </w:t>
      </w:r>
      <w:r w:rsidR="004F4C53">
        <w:rPr>
          <w:rFonts w:eastAsia="MS Mincho" w:cs="Times New Roman"/>
          <w:noProof/>
          <w:szCs w:val="32"/>
        </w:rPr>
        <w:t>Monetary and</w:t>
      </w:r>
      <w:r>
        <w:rPr>
          <w:rFonts w:eastAsia="MS Mincho" w:cs="Times New Roman"/>
          <w:noProof/>
          <w:szCs w:val="32"/>
        </w:rPr>
        <w:t xml:space="preserve"> Financial Code specifies that “</w:t>
      </w:r>
      <w:r w:rsidRPr="008C3090">
        <w:rPr>
          <w:rFonts w:eastAsia="MS Mincho" w:cs="Times New Roman"/>
          <w:noProof/>
          <w:szCs w:val="32"/>
        </w:rPr>
        <w:t>A repurchase agreement is the means by which a legal entity, common fund, real-estate investment trust or securitisation common fund assigns to another legal entity, common fund, real-estate investment trust or securitisation common fund, with full title and at an agreed price, financial securities, and through which the assignor and the assignee respectively and irrevocably undertake, the former, to take back the securities, and the latter, to sell them back at an agreed price and on an agreed date.</w:t>
      </w:r>
      <w:r>
        <w:rPr>
          <w:rFonts w:eastAsia="MS Mincho" w:cs="Times New Roman"/>
          <w:noProof/>
          <w:szCs w:val="32"/>
        </w:rPr>
        <w:t>”</w:t>
      </w:r>
    </w:p>
    <w:p w:rsidR="00DA37EB" w:rsidRDefault="00DA37EB" w:rsidP="00DA37EB">
      <w:pPr>
        <w:pStyle w:val="ListParagraph"/>
        <w:numPr>
          <w:ilvl w:val="1"/>
          <w:numId w:val="16"/>
        </w:numPr>
        <w:spacing w:before="120" w:after="0" w:line="240" w:lineRule="auto"/>
        <w:jc w:val="both"/>
        <w:rPr>
          <w:rFonts w:eastAsia="MS Mincho" w:cs="Times New Roman"/>
          <w:noProof/>
          <w:szCs w:val="32"/>
        </w:rPr>
      </w:pPr>
      <w:r>
        <w:rPr>
          <w:rFonts w:eastAsia="MS Mincho" w:cs="Times New Roman"/>
          <w:noProof/>
          <w:szCs w:val="32"/>
        </w:rPr>
        <w:t>For Repos: when a coupon is paid during the term of the loan, it belongs to the the borrower of the securities due to the transfer of title. Nonetheless, it is due to be immediately paid to the lender of the securities upon maturity of the contract.</w:t>
      </w:r>
    </w:p>
    <w:p w:rsidR="008C3090" w:rsidRDefault="00DA37EB" w:rsidP="00717A12">
      <w:pPr>
        <w:spacing w:before="120" w:after="0" w:line="240" w:lineRule="auto"/>
        <w:jc w:val="both"/>
        <w:rPr>
          <w:rFonts w:eastAsia="MS Mincho" w:cs="Times New Roman"/>
          <w:noProof/>
          <w:szCs w:val="32"/>
        </w:rPr>
      </w:pPr>
      <w:r>
        <w:rPr>
          <w:rFonts w:eastAsia="MS Mincho" w:cs="Times New Roman"/>
          <w:noProof/>
          <w:szCs w:val="32"/>
        </w:rPr>
        <w:t>The operational analysis below has shown a number of situations, leading to questions on the possible non-systematic application of market claims.</w:t>
      </w:r>
    </w:p>
    <w:p w:rsidR="00DA37EB" w:rsidRDefault="00DA37EB" w:rsidP="00717A12">
      <w:pPr>
        <w:spacing w:before="120" w:after="0" w:line="240" w:lineRule="auto"/>
        <w:jc w:val="both"/>
        <w:rPr>
          <w:rFonts w:eastAsia="MS Mincho" w:cs="Times New Roman"/>
          <w:noProof/>
          <w:szCs w:val="32"/>
        </w:rPr>
      </w:pPr>
    </w:p>
    <w:p w:rsidR="00DA37EB" w:rsidRDefault="00DA37EB" w:rsidP="00DA37EB">
      <w:pPr>
        <w:spacing w:before="120" w:after="0" w:line="240" w:lineRule="auto"/>
        <w:jc w:val="center"/>
        <w:rPr>
          <w:rFonts w:eastAsia="MS Mincho" w:cs="Times New Roman"/>
          <w:noProof/>
          <w:szCs w:val="32"/>
        </w:rPr>
      </w:pPr>
      <w:r>
        <w:rPr>
          <w:rFonts w:eastAsia="MS Mincho" w:cs="Times New Roman"/>
          <w:noProof/>
          <w:szCs w:val="32"/>
        </w:rPr>
        <w:t>***</w:t>
      </w:r>
    </w:p>
    <w:p w:rsidR="00DA37EB" w:rsidRDefault="00DA37EB" w:rsidP="00717A12">
      <w:pPr>
        <w:spacing w:before="120" w:after="0" w:line="240" w:lineRule="auto"/>
        <w:jc w:val="both"/>
        <w:rPr>
          <w:rFonts w:eastAsia="MS Mincho" w:cs="Times New Roman"/>
          <w:noProof/>
          <w:szCs w:val="32"/>
        </w:rPr>
      </w:pPr>
      <w:r>
        <w:rPr>
          <w:rFonts w:eastAsia="MS Mincho" w:cs="Times New Roman"/>
          <w:noProof/>
          <w:szCs w:val="32"/>
        </w:rPr>
        <w:t>Examples below correspond to far leg instructions of securities financing transactions.</w:t>
      </w:r>
    </w:p>
    <w:p w:rsidR="00DA37EB" w:rsidRDefault="00DA37EB" w:rsidP="00717A12">
      <w:pPr>
        <w:spacing w:before="120" w:after="0" w:line="240" w:lineRule="auto"/>
        <w:jc w:val="both"/>
        <w:rPr>
          <w:rFonts w:eastAsia="MS Mincho" w:cs="Times New Roman"/>
          <w:noProof/>
          <w:szCs w:val="32"/>
        </w:rPr>
      </w:pPr>
      <w:r>
        <w:rPr>
          <w:rFonts w:eastAsia="MS Mincho" w:cs="Times New Roman"/>
          <w:noProof/>
          <w:szCs w:val="32"/>
        </w:rPr>
        <w:t>I</w:t>
      </w:r>
      <w:r w:rsidR="0017098B">
        <w:rPr>
          <w:rFonts w:eastAsia="MS Mincho" w:cs="Times New Roman"/>
          <w:noProof/>
          <w:szCs w:val="32"/>
        </w:rPr>
        <w:t>n</w:t>
      </w:r>
      <w:r>
        <w:rPr>
          <w:rFonts w:eastAsia="MS Mincho" w:cs="Times New Roman"/>
          <w:noProof/>
          <w:szCs w:val="32"/>
        </w:rPr>
        <w:t xml:space="preserve"> certain cases, the application of a market claim would involve a bilateral retrocession in favor of the lender to cancel an erroneous effect of the market claim.</w:t>
      </w:r>
    </w:p>
    <w:p w:rsidR="00DA37EB" w:rsidRDefault="00DA37EB" w:rsidP="00717A12">
      <w:pPr>
        <w:spacing w:before="120" w:after="0" w:line="240" w:lineRule="auto"/>
        <w:jc w:val="both"/>
        <w:rPr>
          <w:rFonts w:eastAsia="MS Mincho" w:cs="Times New Roman"/>
          <w:noProof/>
          <w:szCs w:val="32"/>
        </w:rPr>
      </w:pPr>
      <w:r>
        <w:rPr>
          <w:rFonts w:eastAsia="MS Mincho" w:cs="Times New Roman"/>
          <w:noProof/>
          <w:szCs w:val="32"/>
        </w:rPr>
        <w:t>Symetrically, the same market claim rules would also apply to the near legs of the transaction.</w:t>
      </w:r>
    </w:p>
    <w:p w:rsidR="00DA37EB" w:rsidRDefault="00DA37EB" w:rsidP="00717A12">
      <w:pPr>
        <w:spacing w:before="120" w:after="0" w:line="240" w:lineRule="auto"/>
        <w:jc w:val="both"/>
        <w:rPr>
          <w:rFonts w:eastAsia="MS Mincho" w:cs="Times New Roman"/>
          <w:noProof/>
          <w:szCs w:val="32"/>
        </w:rPr>
      </w:pPr>
    </w:p>
    <w:p w:rsidR="00DA37EB" w:rsidRDefault="004F4C53" w:rsidP="00717A12">
      <w:pPr>
        <w:spacing w:before="120" w:after="0" w:line="240" w:lineRule="auto"/>
        <w:jc w:val="both"/>
        <w:rPr>
          <w:rFonts w:eastAsia="MS Mincho" w:cs="Times New Roman"/>
          <w:noProof/>
          <w:szCs w:val="32"/>
        </w:rPr>
      </w:pPr>
      <w:r>
        <w:rPr>
          <w:rFonts w:eastAsia="MS Mincho" w:cs="Times New Roman"/>
          <w:noProof/>
          <w:szCs w:val="32"/>
        </w:rPr>
        <w:t>Examples of imp</w:t>
      </w:r>
      <w:r w:rsidR="00DA37EB">
        <w:rPr>
          <w:rFonts w:eastAsia="MS Mincho" w:cs="Times New Roman"/>
          <w:noProof/>
          <w:szCs w:val="32"/>
        </w:rPr>
        <w:t>a</w:t>
      </w:r>
      <w:r>
        <w:rPr>
          <w:rFonts w:eastAsia="MS Mincho" w:cs="Times New Roman"/>
          <w:noProof/>
          <w:szCs w:val="32"/>
        </w:rPr>
        <w:t>c</w:t>
      </w:r>
      <w:r w:rsidR="00DA37EB">
        <w:rPr>
          <w:rFonts w:eastAsia="MS Mincho" w:cs="Times New Roman"/>
          <w:noProof/>
          <w:szCs w:val="32"/>
        </w:rPr>
        <w:t>ts of market claims on the far leg of a securities financing transaction</w:t>
      </w:r>
      <w:r w:rsidR="00DF295B">
        <w:rPr>
          <w:rFonts w:eastAsia="MS Mincho" w:cs="Times New Roman"/>
          <w:noProof/>
          <w:szCs w:val="32"/>
        </w:rPr>
        <w:t>:</w:t>
      </w:r>
    </w:p>
    <w:p w:rsidR="0017098B" w:rsidRPr="0017098B" w:rsidRDefault="0017098B" w:rsidP="0017098B">
      <w:pPr>
        <w:pStyle w:val="ListParagraph"/>
        <w:numPr>
          <w:ilvl w:val="0"/>
          <w:numId w:val="20"/>
        </w:numPr>
        <w:spacing w:before="120"/>
        <w:jc w:val="both"/>
        <w:rPr>
          <w:rFonts w:eastAsia="MS Mincho" w:cs="Times New Roman"/>
          <w:b/>
          <w:noProof/>
          <w:szCs w:val="32"/>
        </w:rPr>
      </w:pPr>
      <w:r w:rsidRPr="0017098B">
        <w:rPr>
          <w:rFonts w:eastAsia="MS Mincho" w:cs="Times New Roman"/>
          <w:b/>
          <w:noProof/>
          <w:color w:val="00B050"/>
          <w:szCs w:val="32"/>
        </w:rPr>
        <w:t>Rule (1)</w:t>
      </w:r>
      <w:r w:rsidRPr="0017098B">
        <w:rPr>
          <w:rFonts w:eastAsia="MS Mincho" w:cs="Times New Roman"/>
          <w:b/>
          <w:noProof/>
          <w:szCs w:val="32"/>
        </w:rPr>
        <w:t xml:space="preserve"> for the detection on capital securities in UNIT and </w:t>
      </w:r>
      <w:r w:rsidRPr="0017098B">
        <w:rPr>
          <w:rFonts w:eastAsia="MS Mincho" w:cs="Times New Roman"/>
          <w:b/>
          <w:bCs/>
          <w:noProof/>
          <w:color w:val="00B050"/>
          <w:szCs w:val="32"/>
        </w:rPr>
        <w:t xml:space="preserve">Rule (2) </w:t>
      </w:r>
      <w:r w:rsidRPr="0017098B">
        <w:rPr>
          <w:rFonts w:eastAsia="MS Mincho" w:cs="Times New Roman"/>
          <w:b/>
          <w:bCs/>
          <w:noProof/>
          <w:szCs w:val="32"/>
        </w:rPr>
        <w:t xml:space="preserve">for the detection on debt securities in UNIT with (Ex Date = Payment Date): </w:t>
      </w:r>
    </w:p>
    <w:p w:rsidR="0017098B" w:rsidRPr="0017098B" w:rsidRDefault="0017098B" w:rsidP="0017098B">
      <w:pPr>
        <w:pStyle w:val="ListParagraph"/>
        <w:numPr>
          <w:ilvl w:val="1"/>
          <w:numId w:val="20"/>
        </w:numPr>
        <w:spacing w:before="120"/>
        <w:jc w:val="both"/>
        <w:rPr>
          <w:rFonts w:eastAsia="MS Mincho" w:cs="Times New Roman"/>
          <w:noProof/>
          <w:szCs w:val="32"/>
        </w:rPr>
      </w:pPr>
      <w:r w:rsidRPr="0017098B">
        <w:rPr>
          <w:rFonts w:eastAsia="MS Mincho" w:cs="Times New Roman"/>
          <w:noProof/>
          <w:szCs w:val="32"/>
        </w:rPr>
        <w:t>TD before ExD (Ex-date) and ASD (Actual settlement date) after RD =&gt; (marke</w:t>
      </w:r>
      <w:r w:rsidR="004F4C53">
        <w:rPr>
          <w:rFonts w:eastAsia="MS Mincho" w:cs="Times New Roman"/>
          <w:noProof/>
          <w:szCs w:val="32"/>
        </w:rPr>
        <w:t>t</w:t>
      </w:r>
      <w:r w:rsidRPr="0017098B">
        <w:rPr>
          <w:rFonts w:eastAsia="MS Mincho" w:cs="Times New Roman"/>
          <w:noProof/>
          <w:szCs w:val="32"/>
        </w:rPr>
        <w:t xml:space="preserve"> claim for allocating the proceeds to the lender)</w:t>
      </w:r>
    </w:p>
    <w:p w:rsidR="0017098B" w:rsidRPr="004F4C53" w:rsidRDefault="0017098B" w:rsidP="0017098B">
      <w:pPr>
        <w:pStyle w:val="ListParagraph"/>
        <w:numPr>
          <w:ilvl w:val="1"/>
          <w:numId w:val="20"/>
        </w:numPr>
        <w:spacing w:before="120"/>
        <w:jc w:val="both"/>
        <w:rPr>
          <w:rFonts w:eastAsia="MS Mincho" w:cs="Times New Roman"/>
          <w:noProof/>
          <w:szCs w:val="32"/>
        </w:rPr>
      </w:pPr>
      <w:r w:rsidRPr="0017098B">
        <w:rPr>
          <w:rFonts w:eastAsia="MS Mincho" w:cs="Times New Roman"/>
          <w:noProof/>
          <w:szCs w:val="32"/>
        </w:rPr>
        <w:lastRenderedPageBreak/>
        <w:t>TD after ExD eand ASD before RD =&gt; (market claim with allocation of the proceeds to the borrow</w:t>
      </w:r>
      <w:r>
        <w:rPr>
          <w:rFonts w:eastAsia="MS Mincho" w:cs="Times New Roman"/>
          <w:noProof/>
          <w:szCs w:val="32"/>
        </w:rPr>
        <w:t>er</w:t>
      </w:r>
      <w:r w:rsidRPr="0017098B">
        <w:rPr>
          <w:rFonts w:eastAsia="MS Mincho" w:cs="Times New Roman"/>
          <w:noProof/>
          <w:szCs w:val="32"/>
        </w:rPr>
        <w:t xml:space="preserve">. </w:t>
      </w:r>
      <w:r w:rsidR="004F4C53">
        <w:rPr>
          <w:rFonts w:eastAsia="MS Mincho" w:cs="Times New Roman"/>
          <w:noProof/>
          <w:szCs w:val="32"/>
        </w:rPr>
        <w:t>To be retroceded bilaterally to the lender</w:t>
      </w:r>
      <w:r w:rsidRPr="004F4C53">
        <w:rPr>
          <w:rFonts w:eastAsia="MS Mincho" w:cs="Times New Roman"/>
          <w:noProof/>
          <w:szCs w:val="32"/>
        </w:rPr>
        <w:t>).</w:t>
      </w:r>
    </w:p>
    <w:p w:rsidR="0017098B" w:rsidRPr="0017098B" w:rsidRDefault="0017098B" w:rsidP="0017098B">
      <w:pPr>
        <w:pStyle w:val="ListParagraph"/>
        <w:numPr>
          <w:ilvl w:val="1"/>
          <w:numId w:val="20"/>
        </w:numPr>
        <w:spacing w:before="120"/>
        <w:jc w:val="both"/>
        <w:rPr>
          <w:rFonts w:eastAsia="MS Mincho" w:cs="Times New Roman"/>
          <w:noProof/>
          <w:szCs w:val="32"/>
        </w:rPr>
      </w:pPr>
      <w:r w:rsidRPr="0017098B">
        <w:rPr>
          <w:rFonts w:eastAsia="MS Mincho" w:cs="Times New Roman"/>
          <w:noProof/>
          <w:szCs w:val="32"/>
        </w:rPr>
        <w:t>Rules applicable to instructions pending and/</w:t>
      </w:r>
      <w:r>
        <w:rPr>
          <w:rFonts w:eastAsia="MS Mincho" w:cs="Times New Roman"/>
          <w:noProof/>
          <w:szCs w:val="32"/>
        </w:rPr>
        <w:t>or</w:t>
      </w:r>
      <w:r w:rsidRPr="0017098B">
        <w:rPr>
          <w:rFonts w:eastAsia="MS Mincho" w:cs="Times New Roman"/>
          <w:noProof/>
          <w:szCs w:val="32"/>
        </w:rPr>
        <w:t xml:space="preserve"> failed </w:t>
      </w:r>
      <w:r w:rsidRPr="0017098B">
        <w:rPr>
          <w:rFonts w:eastAsia="MS Mincho" w:cs="Times New Roman"/>
          <w:b/>
          <w:noProof/>
          <w:color w:val="1F497D" w:themeColor="text2"/>
          <w:szCs w:val="32"/>
        </w:rPr>
        <w:t>(*)</w:t>
      </w:r>
    </w:p>
    <w:p w:rsidR="0017098B" w:rsidRPr="0017098B" w:rsidRDefault="0017098B" w:rsidP="0017098B">
      <w:pPr>
        <w:pStyle w:val="ListParagraph"/>
        <w:spacing w:before="120"/>
        <w:ind w:left="1080"/>
        <w:jc w:val="both"/>
        <w:rPr>
          <w:rFonts w:eastAsia="MS Mincho" w:cs="Times New Roman"/>
          <w:noProof/>
          <w:szCs w:val="32"/>
        </w:rPr>
      </w:pPr>
    </w:p>
    <w:p w:rsidR="0017098B" w:rsidRPr="0017098B" w:rsidRDefault="0017098B" w:rsidP="0017098B">
      <w:pPr>
        <w:pStyle w:val="ListParagraph"/>
        <w:numPr>
          <w:ilvl w:val="0"/>
          <w:numId w:val="20"/>
        </w:numPr>
        <w:spacing w:before="120"/>
        <w:jc w:val="both"/>
        <w:rPr>
          <w:rFonts w:eastAsia="MS Mincho" w:cs="Times New Roman"/>
          <w:noProof/>
          <w:szCs w:val="32"/>
        </w:rPr>
      </w:pPr>
      <w:r w:rsidRPr="0017098B">
        <w:rPr>
          <w:rFonts w:eastAsia="MS Mincho" w:cs="Times New Roman"/>
          <w:b/>
          <w:bCs/>
          <w:noProof/>
          <w:color w:val="00B050"/>
          <w:szCs w:val="32"/>
        </w:rPr>
        <w:t>Rule (3)</w:t>
      </w:r>
      <w:r w:rsidRPr="0017098B">
        <w:rPr>
          <w:rFonts w:eastAsia="MS Mincho" w:cs="Times New Roman"/>
          <w:b/>
          <w:bCs/>
          <w:noProof/>
          <w:szCs w:val="32"/>
        </w:rPr>
        <w:t xml:space="preserve"> for detection on debt securities in FMT : </w:t>
      </w:r>
    </w:p>
    <w:p w:rsidR="0017098B" w:rsidRPr="0017098B" w:rsidRDefault="0017098B" w:rsidP="0017098B">
      <w:pPr>
        <w:pStyle w:val="ListParagraph"/>
        <w:numPr>
          <w:ilvl w:val="1"/>
          <w:numId w:val="20"/>
        </w:numPr>
        <w:spacing w:after="0" w:line="240" w:lineRule="auto"/>
        <w:ind w:left="1077" w:hanging="357"/>
        <w:contextualSpacing w:val="0"/>
        <w:jc w:val="both"/>
        <w:rPr>
          <w:rFonts w:eastAsia="MS Mincho" w:cs="Times New Roman"/>
          <w:noProof/>
          <w:szCs w:val="32"/>
        </w:rPr>
      </w:pPr>
      <w:r w:rsidRPr="0017098B">
        <w:rPr>
          <w:rFonts w:eastAsia="MS Mincho" w:cs="Times New Roman"/>
          <w:noProof/>
          <w:szCs w:val="32"/>
        </w:rPr>
        <w:t>If the intended settlement date (ISD) occurs before or on the RD</w:t>
      </w:r>
      <w:r w:rsidR="004F4C53">
        <w:rPr>
          <w:rFonts w:eastAsia="MS Mincho" w:cs="Times New Roman"/>
          <w:noProof/>
          <w:szCs w:val="32"/>
        </w:rPr>
        <w:t>,)</w:t>
      </w:r>
      <w:r w:rsidRPr="0017098B">
        <w:rPr>
          <w:rFonts w:eastAsia="MS Mincho" w:cs="Times New Roman"/>
          <w:noProof/>
          <w:szCs w:val="32"/>
        </w:rPr>
        <w:t xml:space="preserve"> and if the ASD </w:t>
      </w:r>
      <w:r>
        <w:rPr>
          <w:rFonts w:eastAsia="MS Mincho" w:cs="Times New Roman"/>
          <w:noProof/>
          <w:szCs w:val="32"/>
        </w:rPr>
        <w:t xml:space="preserve">occurs after the </w:t>
      </w:r>
      <w:r w:rsidRPr="0017098B">
        <w:rPr>
          <w:rFonts w:eastAsia="MS Mincho" w:cs="Times New Roman"/>
          <w:noProof/>
          <w:szCs w:val="32"/>
        </w:rPr>
        <w:t>RD =&gt; (</w:t>
      </w:r>
      <w:r>
        <w:rPr>
          <w:rFonts w:eastAsia="MS Mincho" w:cs="Times New Roman"/>
          <w:noProof/>
          <w:szCs w:val="32"/>
        </w:rPr>
        <w:t xml:space="preserve">market claim for </w:t>
      </w:r>
      <w:r w:rsidRPr="0017098B">
        <w:rPr>
          <w:rFonts w:eastAsia="MS Mincho" w:cs="Times New Roman"/>
          <w:noProof/>
          <w:szCs w:val="32"/>
        </w:rPr>
        <w:t xml:space="preserve">allocation </w:t>
      </w:r>
      <w:r>
        <w:rPr>
          <w:rFonts w:eastAsia="MS Mincho" w:cs="Times New Roman"/>
          <w:noProof/>
          <w:szCs w:val="32"/>
        </w:rPr>
        <w:t>of the proceeds to the lender</w:t>
      </w:r>
      <w:r w:rsidRPr="0017098B">
        <w:rPr>
          <w:rFonts w:eastAsia="MS Mincho" w:cs="Times New Roman"/>
          <w:noProof/>
          <w:szCs w:val="32"/>
        </w:rPr>
        <w:t>)</w:t>
      </w:r>
    </w:p>
    <w:p w:rsidR="0017098B" w:rsidRPr="0017098B" w:rsidRDefault="0017098B" w:rsidP="0017098B">
      <w:pPr>
        <w:pStyle w:val="ListParagraph"/>
        <w:numPr>
          <w:ilvl w:val="1"/>
          <w:numId w:val="20"/>
        </w:numPr>
        <w:spacing w:after="0" w:line="240" w:lineRule="auto"/>
        <w:ind w:left="1077" w:hanging="357"/>
        <w:contextualSpacing w:val="0"/>
        <w:jc w:val="both"/>
        <w:rPr>
          <w:rFonts w:eastAsia="MS Mincho" w:cs="Times New Roman"/>
          <w:noProof/>
          <w:szCs w:val="32"/>
        </w:rPr>
      </w:pPr>
      <w:r w:rsidRPr="0017098B">
        <w:rPr>
          <w:rFonts w:eastAsia="MS Mincho" w:cs="Times New Roman"/>
          <w:noProof/>
          <w:szCs w:val="32"/>
        </w:rPr>
        <w:t xml:space="preserve">The Trade date is not considered in the detection rules </w:t>
      </w:r>
    </w:p>
    <w:p w:rsidR="0017098B" w:rsidRPr="0017098B" w:rsidRDefault="0017098B" w:rsidP="0017098B">
      <w:pPr>
        <w:pStyle w:val="ListParagraph"/>
        <w:numPr>
          <w:ilvl w:val="1"/>
          <w:numId w:val="20"/>
        </w:numPr>
        <w:spacing w:after="0" w:line="240" w:lineRule="auto"/>
        <w:ind w:left="1077" w:hanging="357"/>
        <w:contextualSpacing w:val="0"/>
        <w:jc w:val="both"/>
        <w:rPr>
          <w:rFonts w:eastAsia="MS Mincho" w:cs="Times New Roman"/>
          <w:b/>
          <w:noProof/>
          <w:szCs w:val="32"/>
        </w:rPr>
      </w:pPr>
      <w:r w:rsidRPr="0017098B">
        <w:rPr>
          <w:rFonts w:eastAsia="MS Mincho" w:cs="Times New Roman"/>
          <w:noProof/>
          <w:szCs w:val="32"/>
        </w:rPr>
        <w:t xml:space="preserve">Rules applying to failed instructions failed </w:t>
      </w:r>
      <w:r>
        <w:rPr>
          <w:rFonts w:eastAsia="MS Mincho" w:cs="Times New Roman"/>
          <w:noProof/>
          <w:szCs w:val="32"/>
        </w:rPr>
        <w:t xml:space="preserve">only </w:t>
      </w:r>
      <w:r w:rsidRPr="0017098B">
        <w:rPr>
          <w:rFonts w:eastAsia="MS Mincho" w:cs="Times New Roman"/>
          <w:noProof/>
          <w:szCs w:val="32"/>
        </w:rPr>
        <w:t>(*)</w:t>
      </w:r>
    </w:p>
    <w:p w:rsidR="0017098B" w:rsidRPr="00427069" w:rsidRDefault="0017098B" w:rsidP="0017098B">
      <w:pPr>
        <w:spacing w:after="0" w:line="240" w:lineRule="auto"/>
        <w:ind w:firstLine="720"/>
        <w:rPr>
          <w:rFonts w:eastAsia="MS Mincho" w:cs="Times New Roman"/>
          <w:b/>
          <w:noProof/>
          <w:color w:val="1F497D" w:themeColor="text2"/>
          <w:szCs w:val="32"/>
        </w:rPr>
      </w:pPr>
      <w:r w:rsidRPr="0017098B">
        <w:rPr>
          <w:rFonts w:eastAsia="MS Mincho" w:cs="Times New Roman"/>
          <w:noProof/>
          <w:szCs w:val="32"/>
        </w:rPr>
        <w:t xml:space="preserve">        </w:t>
      </w:r>
      <w:r w:rsidRPr="00427069">
        <w:rPr>
          <w:rFonts w:eastAsia="MS Mincho" w:cs="Times New Roman"/>
          <w:noProof/>
          <w:szCs w:val="32"/>
          <w:lang w:val="en-GB"/>
        </w:rPr>
        <w:t xml:space="preserve">(*) Notion </w:t>
      </w:r>
      <w:r>
        <w:rPr>
          <w:rFonts w:eastAsia="MS Mincho" w:cs="Times New Roman"/>
          <w:noProof/>
          <w:szCs w:val="32"/>
          <w:lang w:val="en-GB"/>
        </w:rPr>
        <w:t>of Pending vs Failed instructions for the purpose of this market practice</w:t>
      </w:r>
      <w:r w:rsidRPr="00427069">
        <w:rPr>
          <w:rFonts w:eastAsia="MS Mincho" w:cs="Times New Roman"/>
          <w:noProof/>
          <w:szCs w:val="32"/>
          <w:lang w:val="en-GB"/>
        </w:rPr>
        <w:t>:</w:t>
      </w:r>
      <w:r w:rsidRPr="00427069">
        <w:rPr>
          <w:rFonts w:eastAsia="MS Mincho" w:cs="Times New Roman"/>
          <w:b/>
          <w:bCs/>
          <w:noProof/>
          <w:color w:val="1F497D" w:themeColor="text2"/>
          <w:szCs w:val="32"/>
        </w:rPr>
        <w:t xml:space="preserve"> </w:t>
      </w:r>
    </w:p>
    <w:p w:rsidR="0017098B" w:rsidRPr="0017098B" w:rsidRDefault="0017098B" w:rsidP="004F4C53">
      <w:pPr>
        <w:pStyle w:val="ListParagraph"/>
        <w:spacing w:after="0" w:line="240" w:lineRule="auto"/>
        <w:ind w:left="1134"/>
        <w:jc w:val="both"/>
        <w:rPr>
          <w:rFonts w:eastAsia="MS Mincho" w:cs="Times New Roman"/>
          <w:noProof/>
          <w:szCs w:val="32"/>
        </w:rPr>
      </w:pPr>
      <w:r w:rsidRPr="0017098B">
        <w:rPr>
          <w:rFonts w:eastAsia="MS Mincho" w:cs="Times New Roman"/>
          <w:noProof/>
          <w:szCs w:val="32"/>
        </w:rPr>
        <w:t>Pending instructions are instructions awaiting for settlement, whether the ISD is before or after the RD. On the contrary, a failed instruction is a more restrictive notion, as the</w:t>
      </w:r>
      <w:r w:rsidR="004F4C53">
        <w:rPr>
          <w:rFonts w:eastAsia="MS Mincho" w:cs="Times New Roman"/>
          <w:noProof/>
          <w:szCs w:val="32"/>
        </w:rPr>
        <w:t xml:space="preserve"> IS</w:t>
      </w:r>
      <w:r w:rsidRPr="0017098B">
        <w:rPr>
          <w:rFonts w:eastAsia="MS Mincho" w:cs="Times New Roman"/>
          <w:noProof/>
          <w:szCs w:val="32"/>
        </w:rPr>
        <w:t xml:space="preserve">D is anterior to the RD, the ASD being posterior to the RD. </w:t>
      </w:r>
    </w:p>
    <w:p w:rsidR="0017098B" w:rsidRPr="0017098B" w:rsidRDefault="0017098B" w:rsidP="0017098B">
      <w:pPr>
        <w:pStyle w:val="ListParagraph"/>
        <w:spacing w:after="0" w:line="240" w:lineRule="auto"/>
        <w:ind w:left="360"/>
        <w:rPr>
          <w:rFonts w:eastAsia="MS Mincho" w:cs="Times New Roman"/>
          <w:noProof/>
          <w:szCs w:val="32"/>
        </w:rPr>
      </w:pPr>
    </w:p>
    <w:p w:rsidR="0017098B" w:rsidRPr="0017098B" w:rsidRDefault="0017098B" w:rsidP="0017098B">
      <w:pPr>
        <w:spacing w:after="0" w:line="240" w:lineRule="auto"/>
        <w:jc w:val="both"/>
        <w:rPr>
          <w:rFonts w:eastAsia="MS Mincho" w:cs="Times New Roman"/>
          <w:noProof/>
          <w:szCs w:val="32"/>
        </w:rPr>
      </w:pPr>
      <w:r w:rsidRPr="0017098B">
        <w:rPr>
          <w:rFonts w:eastAsia="MS Mincho" w:cs="Times New Roman"/>
          <w:noProof/>
          <w:szCs w:val="32"/>
        </w:rPr>
        <w:t xml:space="preserve">The way market claims must be handled also depends on the timing of the input and matching of the far leg in the settlement system. </w:t>
      </w:r>
    </w:p>
    <w:p w:rsidR="0017098B" w:rsidRPr="0017098B" w:rsidRDefault="0017098B" w:rsidP="0017098B">
      <w:pPr>
        <w:spacing w:after="0" w:line="240" w:lineRule="auto"/>
        <w:jc w:val="both"/>
        <w:rPr>
          <w:rFonts w:eastAsia="MS Mincho" w:cs="Times New Roman"/>
          <w:noProof/>
          <w:szCs w:val="32"/>
        </w:rPr>
      </w:pPr>
    </w:p>
    <w:p w:rsidR="0017098B" w:rsidRPr="0017098B" w:rsidRDefault="0017098B" w:rsidP="0017098B">
      <w:pPr>
        <w:pStyle w:val="ListParagraph"/>
        <w:numPr>
          <w:ilvl w:val="0"/>
          <w:numId w:val="19"/>
        </w:numPr>
        <w:spacing w:after="0" w:line="240" w:lineRule="auto"/>
        <w:jc w:val="both"/>
        <w:rPr>
          <w:rFonts w:eastAsia="MS Mincho" w:cs="Times New Roman"/>
          <w:noProof/>
          <w:szCs w:val="32"/>
        </w:rPr>
      </w:pPr>
      <w:r w:rsidRPr="0017098B">
        <w:rPr>
          <w:rFonts w:eastAsia="MS Mincho" w:cs="Times New Roman"/>
          <w:noProof/>
          <w:szCs w:val="32"/>
        </w:rPr>
        <w:t xml:space="preserve">If the Input / Matching of the far leg happens at the time of the initiation of the securities financing transaction, the detection of market claims is ensured during the </w:t>
      </w:r>
      <w:r>
        <w:rPr>
          <w:rFonts w:eastAsia="MS Mincho" w:cs="Times New Roman"/>
          <w:noProof/>
          <w:szCs w:val="32"/>
        </w:rPr>
        <w:t xml:space="preserve">whole </w:t>
      </w:r>
      <w:r w:rsidRPr="0017098B">
        <w:rPr>
          <w:rFonts w:eastAsia="MS Mincho" w:cs="Times New Roman"/>
          <w:noProof/>
          <w:szCs w:val="32"/>
        </w:rPr>
        <w:t>term of the contract</w:t>
      </w:r>
      <w:r>
        <w:rPr>
          <w:rFonts w:eastAsia="MS Mincho" w:cs="Times New Roman"/>
          <w:noProof/>
          <w:szCs w:val="32"/>
        </w:rPr>
        <w:t>, until its maturity.</w:t>
      </w:r>
      <w:r w:rsidRPr="0017098B">
        <w:rPr>
          <w:rFonts w:eastAsia="MS Mincho" w:cs="Times New Roman"/>
          <w:noProof/>
          <w:szCs w:val="32"/>
        </w:rPr>
        <w:t xml:space="preserve"> </w:t>
      </w:r>
    </w:p>
    <w:p w:rsidR="0017098B" w:rsidRDefault="0017098B" w:rsidP="0017098B">
      <w:pPr>
        <w:pStyle w:val="ListParagraph"/>
        <w:numPr>
          <w:ilvl w:val="2"/>
          <w:numId w:val="19"/>
        </w:numPr>
        <w:spacing w:after="0" w:line="240" w:lineRule="auto"/>
        <w:ind w:left="1276" w:hanging="283"/>
        <w:jc w:val="both"/>
        <w:rPr>
          <w:rFonts w:eastAsia="MS Mincho" w:cs="Times New Roman"/>
          <w:noProof/>
          <w:szCs w:val="32"/>
          <w:lang w:val="fr-FR"/>
        </w:rPr>
      </w:pPr>
      <w:r>
        <w:rPr>
          <w:rFonts w:eastAsia="MS Mincho" w:cs="Times New Roman"/>
          <w:noProof/>
          <w:szCs w:val="32"/>
          <w:lang w:val="fr-FR"/>
        </w:rPr>
        <w:t>This solution is viable</w:t>
      </w:r>
      <w:r w:rsidR="00A91578">
        <w:rPr>
          <w:rFonts w:eastAsia="MS Mincho" w:cs="Times New Roman"/>
          <w:noProof/>
          <w:szCs w:val="32"/>
          <w:lang w:val="fr-FR"/>
        </w:rPr>
        <w:t>:</w:t>
      </w:r>
      <w:r>
        <w:rPr>
          <w:rFonts w:eastAsia="MS Mincho" w:cs="Times New Roman"/>
          <w:noProof/>
          <w:szCs w:val="32"/>
          <w:lang w:val="fr-FR"/>
        </w:rPr>
        <w:t> </w:t>
      </w:r>
    </w:p>
    <w:p w:rsidR="0017098B" w:rsidRPr="0017098B" w:rsidRDefault="0017098B" w:rsidP="0017098B">
      <w:pPr>
        <w:pStyle w:val="ListParagraph"/>
        <w:numPr>
          <w:ilvl w:val="3"/>
          <w:numId w:val="19"/>
        </w:numPr>
        <w:spacing w:after="0" w:line="240" w:lineRule="auto"/>
        <w:ind w:left="1797" w:hanging="357"/>
        <w:jc w:val="both"/>
        <w:rPr>
          <w:rFonts w:eastAsia="MS Mincho" w:cs="Times New Roman"/>
          <w:noProof/>
          <w:szCs w:val="32"/>
        </w:rPr>
      </w:pPr>
      <w:r w:rsidRPr="0017098B">
        <w:rPr>
          <w:rFonts w:eastAsia="MS Mincho" w:cs="Times New Roman"/>
          <w:noProof/>
          <w:szCs w:val="32"/>
        </w:rPr>
        <w:t>For securities fin</w:t>
      </w:r>
      <w:r w:rsidR="004F4C53">
        <w:rPr>
          <w:rFonts w:eastAsia="MS Mincho" w:cs="Times New Roman"/>
          <w:noProof/>
          <w:szCs w:val="32"/>
        </w:rPr>
        <w:t>ancing transactions with a fixed</w:t>
      </w:r>
      <w:r w:rsidRPr="0017098B">
        <w:rPr>
          <w:rFonts w:eastAsia="MS Mincho" w:cs="Times New Roman"/>
          <w:noProof/>
          <w:szCs w:val="32"/>
        </w:rPr>
        <w:t xml:space="preserve"> rate or </w:t>
      </w:r>
      <w:r w:rsidR="00A91578">
        <w:rPr>
          <w:rFonts w:eastAsia="MS Mincho" w:cs="Times New Roman"/>
          <w:noProof/>
          <w:szCs w:val="32"/>
        </w:rPr>
        <w:t>a 0-</w:t>
      </w:r>
      <w:r w:rsidRPr="0017098B">
        <w:rPr>
          <w:rFonts w:eastAsia="MS Mincho" w:cs="Times New Roman"/>
          <w:noProof/>
          <w:szCs w:val="32"/>
        </w:rPr>
        <w:t xml:space="preserve">rate. </w:t>
      </w:r>
    </w:p>
    <w:p w:rsidR="0017098B" w:rsidRPr="00427069" w:rsidRDefault="0017098B" w:rsidP="0017098B">
      <w:pPr>
        <w:pStyle w:val="ListParagraph"/>
        <w:numPr>
          <w:ilvl w:val="3"/>
          <w:numId w:val="19"/>
        </w:numPr>
        <w:spacing w:after="0" w:line="240" w:lineRule="auto"/>
        <w:ind w:left="1797" w:hanging="357"/>
        <w:jc w:val="both"/>
        <w:rPr>
          <w:rFonts w:eastAsia="MS Mincho" w:cs="Times New Roman"/>
          <w:noProof/>
          <w:szCs w:val="32"/>
          <w:lang w:val="fr-FR"/>
        </w:rPr>
      </w:pPr>
      <w:r w:rsidRPr="0017098B">
        <w:rPr>
          <w:rFonts w:eastAsia="MS Mincho" w:cs="Times New Roman"/>
          <w:noProof/>
          <w:szCs w:val="32"/>
        </w:rPr>
        <w:t>For securities in</w:t>
      </w:r>
      <w:r w:rsidR="004F4C53">
        <w:rPr>
          <w:rFonts w:eastAsia="MS Mincho" w:cs="Times New Roman"/>
          <w:noProof/>
          <w:szCs w:val="32"/>
        </w:rPr>
        <w:t xml:space="preserve"> UNT, where the TD is a criterion</w:t>
      </w:r>
      <w:r w:rsidRPr="0017098B">
        <w:rPr>
          <w:rFonts w:eastAsia="MS Mincho" w:cs="Times New Roman"/>
          <w:noProof/>
          <w:szCs w:val="32"/>
        </w:rPr>
        <w:t xml:space="preserve"> for detecting market claims. The TD of the far leg being equal to the TD of the near leg. </w:t>
      </w:r>
      <w:r w:rsidRPr="00427069">
        <w:rPr>
          <w:rFonts w:eastAsia="MS Mincho" w:cs="Times New Roman"/>
          <w:noProof/>
          <w:szCs w:val="32"/>
          <w:lang w:val="fr-FR"/>
        </w:rPr>
        <w:t xml:space="preserve">(Cf. MS-SETTL-PENSION-02, </w:t>
      </w:r>
      <w:r w:rsidRPr="00427069">
        <w:rPr>
          <w:rFonts w:eastAsia="MS Mincho" w:cs="Times New Roman"/>
          <w:noProof/>
          <w:color w:val="00B050"/>
          <w:szCs w:val="32"/>
          <w:lang w:val="fr-FR"/>
        </w:rPr>
        <w:t>Cf.R</w:t>
      </w:r>
      <w:r>
        <w:rPr>
          <w:rFonts w:eastAsia="MS Mincho" w:cs="Times New Roman"/>
          <w:noProof/>
          <w:color w:val="00B050"/>
          <w:szCs w:val="32"/>
          <w:lang w:val="fr-FR"/>
        </w:rPr>
        <w:t>u</w:t>
      </w:r>
      <w:r w:rsidRPr="00427069">
        <w:rPr>
          <w:rFonts w:eastAsia="MS Mincho" w:cs="Times New Roman"/>
          <w:noProof/>
          <w:color w:val="00B050"/>
          <w:szCs w:val="32"/>
          <w:lang w:val="fr-FR"/>
        </w:rPr>
        <w:t>es (1) et (2)</w:t>
      </w:r>
      <w:r w:rsidRPr="00427069">
        <w:rPr>
          <w:rFonts w:eastAsia="MS Mincho" w:cs="Times New Roman"/>
          <w:noProof/>
          <w:szCs w:val="32"/>
          <w:lang w:val="fr-FR"/>
        </w:rPr>
        <w:t>).</w:t>
      </w:r>
    </w:p>
    <w:p w:rsidR="0017098B" w:rsidRPr="00427069" w:rsidRDefault="0017098B" w:rsidP="0017098B">
      <w:pPr>
        <w:pStyle w:val="ListParagraph"/>
        <w:numPr>
          <w:ilvl w:val="3"/>
          <w:numId w:val="19"/>
        </w:numPr>
        <w:spacing w:after="0" w:line="240" w:lineRule="auto"/>
        <w:ind w:left="1797" w:hanging="357"/>
        <w:jc w:val="both"/>
        <w:rPr>
          <w:rFonts w:eastAsia="MS Mincho" w:cs="Times New Roman"/>
          <w:noProof/>
          <w:szCs w:val="32"/>
          <w:lang w:val="fr-FR"/>
        </w:rPr>
      </w:pPr>
      <w:r w:rsidRPr="00427069">
        <w:rPr>
          <w:rFonts w:eastAsia="MS Mincho" w:cs="Times New Roman"/>
          <w:noProof/>
          <w:szCs w:val="32"/>
          <w:lang w:val="fr-FR"/>
        </w:rPr>
        <w:t>Illustration (non exhaustive)</w:t>
      </w:r>
    </w:p>
    <w:p w:rsidR="0017098B" w:rsidRDefault="0017098B" w:rsidP="0017098B">
      <w:pPr>
        <w:pStyle w:val="ListParagraph"/>
        <w:spacing w:before="120"/>
        <w:ind w:left="1800"/>
        <w:jc w:val="both"/>
        <w:rPr>
          <w:rFonts w:eastAsia="MS Mincho" w:cs="Times New Roman"/>
          <w:noProof/>
          <w:szCs w:val="32"/>
          <w:lang w:val="fr-FR"/>
        </w:rPr>
      </w:pPr>
    </w:p>
    <w:p w:rsidR="002B284F" w:rsidRDefault="005C1B4C" w:rsidP="00717A12">
      <w:pPr>
        <w:spacing w:before="120" w:after="0" w:line="240" w:lineRule="auto"/>
        <w:jc w:val="both"/>
        <w:rPr>
          <w:rFonts w:eastAsia="MS Mincho" w:cs="Times New Roman"/>
          <w:noProof/>
          <w:szCs w:val="32"/>
        </w:rPr>
      </w:pPr>
      <w:r>
        <w:rPr>
          <w:rFonts w:eastAsia="MS Mincho" w:cs="Times New Roman"/>
          <w:noProof/>
          <w:szCs w:val="32"/>
        </w:rPr>
        <w:drawing>
          <wp:inline distT="0" distB="0" distL="0" distR="0" wp14:anchorId="07340B6E">
            <wp:extent cx="6038850" cy="231410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40610" cy="2314782"/>
                    </a:xfrm>
                    <a:prstGeom prst="rect">
                      <a:avLst/>
                    </a:prstGeom>
                    <a:noFill/>
                  </pic:spPr>
                </pic:pic>
              </a:graphicData>
            </a:graphic>
          </wp:inline>
        </w:drawing>
      </w:r>
    </w:p>
    <w:p w:rsidR="00DA37EB" w:rsidRDefault="00DA37EB" w:rsidP="00717A12">
      <w:pPr>
        <w:spacing w:before="120" w:after="0" w:line="240" w:lineRule="auto"/>
        <w:jc w:val="both"/>
        <w:rPr>
          <w:rFonts w:eastAsia="MS Mincho" w:cs="Times New Roman"/>
          <w:noProof/>
          <w:szCs w:val="32"/>
        </w:rPr>
      </w:pPr>
    </w:p>
    <w:p w:rsidR="00DA37EB" w:rsidRDefault="00DA37EB" w:rsidP="00717A12">
      <w:pPr>
        <w:spacing w:before="120" w:after="0" w:line="240" w:lineRule="auto"/>
        <w:jc w:val="both"/>
        <w:rPr>
          <w:rFonts w:eastAsia="MS Mincho" w:cs="Times New Roman"/>
          <w:noProof/>
          <w:szCs w:val="32"/>
        </w:rPr>
      </w:pPr>
    </w:p>
    <w:p w:rsidR="00A91578" w:rsidRPr="00A91578" w:rsidRDefault="00A91578" w:rsidP="00A91578">
      <w:pPr>
        <w:pStyle w:val="ListParagraph"/>
        <w:numPr>
          <w:ilvl w:val="2"/>
          <w:numId w:val="21"/>
        </w:numPr>
        <w:spacing w:after="0" w:line="240" w:lineRule="auto"/>
        <w:contextualSpacing w:val="0"/>
        <w:jc w:val="both"/>
        <w:rPr>
          <w:rFonts w:eastAsia="MS Mincho" w:cs="Times New Roman"/>
          <w:noProof/>
          <w:szCs w:val="32"/>
        </w:rPr>
      </w:pPr>
      <w:r w:rsidRPr="00A91578">
        <w:rPr>
          <w:rFonts w:eastAsia="MS Mincho" w:cs="Times New Roman"/>
          <w:noProof/>
          <w:szCs w:val="32"/>
        </w:rPr>
        <w:t>This solution is not efficient:</w:t>
      </w:r>
    </w:p>
    <w:p w:rsidR="00A91578" w:rsidRPr="00A91578" w:rsidRDefault="00A91578" w:rsidP="00A91578">
      <w:pPr>
        <w:pStyle w:val="ListParagraph"/>
        <w:numPr>
          <w:ilvl w:val="3"/>
          <w:numId w:val="21"/>
        </w:numPr>
        <w:spacing w:after="0" w:line="240" w:lineRule="auto"/>
        <w:contextualSpacing w:val="0"/>
        <w:jc w:val="both"/>
        <w:rPr>
          <w:rFonts w:eastAsia="MS Mincho" w:cs="Times New Roman"/>
          <w:noProof/>
          <w:szCs w:val="32"/>
        </w:rPr>
      </w:pPr>
      <w:r w:rsidRPr="00A91578">
        <w:rPr>
          <w:rFonts w:eastAsia="MS Mincho" w:cs="Times New Roman"/>
          <w:noProof/>
          <w:szCs w:val="32"/>
        </w:rPr>
        <w:t xml:space="preserve">For securities financing transactions with a variable rate involving instructing the far leg at the maturity of the </w:t>
      </w:r>
      <w:r>
        <w:rPr>
          <w:rFonts w:eastAsia="MS Mincho" w:cs="Times New Roman"/>
          <w:noProof/>
          <w:szCs w:val="32"/>
        </w:rPr>
        <w:t>contract because of con</w:t>
      </w:r>
      <w:r w:rsidR="004F4C53">
        <w:rPr>
          <w:rFonts w:eastAsia="MS Mincho" w:cs="Times New Roman"/>
          <w:noProof/>
          <w:szCs w:val="32"/>
        </w:rPr>
        <w:t>s</w:t>
      </w:r>
      <w:r>
        <w:rPr>
          <w:rFonts w:eastAsia="MS Mincho" w:cs="Times New Roman"/>
          <w:noProof/>
          <w:szCs w:val="32"/>
        </w:rPr>
        <w:t>trainsts related to the calculation of the remuneration</w:t>
      </w:r>
      <w:r w:rsidRPr="00A91578">
        <w:rPr>
          <w:rFonts w:eastAsia="MS Mincho" w:cs="Times New Roman"/>
          <w:noProof/>
          <w:szCs w:val="32"/>
        </w:rPr>
        <w:t xml:space="preserve">. </w:t>
      </w:r>
    </w:p>
    <w:p w:rsidR="00A91578" w:rsidRDefault="00A91578" w:rsidP="00A91578">
      <w:pPr>
        <w:pStyle w:val="ListParagraph"/>
        <w:numPr>
          <w:ilvl w:val="3"/>
          <w:numId w:val="21"/>
        </w:numPr>
        <w:spacing w:after="0" w:line="240" w:lineRule="auto"/>
        <w:ind w:left="1797" w:hanging="357"/>
        <w:contextualSpacing w:val="0"/>
        <w:jc w:val="both"/>
        <w:rPr>
          <w:rFonts w:eastAsia="MS Mincho" w:cs="Times New Roman"/>
          <w:i/>
          <w:noProof/>
          <w:szCs w:val="32"/>
          <w:lang w:val="fr-FR"/>
        </w:rPr>
      </w:pPr>
      <w:r w:rsidRPr="00A91578">
        <w:rPr>
          <w:rFonts w:eastAsia="MS Mincho" w:cs="Times New Roman"/>
          <w:noProof/>
          <w:szCs w:val="32"/>
        </w:rPr>
        <w:t xml:space="preserve">For securities in FMT. Detection rules do not rely on the TD. In this situation, even when both the near leg and the far leg are input at the same time, only the intended and actual settlement dates (ISD/ASD) </w:t>
      </w:r>
      <w:r>
        <w:rPr>
          <w:rFonts w:eastAsia="MS Mincho" w:cs="Times New Roman"/>
          <w:noProof/>
          <w:szCs w:val="32"/>
        </w:rPr>
        <w:t>are efficient</w:t>
      </w:r>
      <w:r w:rsidRPr="00A91578">
        <w:rPr>
          <w:rFonts w:eastAsia="MS Mincho" w:cs="Times New Roman"/>
          <w:noProof/>
          <w:szCs w:val="32"/>
        </w:rPr>
        <w:t xml:space="preserve"> </w:t>
      </w:r>
      <w:r>
        <w:rPr>
          <w:rFonts w:eastAsia="MS Mincho" w:cs="Times New Roman"/>
          <w:noProof/>
          <w:szCs w:val="32"/>
        </w:rPr>
        <w:t xml:space="preserve">to ensure the </w:t>
      </w:r>
      <w:r w:rsidRPr="00A91578">
        <w:rPr>
          <w:rFonts w:eastAsia="MS Mincho" w:cs="Times New Roman"/>
          <w:noProof/>
          <w:szCs w:val="32"/>
        </w:rPr>
        <w:t>d</w:t>
      </w:r>
      <w:r>
        <w:rPr>
          <w:rFonts w:eastAsia="MS Mincho" w:cs="Times New Roman"/>
          <w:noProof/>
          <w:szCs w:val="32"/>
        </w:rPr>
        <w:t>e</w:t>
      </w:r>
      <w:r w:rsidRPr="00A91578">
        <w:rPr>
          <w:rFonts w:eastAsia="MS Mincho" w:cs="Times New Roman"/>
          <w:noProof/>
          <w:szCs w:val="32"/>
        </w:rPr>
        <w:t>tection</w:t>
      </w:r>
      <w:r w:rsidRPr="00A91578">
        <w:rPr>
          <w:rFonts w:eastAsia="MS Mincho" w:cs="Times New Roman"/>
          <w:i/>
          <w:noProof/>
          <w:szCs w:val="32"/>
        </w:rPr>
        <w:t xml:space="preserve">.  </w:t>
      </w:r>
      <w:r w:rsidRPr="00D63095">
        <w:rPr>
          <w:rFonts w:eastAsia="MS Mincho" w:cs="Times New Roman"/>
          <w:i/>
          <w:noProof/>
          <w:color w:val="00B050"/>
          <w:szCs w:val="32"/>
          <w:lang w:val="fr-FR"/>
        </w:rPr>
        <w:t>Cf.R</w:t>
      </w:r>
      <w:r>
        <w:rPr>
          <w:rFonts w:eastAsia="MS Mincho" w:cs="Times New Roman"/>
          <w:i/>
          <w:noProof/>
          <w:color w:val="00B050"/>
          <w:szCs w:val="32"/>
          <w:lang w:val="fr-FR"/>
        </w:rPr>
        <w:t>u</w:t>
      </w:r>
      <w:r w:rsidRPr="00D63095">
        <w:rPr>
          <w:rFonts w:eastAsia="MS Mincho" w:cs="Times New Roman"/>
          <w:i/>
          <w:noProof/>
          <w:color w:val="00B050"/>
          <w:szCs w:val="32"/>
          <w:lang w:val="fr-FR"/>
        </w:rPr>
        <w:t>le (3)</w:t>
      </w:r>
      <w:r>
        <w:rPr>
          <w:rFonts w:eastAsia="MS Mincho" w:cs="Times New Roman"/>
          <w:i/>
          <w:noProof/>
          <w:szCs w:val="32"/>
          <w:lang w:val="fr-FR"/>
        </w:rPr>
        <w:t>.</w:t>
      </w:r>
    </w:p>
    <w:p w:rsidR="00A91578" w:rsidRPr="00A91578" w:rsidRDefault="00A91578" w:rsidP="00A91578">
      <w:pPr>
        <w:pStyle w:val="ListParagraph"/>
        <w:numPr>
          <w:ilvl w:val="3"/>
          <w:numId w:val="21"/>
        </w:numPr>
        <w:spacing w:after="0" w:line="240" w:lineRule="auto"/>
        <w:ind w:left="1797"/>
        <w:contextualSpacing w:val="0"/>
        <w:jc w:val="both"/>
        <w:rPr>
          <w:rFonts w:eastAsia="MS Mincho" w:cs="Times New Roman"/>
          <w:i/>
          <w:noProof/>
          <w:szCs w:val="32"/>
        </w:rPr>
      </w:pPr>
      <w:r w:rsidRPr="00A91578">
        <w:rPr>
          <w:rFonts w:eastAsia="MS Mincho" w:cs="Times New Roman"/>
          <w:noProof/>
          <w:szCs w:val="32"/>
        </w:rPr>
        <w:t>All corporate actions occuring before the retrocession are not detected and will require a bilateral retrocession (</w:t>
      </w:r>
      <w:r>
        <w:rPr>
          <w:rFonts w:eastAsia="MS Mincho" w:cs="Times New Roman"/>
          <w:noProof/>
          <w:szCs w:val="32"/>
        </w:rPr>
        <w:t xml:space="preserve">most </w:t>
      </w:r>
      <w:r w:rsidRPr="00A91578">
        <w:rPr>
          <w:rFonts w:eastAsia="MS Mincho" w:cs="Times New Roman"/>
          <w:noProof/>
          <w:szCs w:val="32"/>
        </w:rPr>
        <w:t>fr</w:t>
      </w:r>
      <w:r>
        <w:rPr>
          <w:rFonts w:eastAsia="MS Mincho" w:cs="Times New Roman"/>
          <w:noProof/>
          <w:szCs w:val="32"/>
        </w:rPr>
        <w:t>e</w:t>
      </w:r>
      <w:r w:rsidRPr="00A91578">
        <w:rPr>
          <w:rFonts w:eastAsia="MS Mincho" w:cs="Times New Roman"/>
          <w:noProof/>
          <w:szCs w:val="32"/>
        </w:rPr>
        <w:t>quent</w:t>
      </w:r>
      <w:r>
        <w:rPr>
          <w:rFonts w:eastAsia="MS Mincho" w:cs="Times New Roman"/>
          <w:noProof/>
          <w:szCs w:val="32"/>
        </w:rPr>
        <w:t xml:space="preserve"> case</w:t>
      </w:r>
      <w:r w:rsidRPr="00A91578">
        <w:rPr>
          <w:rFonts w:eastAsia="MS Mincho" w:cs="Times New Roman"/>
          <w:noProof/>
          <w:szCs w:val="32"/>
        </w:rPr>
        <w:t>).</w:t>
      </w:r>
    </w:p>
    <w:p w:rsidR="00A91578" w:rsidRPr="00945650" w:rsidRDefault="00A91578" w:rsidP="00A91578">
      <w:pPr>
        <w:pStyle w:val="ListParagraph"/>
        <w:numPr>
          <w:ilvl w:val="3"/>
          <w:numId w:val="21"/>
        </w:numPr>
        <w:spacing w:after="0" w:line="240" w:lineRule="auto"/>
        <w:ind w:left="1797"/>
        <w:contextualSpacing w:val="0"/>
        <w:jc w:val="both"/>
        <w:rPr>
          <w:rFonts w:eastAsia="MS Mincho" w:cs="Times New Roman"/>
          <w:i/>
          <w:noProof/>
          <w:szCs w:val="32"/>
          <w:lang w:val="fr-FR"/>
        </w:rPr>
      </w:pPr>
      <w:r w:rsidRPr="00945650">
        <w:rPr>
          <w:rFonts w:eastAsia="MS Mincho" w:cs="Times New Roman"/>
          <w:noProof/>
          <w:szCs w:val="32"/>
          <w:lang w:val="fr-FR"/>
        </w:rPr>
        <w:t>Illustration (non exhaustive)</w:t>
      </w:r>
    </w:p>
    <w:p w:rsidR="00A91578" w:rsidRDefault="00A91578" w:rsidP="00A91578">
      <w:pPr>
        <w:pStyle w:val="ListParagraph"/>
        <w:spacing w:before="120"/>
        <w:ind w:left="1800"/>
        <w:jc w:val="both"/>
        <w:rPr>
          <w:rFonts w:eastAsia="MS Mincho" w:cs="Times New Roman"/>
          <w:i/>
          <w:noProof/>
          <w:szCs w:val="32"/>
          <w:lang w:val="fr-FR"/>
        </w:rPr>
      </w:pPr>
    </w:p>
    <w:p w:rsidR="00DA37EB" w:rsidRDefault="004F4C53" w:rsidP="00717A12">
      <w:pPr>
        <w:spacing w:before="120" w:after="0" w:line="240" w:lineRule="auto"/>
        <w:jc w:val="both"/>
        <w:rPr>
          <w:rFonts w:eastAsia="MS Mincho" w:cs="Times New Roman"/>
          <w:noProof/>
          <w:szCs w:val="32"/>
        </w:rPr>
      </w:pPr>
      <w:r>
        <w:rPr>
          <w:rFonts w:eastAsia="MS Mincho" w:cs="Times New Roman"/>
          <w:noProof/>
          <w:szCs w:val="32"/>
        </w:rPr>
        <w:drawing>
          <wp:inline distT="0" distB="0" distL="0" distR="0" wp14:anchorId="6F38DD07">
            <wp:extent cx="5838791" cy="17240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40271" cy="1724462"/>
                    </a:xfrm>
                    <a:prstGeom prst="rect">
                      <a:avLst/>
                    </a:prstGeom>
                    <a:noFill/>
                  </pic:spPr>
                </pic:pic>
              </a:graphicData>
            </a:graphic>
          </wp:inline>
        </w:drawing>
      </w:r>
    </w:p>
    <w:p w:rsidR="00A91578" w:rsidRDefault="00A91578" w:rsidP="00717A12">
      <w:pPr>
        <w:spacing w:before="120" w:after="0" w:line="240" w:lineRule="auto"/>
        <w:jc w:val="both"/>
        <w:rPr>
          <w:rFonts w:eastAsia="MS Mincho" w:cs="Times New Roman"/>
          <w:noProof/>
          <w:szCs w:val="32"/>
        </w:rPr>
      </w:pPr>
    </w:p>
    <w:p w:rsidR="00020EA1" w:rsidRPr="00020EA1" w:rsidRDefault="00020EA1" w:rsidP="00020EA1">
      <w:pPr>
        <w:pStyle w:val="ListParagraph"/>
        <w:numPr>
          <w:ilvl w:val="0"/>
          <w:numId w:val="22"/>
        </w:numPr>
        <w:spacing w:before="120"/>
        <w:jc w:val="both"/>
        <w:rPr>
          <w:rFonts w:eastAsia="MS Mincho" w:cs="Times New Roman"/>
          <w:noProof/>
          <w:szCs w:val="32"/>
        </w:rPr>
      </w:pPr>
      <w:r w:rsidRPr="00020EA1">
        <w:rPr>
          <w:rFonts w:eastAsia="MS Mincho" w:cs="Times New Roman"/>
          <w:noProof/>
          <w:szCs w:val="32"/>
        </w:rPr>
        <w:t>If both legs are input separately, involving an input of the far leg at the maturity of the contract, market claim detection rules are constrained by the 20</w:t>
      </w:r>
      <w:r w:rsidR="006041EE">
        <w:rPr>
          <w:rFonts w:eastAsia="MS Mincho" w:cs="Times New Roman"/>
          <w:noProof/>
          <w:szCs w:val="32"/>
        </w:rPr>
        <w:t>-day</w:t>
      </w:r>
      <w:r w:rsidRPr="00020EA1">
        <w:rPr>
          <w:rFonts w:eastAsia="MS Mincho" w:cs="Times New Roman"/>
          <w:noProof/>
          <w:szCs w:val="32"/>
        </w:rPr>
        <w:t xml:space="preserve"> limit after the RD of the CA</w:t>
      </w:r>
      <w:r>
        <w:rPr>
          <w:rFonts w:eastAsia="MS Mincho" w:cs="Times New Roman"/>
          <w:noProof/>
          <w:szCs w:val="32"/>
        </w:rPr>
        <w:t xml:space="preserve">, whatever the anteriority of the </w:t>
      </w:r>
      <w:r w:rsidRPr="00020EA1">
        <w:rPr>
          <w:rFonts w:eastAsia="MS Mincho" w:cs="Times New Roman"/>
          <w:noProof/>
          <w:szCs w:val="32"/>
        </w:rPr>
        <w:t xml:space="preserve">TD.  </w:t>
      </w:r>
    </w:p>
    <w:p w:rsidR="00020EA1" w:rsidRPr="00020EA1" w:rsidRDefault="00020EA1" w:rsidP="00020EA1">
      <w:pPr>
        <w:pStyle w:val="ListParagraph"/>
        <w:spacing w:after="0" w:line="240" w:lineRule="auto"/>
        <w:contextualSpacing w:val="0"/>
        <w:jc w:val="both"/>
        <w:rPr>
          <w:rFonts w:eastAsia="MS Mincho" w:cs="Times New Roman"/>
          <w:noProof/>
          <w:szCs w:val="32"/>
        </w:rPr>
      </w:pPr>
    </w:p>
    <w:p w:rsidR="00020EA1" w:rsidRPr="00020EA1" w:rsidRDefault="00020EA1" w:rsidP="00020EA1">
      <w:pPr>
        <w:pStyle w:val="ListParagraph"/>
        <w:numPr>
          <w:ilvl w:val="1"/>
          <w:numId w:val="22"/>
        </w:numPr>
        <w:spacing w:after="0" w:line="240" w:lineRule="auto"/>
        <w:contextualSpacing w:val="0"/>
        <w:jc w:val="both"/>
        <w:rPr>
          <w:rFonts w:eastAsia="MS Mincho" w:cs="Times New Roman"/>
          <w:noProof/>
          <w:szCs w:val="32"/>
        </w:rPr>
      </w:pPr>
      <w:r w:rsidRPr="00020EA1">
        <w:rPr>
          <w:rFonts w:eastAsia="MS Mincho" w:cs="Times New Roman"/>
          <w:noProof/>
          <w:szCs w:val="32"/>
        </w:rPr>
        <w:t xml:space="preserve">Behavior of </w:t>
      </w:r>
      <w:r w:rsidRPr="00020EA1">
        <w:rPr>
          <w:rFonts w:eastAsia="MS Mincho" w:cs="Times New Roman"/>
          <w:b/>
          <w:noProof/>
          <w:color w:val="00B050"/>
          <w:szCs w:val="32"/>
        </w:rPr>
        <w:t>Rules (1)</w:t>
      </w:r>
      <w:r w:rsidRPr="00020EA1">
        <w:rPr>
          <w:rFonts w:eastAsia="MS Mincho" w:cs="Times New Roman"/>
          <w:noProof/>
          <w:szCs w:val="32"/>
        </w:rPr>
        <w:t xml:space="preserve"> </w:t>
      </w:r>
      <w:r w:rsidRPr="00020EA1">
        <w:rPr>
          <w:rFonts w:eastAsia="MS Mincho" w:cs="Times New Roman"/>
          <w:b/>
          <w:noProof/>
          <w:color w:val="00B050"/>
          <w:szCs w:val="32"/>
        </w:rPr>
        <w:t>and (2)</w:t>
      </w:r>
      <w:r w:rsidRPr="00020EA1">
        <w:rPr>
          <w:rFonts w:eastAsia="MS Mincho" w:cs="Times New Roman"/>
          <w:noProof/>
          <w:szCs w:val="32"/>
        </w:rPr>
        <w:t xml:space="preserve"> for capital securities in UNT.</w:t>
      </w:r>
    </w:p>
    <w:p w:rsidR="00020EA1" w:rsidRPr="00A47444" w:rsidRDefault="00A47444" w:rsidP="00020EA1">
      <w:pPr>
        <w:pStyle w:val="ListParagraph"/>
        <w:numPr>
          <w:ilvl w:val="3"/>
          <w:numId w:val="22"/>
        </w:numPr>
        <w:spacing w:after="0" w:line="240" w:lineRule="auto"/>
        <w:ind w:left="1565" w:hanging="425"/>
        <w:contextualSpacing w:val="0"/>
        <w:jc w:val="both"/>
        <w:rPr>
          <w:rFonts w:eastAsia="MS Mincho" w:cs="Times New Roman"/>
          <w:noProof/>
          <w:szCs w:val="32"/>
        </w:rPr>
      </w:pPr>
      <w:r w:rsidRPr="00A47444">
        <w:rPr>
          <w:rFonts w:eastAsia="MS Mincho" w:cs="Times New Roman"/>
          <w:noProof/>
          <w:szCs w:val="32"/>
        </w:rPr>
        <w:t>The market claim detection is subject to specific conditions and not systematic</w:t>
      </w:r>
      <w:r w:rsidR="00020EA1" w:rsidRPr="00A47444">
        <w:rPr>
          <w:rFonts w:eastAsia="MS Mincho" w:cs="Times New Roman"/>
          <w:noProof/>
          <w:szCs w:val="32"/>
        </w:rPr>
        <w:t xml:space="preserve">. </w:t>
      </w:r>
      <w:r w:rsidRPr="00A47444">
        <w:rPr>
          <w:rFonts w:eastAsia="MS Mincho" w:cs="Times New Roman"/>
          <w:noProof/>
          <w:szCs w:val="32"/>
        </w:rPr>
        <w:t xml:space="preserve">All CA occuring before the retrocession, with a TD and ASD not meeting detection rules, are not detected and will require bilateral retrocession </w:t>
      </w:r>
      <w:r w:rsidR="00020EA1" w:rsidRPr="00A47444">
        <w:rPr>
          <w:rFonts w:eastAsia="MS Mincho" w:cs="Times New Roman"/>
          <w:noProof/>
          <w:szCs w:val="32"/>
        </w:rPr>
        <w:t>(</w:t>
      </w:r>
      <w:r>
        <w:rPr>
          <w:rFonts w:eastAsia="MS Mincho" w:cs="Times New Roman"/>
          <w:noProof/>
          <w:szCs w:val="32"/>
        </w:rPr>
        <w:t xml:space="preserve">most </w:t>
      </w:r>
      <w:r w:rsidR="00020EA1" w:rsidRPr="00A47444">
        <w:rPr>
          <w:rFonts w:eastAsia="MS Mincho" w:cs="Times New Roman"/>
          <w:noProof/>
          <w:szCs w:val="32"/>
        </w:rPr>
        <w:t>fr</w:t>
      </w:r>
      <w:r>
        <w:rPr>
          <w:rFonts w:eastAsia="MS Mincho" w:cs="Times New Roman"/>
          <w:noProof/>
          <w:szCs w:val="32"/>
        </w:rPr>
        <w:t>e</w:t>
      </w:r>
      <w:r w:rsidR="00020EA1" w:rsidRPr="00A47444">
        <w:rPr>
          <w:rFonts w:eastAsia="MS Mincho" w:cs="Times New Roman"/>
          <w:noProof/>
          <w:szCs w:val="32"/>
        </w:rPr>
        <w:t>quent</w:t>
      </w:r>
      <w:r>
        <w:rPr>
          <w:rFonts w:eastAsia="MS Mincho" w:cs="Times New Roman"/>
          <w:noProof/>
          <w:szCs w:val="32"/>
        </w:rPr>
        <w:t xml:space="preserve"> case</w:t>
      </w:r>
      <w:r w:rsidR="00020EA1" w:rsidRPr="00A47444">
        <w:rPr>
          <w:rFonts w:eastAsia="MS Mincho" w:cs="Times New Roman"/>
          <w:noProof/>
          <w:szCs w:val="32"/>
        </w:rPr>
        <w:t>).</w:t>
      </w:r>
    </w:p>
    <w:p w:rsidR="00020EA1" w:rsidRPr="00A47444" w:rsidRDefault="00A47444" w:rsidP="00020EA1">
      <w:pPr>
        <w:pStyle w:val="ListParagraph"/>
        <w:numPr>
          <w:ilvl w:val="3"/>
          <w:numId w:val="22"/>
        </w:numPr>
        <w:spacing w:after="0" w:line="240" w:lineRule="auto"/>
        <w:ind w:left="1565" w:hanging="425"/>
        <w:contextualSpacing w:val="0"/>
        <w:jc w:val="both"/>
        <w:rPr>
          <w:rFonts w:eastAsia="MS Mincho" w:cs="Times New Roman"/>
          <w:noProof/>
          <w:szCs w:val="32"/>
        </w:rPr>
      </w:pPr>
      <w:r w:rsidRPr="00A47444">
        <w:rPr>
          <w:rFonts w:eastAsia="MS Mincho" w:cs="Times New Roman"/>
          <w:noProof/>
          <w:szCs w:val="32"/>
        </w:rPr>
        <w:t xml:space="preserve">The behavior is more or less the same for securities corresponding to </w:t>
      </w:r>
      <w:r w:rsidR="00020EA1" w:rsidRPr="00A47444">
        <w:rPr>
          <w:rFonts w:eastAsia="MS Mincho" w:cs="Times New Roman"/>
          <w:b/>
          <w:noProof/>
          <w:color w:val="00B050"/>
          <w:szCs w:val="32"/>
        </w:rPr>
        <w:t>r</w:t>
      </w:r>
      <w:r>
        <w:rPr>
          <w:rFonts w:eastAsia="MS Mincho" w:cs="Times New Roman"/>
          <w:b/>
          <w:noProof/>
          <w:color w:val="00B050"/>
          <w:szCs w:val="32"/>
        </w:rPr>
        <w:t>u</w:t>
      </w:r>
      <w:r w:rsidR="00020EA1" w:rsidRPr="00A47444">
        <w:rPr>
          <w:rFonts w:eastAsia="MS Mincho" w:cs="Times New Roman"/>
          <w:b/>
          <w:noProof/>
          <w:color w:val="00B050"/>
          <w:szCs w:val="32"/>
        </w:rPr>
        <w:t>le (2)</w:t>
      </w:r>
      <w:r w:rsidR="00020EA1" w:rsidRPr="00A47444">
        <w:rPr>
          <w:rFonts w:eastAsia="MS Mincho" w:cs="Times New Roman"/>
          <w:noProof/>
          <w:color w:val="00B050"/>
          <w:szCs w:val="32"/>
        </w:rPr>
        <w:t xml:space="preserve"> </w:t>
      </w:r>
      <w:r>
        <w:rPr>
          <w:rFonts w:eastAsia="MS Mincho" w:cs="Times New Roman"/>
          <w:noProof/>
          <w:szCs w:val="32"/>
        </w:rPr>
        <w:t xml:space="preserve">for which the sequence of dates is </w:t>
      </w:r>
      <w:r w:rsidR="00020EA1" w:rsidRPr="00A47444">
        <w:rPr>
          <w:rFonts w:eastAsia="MS Mincho" w:cs="Times New Roman"/>
          <w:noProof/>
          <w:szCs w:val="32"/>
        </w:rPr>
        <w:t>diff</w:t>
      </w:r>
      <w:r>
        <w:rPr>
          <w:rFonts w:eastAsia="MS Mincho" w:cs="Times New Roman"/>
          <w:noProof/>
          <w:szCs w:val="32"/>
        </w:rPr>
        <w:t>e</w:t>
      </w:r>
      <w:r w:rsidR="00020EA1" w:rsidRPr="00A47444">
        <w:rPr>
          <w:rFonts w:eastAsia="MS Mincho" w:cs="Times New Roman"/>
          <w:noProof/>
          <w:szCs w:val="32"/>
        </w:rPr>
        <w:t xml:space="preserve">rent (Ex-Date = Payment-Date) </w:t>
      </w:r>
    </w:p>
    <w:p w:rsidR="00020EA1" w:rsidRDefault="00020EA1" w:rsidP="00020EA1">
      <w:pPr>
        <w:pStyle w:val="ListParagraph"/>
        <w:numPr>
          <w:ilvl w:val="3"/>
          <w:numId w:val="22"/>
        </w:numPr>
        <w:spacing w:after="0" w:line="240" w:lineRule="auto"/>
        <w:ind w:left="1565" w:hanging="425"/>
        <w:contextualSpacing w:val="0"/>
        <w:jc w:val="both"/>
        <w:rPr>
          <w:rFonts w:eastAsia="MS Mincho" w:cs="Times New Roman"/>
          <w:noProof/>
          <w:szCs w:val="32"/>
          <w:lang w:val="fr-FR"/>
        </w:rPr>
      </w:pPr>
      <w:r>
        <w:rPr>
          <w:rFonts w:eastAsia="MS Mincho" w:cs="Times New Roman"/>
          <w:noProof/>
          <w:szCs w:val="32"/>
          <w:lang w:val="fr-FR"/>
        </w:rPr>
        <w:t>Illustration (non exhaustive)</w:t>
      </w:r>
    </w:p>
    <w:p w:rsidR="00A91578" w:rsidRDefault="00A91578" w:rsidP="00717A12">
      <w:pPr>
        <w:spacing w:before="120" w:after="0" w:line="240" w:lineRule="auto"/>
        <w:jc w:val="both"/>
        <w:rPr>
          <w:rFonts w:eastAsia="MS Mincho" w:cs="Times New Roman"/>
          <w:noProof/>
          <w:szCs w:val="32"/>
        </w:rPr>
      </w:pPr>
    </w:p>
    <w:p w:rsidR="00A91578" w:rsidRDefault="006150E8" w:rsidP="00717A12">
      <w:pPr>
        <w:spacing w:before="120" w:after="0" w:line="240" w:lineRule="auto"/>
        <w:jc w:val="both"/>
        <w:rPr>
          <w:rFonts w:eastAsia="MS Mincho" w:cs="Times New Roman"/>
          <w:noProof/>
          <w:szCs w:val="32"/>
        </w:rPr>
      </w:pPr>
      <w:r>
        <w:rPr>
          <w:rFonts w:eastAsia="MS Mincho" w:cs="Times New Roman"/>
          <w:noProof/>
          <w:szCs w:val="32"/>
        </w:rPr>
        <w:lastRenderedPageBreak/>
        <w:drawing>
          <wp:inline distT="0" distB="0" distL="0" distR="0" wp14:anchorId="5FE785F1">
            <wp:extent cx="6090890" cy="2767466"/>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1031" cy="2772074"/>
                    </a:xfrm>
                    <a:prstGeom prst="rect">
                      <a:avLst/>
                    </a:prstGeom>
                    <a:noFill/>
                  </pic:spPr>
                </pic:pic>
              </a:graphicData>
            </a:graphic>
          </wp:inline>
        </w:drawing>
      </w:r>
    </w:p>
    <w:p w:rsidR="00B97EEC" w:rsidRDefault="00B97EEC" w:rsidP="00717A12">
      <w:pPr>
        <w:spacing w:before="120" w:after="0" w:line="240" w:lineRule="auto"/>
        <w:jc w:val="both"/>
        <w:rPr>
          <w:rFonts w:eastAsia="MS Mincho" w:cs="Times New Roman"/>
          <w:noProof/>
          <w:szCs w:val="32"/>
        </w:rPr>
      </w:pPr>
    </w:p>
    <w:p w:rsidR="000517C2" w:rsidRPr="000517C2" w:rsidRDefault="000517C2" w:rsidP="000517C2">
      <w:pPr>
        <w:pStyle w:val="ListParagraph"/>
        <w:numPr>
          <w:ilvl w:val="1"/>
          <w:numId w:val="23"/>
        </w:numPr>
        <w:spacing w:after="0" w:line="240" w:lineRule="auto"/>
        <w:contextualSpacing w:val="0"/>
        <w:jc w:val="both"/>
        <w:rPr>
          <w:rFonts w:eastAsia="MS Mincho" w:cs="Times New Roman"/>
          <w:noProof/>
          <w:szCs w:val="32"/>
        </w:rPr>
      </w:pPr>
      <w:r w:rsidRPr="000517C2">
        <w:rPr>
          <w:rFonts w:eastAsia="MS Mincho" w:cs="Times New Roman"/>
          <w:noProof/>
          <w:szCs w:val="32"/>
        </w:rPr>
        <w:t xml:space="preserve">Behavior of </w:t>
      </w:r>
      <w:r w:rsidRPr="000517C2">
        <w:rPr>
          <w:rFonts w:eastAsia="MS Mincho" w:cs="Times New Roman"/>
          <w:b/>
          <w:noProof/>
          <w:color w:val="00B050"/>
          <w:szCs w:val="32"/>
        </w:rPr>
        <w:t>Rules (3)</w:t>
      </w:r>
      <w:r w:rsidRPr="000517C2">
        <w:rPr>
          <w:rFonts w:eastAsia="MS Mincho" w:cs="Times New Roman"/>
          <w:noProof/>
          <w:szCs w:val="32"/>
        </w:rPr>
        <w:t xml:space="preserve"> for debt securities in </w:t>
      </w:r>
      <w:r>
        <w:rPr>
          <w:rFonts w:eastAsia="MS Mincho" w:cs="Times New Roman"/>
          <w:noProof/>
          <w:szCs w:val="32"/>
        </w:rPr>
        <w:t>FMT</w:t>
      </w:r>
      <w:r w:rsidRPr="000517C2">
        <w:rPr>
          <w:rFonts w:eastAsia="MS Mincho" w:cs="Times New Roman"/>
          <w:noProof/>
          <w:szCs w:val="32"/>
        </w:rPr>
        <w:t xml:space="preserve">. </w:t>
      </w:r>
    </w:p>
    <w:p w:rsidR="000517C2" w:rsidRDefault="000517C2" w:rsidP="000517C2">
      <w:pPr>
        <w:pStyle w:val="ListParagraph"/>
        <w:numPr>
          <w:ilvl w:val="3"/>
          <w:numId w:val="23"/>
        </w:numPr>
        <w:spacing w:after="0" w:line="240" w:lineRule="auto"/>
        <w:ind w:left="1565" w:hanging="425"/>
        <w:contextualSpacing w:val="0"/>
        <w:jc w:val="both"/>
        <w:rPr>
          <w:rFonts w:eastAsia="MS Mincho" w:cs="Times New Roman"/>
          <w:noProof/>
          <w:szCs w:val="32"/>
          <w:lang w:val="fr-FR"/>
        </w:rPr>
      </w:pPr>
      <w:r w:rsidRPr="000517C2">
        <w:rPr>
          <w:rFonts w:eastAsia="MS Mincho" w:cs="Times New Roman"/>
          <w:noProof/>
          <w:szCs w:val="32"/>
        </w:rPr>
        <w:t xml:space="preserve">Detection rules consider the conditions related to the RD, the anteriority of the ISD and the posteriority of the ASD. All market claims occuring before the intentded settlement date of the far leg are excluded from the detection. </w:t>
      </w:r>
      <w:r w:rsidRPr="000517C2">
        <w:rPr>
          <w:rFonts w:eastAsia="MS Mincho" w:cs="Times New Roman"/>
          <w:noProof/>
          <w:szCs w:val="32"/>
          <w:lang w:val="fr-FR"/>
        </w:rPr>
        <w:t xml:space="preserve">Bilateral </w:t>
      </w:r>
      <w:r>
        <w:rPr>
          <w:rFonts w:eastAsia="MS Mincho" w:cs="Times New Roman"/>
          <w:noProof/>
          <w:szCs w:val="32"/>
          <w:lang w:val="fr-FR"/>
        </w:rPr>
        <w:t>r</w:t>
      </w:r>
      <w:r w:rsidRPr="000517C2">
        <w:rPr>
          <w:rFonts w:eastAsia="MS Mincho" w:cs="Times New Roman"/>
          <w:noProof/>
          <w:szCs w:val="32"/>
          <w:lang w:val="fr-FR"/>
        </w:rPr>
        <w:t>etrocession</w:t>
      </w:r>
      <w:r>
        <w:rPr>
          <w:rFonts w:eastAsia="MS Mincho" w:cs="Times New Roman"/>
          <w:noProof/>
          <w:szCs w:val="32"/>
          <w:lang w:val="fr-FR"/>
        </w:rPr>
        <w:t>s</w:t>
      </w:r>
      <w:r w:rsidRPr="000517C2">
        <w:rPr>
          <w:rFonts w:eastAsia="MS Mincho" w:cs="Times New Roman"/>
          <w:noProof/>
          <w:szCs w:val="32"/>
          <w:lang w:val="fr-FR"/>
        </w:rPr>
        <w:t xml:space="preserve"> will b</w:t>
      </w:r>
      <w:r>
        <w:rPr>
          <w:rFonts w:eastAsia="MS Mincho" w:cs="Times New Roman"/>
          <w:noProof/>
          <w:szCs w:val="32"/>
          <w:lang w:val="fr-FR"/>
        </w:rPr>
        <w:t xml:space="preserve">e required </w:t>
      </w:r>
      <w:r w:rsidRPr="00DC5394">
        <w:rPr>
          <w:rFonts w:eastAsia="MS Mincho" w:cs="Times New Roman"/>
          <w:noProof/>
          <w:szCs w:val="32"/>
          <w:lang w:val="fr-FR"/>
        </w:rPr>
        <w:t>(</w:t>
      </w:r>
      <w:r>
        <w:rPr>
          <w:rFonts w:eastAsia="MS Mincho" w:cs="Times New Roman"/>
          <w:noProof/>
          <w:szCs w:val="32"/>
          <w:lang w:val="fr-FR"/>
        </w:rPr>
        <w:t xml:space="preserve">most </w:t>
      </w:r>
      <w:r w:rsidRPr="00DC5394">
        <w:rPr>
          <w:rFonts w:eastAsia="MS Mincho" w:cs="Times New Roman"/>
          <w:noProof/>
          <w:szCs w:val="32"/>
          <w:lang w:val="fr-FR"/>
        </w:rPr>
        <w:t>fr</w:t>
      </w:r>
      <w:r>
        <w:rPr>
          <w:rFonts w:eastAsia="MS Mincho" w:cs="Times New Roman"/>
          <w:noProof/>
          <w:szCs w:val="32"/>
          <w:lang w:val="fr-FR"/>
        </w:rPr>
        <w:t>e</w:t>
      </w:r>
      <w:r w:rsidRPr="00DC5394">
        <w:rPr>
          <w:rFonts w:eastAsia="MS Mincho" w:cs="Times New Roman"/>
          <w:noProof/>
          <w:szCs w:val="32"/>
          <w:lang w:val="fr-FR"/>
        </w:rPr>
        <w:t>quent</w:t>
      </w:r>
      <w:r>
        <w:rPr>
          <w:rFonts w:eastAsia="MS Mincho" w:cs="Times New Roman"/>
          <w:noProof/>
          <w:szCs w:val="32"/>
          <w:lang w:val="fr-FR"/>
        </w:rPr>
        <w:t xml:space="preserve"> case</w:t>
      </w:r>
      <w:r w:rsidRPr="00DC5394">
        <w:rPr>
          <w:rFonts w:eastAsia="MS Mincho" w:cs="Times New Roman"/>
          <w:noProof/>
          <w:szCs w:val="32"/>
          <w:lang w:val="fr-FR"/>
        </w:rPr>
        <w:t xml:space="preserve">). </w:t>
      </w:r>
    </w:p>
    <w:p w:rsidR="000517C2" w:rsidRPr="00A50FBE" w:rsidRDefault="000517C2" w:rsidP="000517C2">
      <w:pPr>
        <w:pStyle w:val="ListParagraph"/>
        <w:numPr>
          <w:ilvl w:val="3"/>
          <w:numId w:val="23"/>
        </w:numPr>
        <w:spacing w:after="0" w:line="240" w:lineRule="auto"/>
        <w:ind w:left="1565" w:hanging="425"/>
        <w:contextualSpacing w:val="0"/>
        <w:jc w:val="both"/>
        <w:rPr>
          <w:rFonts w:eastAsia="MS Mincho" w:cs="Times New Roman"/>
          <w:noProof/>
          <w:szCs w:val="32"/>
          <w:lang w:val="fr-FR"/>
        </w:rPr>
      </w:pPr>
      <w:r>
        <w:rPr>
          <w:rFonts w:eastAsia="MS Mincho" w:cs="Times New Roman"/>
          <w:noProof/>
          <w:szCs w:val="32"/>
          <w:lang w:val="fr-FR"/>
        </w:rPr>
        <w:t>Illustration (non exhaustive)</w:t>
      </w:r>
    </w:p>
    <w:p w:rsidR="000517C2" w:rsidRPr="00DC5394" w:rsidRDefault="000517C2" w:rsidP="000517C2">
      <w:pPr>
        <w:pStyle w:val="ListParagraph"/>
        <w:spacing w:before="120"/>
        <w:ind w:left="1565"/>
        <w:jc w:val="both"/>
        <w:rPr>
          <w:rFonts w:eastAsia="MS Mincho" w:cs="Times New Roman"/>
          <w:noProof/>
          <w:szCs w:val="32"/>
          <w:lang w:val="fr-FR"/>
        </w:rPr>
      </w:pPr>
    </w:p>
    <w:p w:rsidR="006150E8" w:rsidRDefault="00F419F1" w:rsidP="00717A12">
      <w:pPr>
        <w:spacing w:before="120" w:after="0" w:line="240" w:lineRule="auto"/>
        <w:jc w:val="both"/>
        <w:rPr>
          <w:rFonts w:eastAsia="MS Mincho" w:cs="Times New Roman"/>
          <w:noProof/>
          <w:szCs w:val="32"/>
        </w:rPr>
      </w:pPr>
      <w:r>
        <w:rPr>
          <w:rFonts w:eastAsia="MS Mincho" w:cs="Times New Roman"/>
          <w:noProof/>
          <w:szCs w:val="32"/>
        </w:rPr>
        <w:drawing>
          <wp:inline distT="0" distB="0" distL="0" distR="0" wp14:anchorId="7876CD37">
            <wp:extent cx="6032666" cy="2752201"/>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34469" cy="2753024"/>
                    </a:xfrm>
                    <a:prstGeom prst="rect">
                      <a:avLst/>
                    </a:prstGeom>
                    <a:noFill/>
                  </pic:spPr>
                </pic:pic>
              </a:graphicData>
            </a:graphic>
          </wp:inline>
        </w:drawing>
      </w:r>
    </w:p>
    <w:p w:rsidR="002644F3" w:rsidRDefault="002644F3" w:rsidP="00717A12">
      <w:pPr>
        <w:spacing w:before="120" w:after="0" w:line="240" w:lineRule="auto"/>
        <w:jc w:val="both"/>
        <w:rPr>
          <w:rFonts w:eastAsia="MS Mincho" w:cs="Times New Roman"/>
          <w:noProof/>
          <w:szCs w:val="32"/>
        </w:rPr>
      </w:pPr>
    </w:p>
    <w:p w:rsidR="002644F3" w:rsidRDefault="002644F3" w:rsidP="00717A12">
      <w:pPr>
        <w:spacing w:before="120" w:after="0" w:line="240" w:lineRule="auto"/>
        <w:jc w:val="both"/>
        <w:rPr>
          <w:rFonts w:eastAsia="MS Mincho" w:cs="Times New Roman"/>
          <w:noProof/>
          <w:szCs w:val="32"/>
        </w:rPr>
      </w:pPr>
    </w:p>
    <w:p w:rsidR="002644F3" w:rsidRPr="002644F3" w:rsidRDefault="002644F3" w:rsidP="00717A12">
      <w:pPr>
        <w:spacing w:before="120" w:after="0" w:line="240" w:lineRule="auto"/>
        <w:jc w:val="both"/>
        <w:rPr>
          <w:rFonts w:eastAsia="MS Mincho" w:cs="Times New Roman"/>
          <w:b/>
          <w:noProof/>
          <w:szCs w:val="32"/>
        </w:rPr>
      </w:pPr>
      <w:r w:rsidRPr="002644F3">
        <w:rPr>
          <w:rFonts w:eastAsia="MS Mincho" w:cs="Times New Roman"/>
          <w:b/>
          <w:noProof/>
          <w:szCs w:val="32"/>
        </w:rPr>
        <w:lastRenderedPageBreak/>
        <w:t>Synthesis:</w:t>
      </w:r>
    </w:p>
    <w:tbl>
      <w:tblPr>
        <w:tblStyle w:val="MediumGrid3-Accent1"/>
        <w:tblW w:w="8007" w:type="dxa"/>
        <w:tblLook w:val="0600" w:firstRow="0" w:lastRow="0" w:firstColumn="0" w:lastColumn="0" w:noHBand="1" w:noVBand="1"/>
      </w:tblPr>
      <w:tblGrid>
        <w:gridCol w:w="5783"/>
        <w:gridCol w:w="1030"/>
        <w:gridCol w:w="1194"/>
      </w:tblGrid>
      <w:tr w:rsidR="002644F3" w:rsidRPr="002644F3" w:rsidTr="00437494">
        <w:trPr>
          <w:trHeight w:val="277"/>
        </w:trPr>
        <w:tc>
          <w:tcPr>
            <w:tcW w:w="5783" w:type="dxa"/>
            <w:shd w:val="clear" w:color="auto" w:fill="4BACC6" w:themeFill="accent5"/>
            <w:hideMark/>
          </w:tcPr>
          <w:p w:rsidR="002644F3" w:rsidRPr="002644F3" w:rsidRDefault="002644F3" w:rsidP="002644F3">
            <w:pPr>
              <w:spacing w:before="120"/>
              <w:jc w:val="center"/>
              <w:rPr>
                <w:rFonts w:asciiTheme="minorHAnsi" w:eastAsia="MS Mincho" w:hAnsiTheme="minorHAnsi"/>
                <w:noProof/>
                <w:sz w:val="18"/>
                <w:szCs w:val="32"/>
              </w:rPr>
            </w:pPr>
            <w:r w:rsidRPr="002644F3">
              <w:rPr>
                <w:rFonts w:asciiTheme="minorHAnsi" w:eastAsia="MS Mincho" w:hAnsiTheme="minorHAnsi"/>
                <w:b/>
                <w:bCs/>
                <w:noProof/>
                <w:sz w:val="18"/>
                <w:szCs w:val="32"/>
              </w:rPr>
              <w:t>R</w:t>
            </w:r>
            <w:r>
              <w:rPr>
                <w:rFonts w:asciiTheme="minorHAnsi" w:eastAsia="MS Mincho" w:hAnsiTheme="minorHAnsi"/>
                <w:b/>
                <w:bCs/>
                <w:noProof/>
                <w:sz w:val="18"/>
                <w:szCs w:val="32"/>
              </w:rPr>
              <w:t>U</w:t>
            </w:r>
            <w:r w:rsidRPr="002644F3">
              <w:rPr>
                <w:rFonts w:asciiTheme="minorHAnsi" w:eastAsia="MS Mincho" w:hAnsiTheme="minorHAnsi"/>
                <w:b/>
                <w:bCs/>
                <w:noProof/>
                <w:sz w:val="18"/>
                <w:szCs w:val="32"/>
              </w:rPr>
              <w:t>LES</w:t>
            </w:r>
          </w:p>
        </w:tc>
        <w:tc>
          <w:tcPr>
            <w:tcW w:w="1030" w:type="dxa"/>
            <w:shd w:val="clear" w:color="auto" w:fill="4BACC6" w:themeFill="accent5"/>
            <w:hideMark/>
          </w:tcPr>
          <w:p w:rsidR="002644F3" w:rsidRPr="002644F3" w:rsidRDefault="002644F3" w:rsidP="00437494">
            <w:pPr>
              <w:spacing w:before="120"/>
              <w:jc w:val="center"/>
              <w:rPr>
                <w:rFonts w:asciiTheme="minorHAnsi" w:eastAsia="MS Mincho" w:hAnsiTheme="minorHAnsi"/>
                <w:noProof/>
                <w:sz w:val="18"/>
                <w:szCs w:val="32"/>
              </w:rPr>
            </w:pPr>
            <w:r>
              <w:rPr>
                <w:rFonts w:asciiTheme="minorHAnsi" w:eastAsia="MS Mincho" w:hAnsiTheme="minorHAnsi"/>
                <w:b/>
                <w:bCs/>
                <w:noProof/>
                <w:sz w:val="18"/>
                <w:szCs w:val="32"/>
              </w:rPr>
              <w:t>REPOS</w:t>
            </w:r>
          </w:p>
        </w:tc>
        <w:tc>
          <w:tcPr>
            <w:tcW w:w="1194" w:type="dxa"/>
            <w:shd w:val="clear" w:color="auto" w:fill="4BACC6" w:themeFill="accent5"/>
            <w:hideMark/>
          </w:tcPr>
          <w:p w:rsidR="002644F3" w:rsidRPr="002644F3" w:rsidRDefault="002644F3" w:rsidP="00437494">
            <w:pPr>
              <w:spacing w:before="120"/>
              <w:jc w:val="center"/>
              <w:rPr>
                <w:rFonts w:asciiTheme="minorHAnsi" w:eastAsia="MS Mincho" w:hAnsiTheme="minorHAnsi"/>
                <w:noProof/>
                <w:sz w:val="18"/>
                <w:szCs w:val="32"/>
              </w:rPr>
            </w:pPr>
            <w:r>
              <w:rPr>
                <w:rFonts w:asciiTheme="minorHAnsi" w:eastAsia="MS Mincho" w:hAnsiTheme="minorHAnsi"/>
                <w:b/>
                <w:bCs/>
                <w:noProof/>
                <w:sz w:val="18"/>
                <w:szCs w:val="32"/>
              </w:rPr>
              <w:t>SECURITIES LENDING</w:t>
            </w:r>
          </w:p>
        </w:tc>
      </w:tr>
      <w:tr w:rsidR="002644F3" w:rsidRPr="002644F3" w:rsidTr="00437494">
        <w:trPr>
          <w:trHeight w:val="1941"/>
        </w:trPr>
        <w:tc>
          <w:tcPr>
            <w:tcW w:w="5783" w:type="dxa"/>
            <w:hideMark/>
          </w:tcPr>
          <w:p w:rsidR="002644F3" w:rsidRPr="002644F3" w:rsidRDefault="002644F3" w:rsidP="00437494">
            <w:pPr>
              <w:spacing w:before="120"/>
              <w:rPr>
                <w:rFonts w:asciiTheme="minorHAnsi" w:eastAsia="MS Mincho" w:hAnsiTheme="minorHAnsi"/>
                <w:noProof/>
                <w:sz w:val="18"/>
                <w:szCs w:val="32"/>
                <w:lang w:val="en-US"/>
              </w:rPr>
            </w:pPr>
            <w:r w:rsidRPr="002644F3">
              <w:rPr>
                <w:rFonts w:asciiTheme="minorHAnsi" w:eastAsia="MS Mincho" w:hAnsiTheme="minorHAnsi"/>
                <w:b/>
                <w:bCs/>
                <w:noProof/>
                <w:sz w:val="18"/>
                <w:szCs w:val="32"/>
                <w:lang w:val="en-US"/>
              </w:rPr>
              <w:t xml:space="preserve">Rule (1) for detection on capital securities in UNT andet </w:t>
            </w:r>
            <w:r w:rsidRPr="002644F3">
              <w:rPr>
                <w:rFonts w:asciiTheme="minorHAnsi" w:eastAsia="MS Mincho" w:hAnsiTheme="minorHAnsi"/>
                <w:b/>
                <w:bCs/>
                <w:noProof/>
                <w:sz w:val="18"/>
                <w:szCs w:val="32"/>
                <w:lang w:val="en-US"/>
              </w:rPr>
              <w:br/>
              <w:t xml:space="preserve">Rule (2) for detection on debt securities in UNT with (Ex-Date = Payment-Date) : </w:t>
            </w:r>
            <w:r w:rsidRPr="002644F3">
              <w:rPr>
                <w:rFonts w:asciiTheme="minorHAnsi" w:eastAsia="MS Mincho" w:hAnsiTheme="minorHAnsi"/>
                <w:b/>
                <w:bCs/>
                <w:noProof/>
                <w:sz w:val="18"/>
                <w:szCs w:val="32"/>
                <w:lang w:val="en-US"/>
              </w:rPr>
              <w:br/>
            </w:r>
            <w:r w:rsidRPr="002644F3">
              <w:rPr>
                <w:rFonts w:asciiTheme="minorHAnsi" w:eastAsia="MS Mincho" w:hAnsiTheme="minorHAnsi"/>
                <w:b/>
                <w:bCs/>
                <w:noProof/>
                <w:sz w:val="18"/>
                <w:szCs w:val="32"/>
                <w:lang w:val="en-US"/>
              </w:rPr>
              <w:tab/>
              <w:t xml:space="preserve">i) TD </w:t>
            </w:r>
            <w:r>
              <w:rPr>
                <w:rFonts w:asciiTheme="minorHAnsi" w:eastAsia="MS Mincho" w:hAnsiTheme="minorHAnsi"/>
                <w:b/>
                <w:bCs/>
                <w:noProof/>
                <w:sz w:val="18"/>
                <w:szCs w:val="32"/>
                <w:lang w:val="en-US"/>
              </w:rPr>
              <w:t>before</w:t>
            </w:r>
            <w:r w:rsidRPr="002644F3">
              <w:rPr>
                <w:rFonts w:asciiTheme="minorHAnsi" w:eastAsia="MS Mincho" w:hAnsiTheme="minorHAnsi"/>
                <w:b/>
                <w:bCs/>
                <w:noProof/>
                <w:sz w:val="18"/>
                <w:szCs w:val="32"/>
                <w:lang w:val="en-US"/>
              </w:rPr>
              <w:t xml:space="preserve"> ExD (Ex-date) </w:t>
            </w:r>
            <w:r>
              <w:rPr>
                <w:rFonts w:asciiTheme="minorHAnsi" w:eastAsia="MS Mincho" w:hAnsiTheme="minorHAnsi"/>
                <w:b/>
                <w:bCs/>
                <w:noProof/>
                <w:sz w:val="18"/>
                <w:szCs w:val="32"/>
                <w:lang w:val="en-US"/>
              </w:rPr>
              <w:t xml:space="preserve">and </w:t>
            </w:r>
            <w:r w:rsidRPr="002644F3">
              <w:rPr>
                <w:rFonts w:asciiTheme="minorHAnsi" w:eastAsia="MS Mincho" w:hAnsiTheme="minorHAnsi"/>
                <w:b/>
                <w:bCs/>
                <w:noProof/>
                <w:sz w:val="18"/>
                <w:szCs w:val="32"/>
                <w:lang w:val="en-US"/>
              </w:rPr>
              <w:t xml:space="preserve">ASD </w:t>
            </w:r>
            <w:r>
              <w:rPr>
                <w:rFonts w:asciiTheme="minorHAnsi" w:eastAsia="MS Mincho" w:hAnsiTheme="minorHAnsi"/>
                <w:b/>
                <w:bCs/>
                <w:noProof/>
                <w:sz w:val="18"/>
                <w:szCs w:val="32"/>
                <w:lang w:val="en-US"/>
              </w:rPr>
              <w:t xml:space="preserve">after </w:t>
            </w:r>
            <w:r w:rsidRPr="002644F3">
              <w:rPr>
                <w:rFonts w:asciiTheme="minorHAnsi" w:eastAsia="MS Mincho" w:hAnsiTheme="minorHAnsi"/>
                <w:b/>
                <w:bCs/>
                <w:noProof/>
                <w:sz w:val="18"/>
                <w:szCs w:val="32"/>
                <w:lang w:val="en-US"/>
              </w:rPr>
              <w:t xml:space="preserve">RD </w:t>
            </w:r>
          </w:p>
          <w:p w:rsidR="002644F3" w:rsidRPr="002644F3" w:rsidRDefault="002644F3" w:rsidP="00437494">
            <w:pPr>
              <w:spacing w:before="120"/>
              <w:rPr>
                <w:rFonts w:asciiTheme="minorHAnsi" w:eastAsia="MS Mincho" w:hAnsiTheme="minorHAnsi"/>
                <w:noProof/>
                <w:sz w:val="18"/>
                <w:szCs w:val="32"/>
                <w:lang w:val="en-US"/>
              </w:rPr>
            </w:pPr>
            <w:r w:rsidRPr="002644F3">
              <w:rPr>
                <w:rFonts w:asciiTheme="minorHAnsi" w:eastAsia="MS Mincho" w:hAnsiTheme="minorHAnsi"/>
                <w:b/>
                <w:bCs/>
                <w:noProof/>
                <w:sz w:val="18"/>
                <w:szCs w:val="32"/>
                <w:lang w:val="en-US"/>
              </w:rPr>
              <w:t xml:space="preserve"> </w:t>
            </w:r>
            <w:r w:rsidRPr="002644F3">
              <w:rPr>
                <w:rFonts w:asciiTheme="minorHAnsi" w:eastAsia="MS Mincho" w:hAnsiTheme="minorHAnsi"/>
                <w:b/>
                <w:bCs/>
                <w:noProof/>
                <w:sz w:val="18"/>
                <w:szCs w:val="32"/>
                <w:lang w:val="en-US"/>
              </w:rPr>
              <w:tab/>
              <w:t xml:space="preserve">ii) TD after ExD and ASD </w:t>
            </w:r>
            <w:r>
              <w:rPr>
                <w:rFonts w:asciiTheme="minorHAnsi" w:eastAsia="MS Mincho" w:hAnsiTheme="minorHAnsi"/>
                <w:b/>
                <w:bCs/>
                <w:noProof/>
                <w:sz w:val="18"/>
                <w:szCs w:val="32"/>
                <w:lang w:val="en-US"/>
              </w:rPr>
              <w:t xml:space="preserve">before </w:t>
            </w:r>
            <w:r w:rsidRPr="002644F3">
              <w:rPr>
                <w:rFonts w:asciiTheme="minorHAnsi" w:eastAsia="MS Mincho" w:hAnsiTheme="minorHAnsi"/>
                <w:b/>
                <w:bCs/>
                <w:noProof/>
                <w:sz w:val="18"/>
                <w:szCs w:val="32"/>
                <w:lang w:val="en-US"/>
              </w:rPr>
              <w:t xml:space="preserve">RD </w:t>
            </w:r>
          </w:p>
          <w:p w:rsidR="002644F3" w:rsidRPr="002644F3" w:rsidRDefault="002644F3" w:rsidP="002644F3">
            <w:pPr>
              <w:spacing w:before="120"/>
              <w:rPr>
                <w:rFonts w:asciiTheme="minorHAnsi" w:eastAsia="MS Mincho" w:hAnsiTheme="minorHAnsi"/>
                <w:noProof/>
                <w:sz w:val="18"/>
                <w:szCs w:val="32"/>
                <w:lang w:val="en-US"/>
              </w:rPr>
            </w:pPr>
            <w:r w:rsidRPr="002644F3">
              <w:rPr>
                <w:rFonts w:asciiTheme="minorHAnsi" w:eastAsia="MS Mincho" w:hAnsiTheme="minorHAnsi"/>
                <w:b/>
                <w:bCs/>
                <w:noProof/>
                <w:sz w:val="18"/>
                <w:szCs w:val="32"/>
                <w:lang w:val="en-US"/>
              </w:rPr>
              <w:tab/>
              <w:t>iii) Rules applicable to instructions pending and/</w:t>
            </w:r>
            <w:r>
              <w:rPr>
                <w:rFonts w:asciiTheme="minorHAnsi" w:eastAsia="MS Mincho" w:hAnsiTheme="minorHAnsi"/>
                <w:b/>
                <w:bCs/>
                <w:noProof/>
                <w:sz w:val="18"/>
                <w:szCs w:val="32"/>
                <w:lang w:val="en-US"/>
              </w:rPr>
              <w:t>or</w:t>
            </w:r>
            <w:r w:rsidRPr="002644F3">
              <w:rPr>
                <w:rFonts w:asciiTheme="minorHAnsi" w:eastAsia="MS Mincho" w:hAnsiTheme="minorHAnsi"/>
                <w:b/>
                <w:bCs/>
                <w:noProof/>
                <w:sz w:val="18"/>
                <w:szCs w:val="32"/>
                <w:lang w:val="en-US"/>
              </w:rPr>
              <w:t xml:space="preserve"> failed (*)</w:t>
            </w:r>
          </w:p>
        </w:tc>
        <w:tc>
          <w:tcPr>
            <w:tcW w:w="1030" w:type="dxa"/>
            <w:vAlign w:val="center"/>
            <w:hideMark/>
          </w:tcPr>
          <w:p w:rsidR="002644F3" w:rsidRPr="002644F3" w:rsidRDefault="002644F3" w:rsidP="002644F3">
            <w:pPr>
              <w:spacing w:before="120"/>
              <w:rPr>
                <w:rFonts w:asciiTheme="minorHAnsi" w:eastAsia="MS Mincho" w:hAnsiTheme="minorHAnsi"/>
                <w:noProof/>
                <w:sz w:val="18"/>
                <w:szCs w:val="32"/>
              </w:rPr>
            </w:pPr>
            <w:r>
              <w:rPr>
                <w:rFonts w:asciiTheme="minorHAnsi" w:eastAsia="MS Mincho" w:hAnsiTheme="minorHAnsi"/>
                <w:b/>
                <w:bCs/>
                <w:noProof/>
                <w:sz w:val="18"/>
                <w:szCs w:val="32"/>
              </w:rPr>
              <w:t xml:space="preserve">Securities of </w:t>
            </w:r>
            <w:r w:rsidRPr="002644F3">
              <w:rPr>
                <w:rFonts w:asciiTheme="minorHAnsi" w:eastAsia="MS Mincho" w:hAnsiTheme="minorHAnsi"/>
                <w:b/>
                <w:bCs/>
                <w:noProof/>
                <w:sz w:val="18"/>
                <w:szCs w:val="32"/>
              </w:rPr>
              <w:t>R</w:t>
            </w:r>
            <w:r>
              <w:rPr>
                <w:rFonts w:asciiTheme="minorHAnsi" w:eastAsia="MS Mincho" w:hAnsiTheme="minorHAnsi"/>
                <w:b/>
                <w:bCs/>
                <w:noProof/>
                <w:sz w:val="18"/>
                <w:szCs w:val="32"/>
              </w:rPr>
              <w:t>u</w:t>
            </w:r>
            <w:r w:rsidRPr="002644F3">
              <w:rPr>
                <w:rFonts w:asciiTheme="minorHAnsi" w:eastAsia="MS Mincho" w:hAnsiTheme="minorHAnsi"/>
                <w:b/>
                <w:bCs/>
                <w:noProof/>
                <w:sz w:val="18"/>
                <w:szCs w:val="32"/>
              </w:rPr>
              <w:t>le (2)</w:t>
            </w:r>
          </w:p>
        </w:tc>
        <w:tc>
          <w:tcPr>
            <w:tcW w:w="1194" w:type="dxa"/>
            <w:vAlign w:val="center"/>
            <w:hideMark/>
          </w:tcPr>
          <w:p w:rsidR="002644F3" w:rsidRPr="002644F3" w:rsidRDefault="002644F3" w:rsidP="002644F3">
            <w:pPr>
              <w:spacing w:before="120"/>
              <w:rPr>
                <w:rFonts w:asciiTheme="minorHAnsi" w:eastAsia="MS Mincho" w:hAnsiTheme="minorHAnsi"/>
                <w:noProof/>
                <w:sz w:val="18"/>
                <w:szCs w:val="32"/>
              </w:rPr>
            </w:pPr>
            <w:r>
              <w:rPr>
                <w:rFonts w:asciiTheme="minorHAnsi" w:eastAsia="MS Mincho" w:hAnsiTheme="minorHAnsi"/>
                <w:b/>
                <w:bCs/>
                <w:noProof/>
                <w:sz w:val="18"/>
                <w:szCs w:val="32"/>
              </w:rPr>
              <w:t>Securities</w:t>
            </w:r>
            <w:r w:rsidRPr="002644F3">
              <w:rPr>
                <w:rFonts w:asciiTheme="minorHAnsi" w:eastAsia="MS Mincho" w:hAnsiTheme="minorHAnsi"/>
                <w:b/>
                <w:bCs/>
                <w:noProof/>
                <w:sz w:val="18"/>
                <w:szCs w:val="32"/>
              </w:rPr>
              <w:t xml:space="preserve"> </w:t>
            </w:r>
            <w:r>
              <w:rPr>
                <w:rFonts w:asciiTheme="minorHAnsi" w:eastAsia="MS Mincho" w:hAnsiTheme="minorHAnsi"/>
                <w:b/>
                <w:bCs/>
                <w:noProof/>
                <w:sz w:val="18"/>
                <w:szCs w:val="32"/>
              </w:rPr>
              <w:t xml:space="preserve">of </w:t>
            </w:r>
            <w:r w:rsidRPr="002644F3">
              <w:rPr>
                <w:rFonts w:asciiTheme="minorHAnsi" w:eastAsia="MS Mincho" w:hAnsiTheme="minorHAnsi"/>
                <w:b/>
                <w:bCs/>
                <w:noProof/>
                <w:sz w:val="18"/>
                <w:szCs w:val="32"/>
              </w:rPr>
              <w:t>R</w:t>
            </w:r>
            <w:r>
              <w:rPr>
                <w:rFonts w:asciiTheme="minorHAnsi" w:eastAsia="MS Mincho" w:hAnsiTheme="minorHAnsi"/>
                <w:b/>
                <w:bCs/>
                <w:noProof/>
                <w:sz w:val="18"/>
                <w:szCs w:val="32"/>
              </w:rPr>
              <w:t>u</w:t>
            </w:r>
            <w:r w:rsidRPr="002644F3">
              <w:rPr>
                <w:rFonts w:asciiTheme="minorHAnsi" w:eastAsia="MS Mincho" w:hAnsiTheme="minorHAnsi"/>
                <w:b/>
                <w:bCs/>
                <w:noProof/>
                <w:sz w:val="18"/>
                <w:szCs w:val="32"/>
              </w:rPr>
              <w:t xml:space="preserve">le (1) </w:t>
            </w:r>
            <w:r>
              <w:rPr>
                <w:rFonts w:asciiTheme="minorHAnsi" w:eastAsia="MS Mincho" w:hAnsiTheme="minorHAnsi"/>
                <w:b/>
                <w:bCs/>
                <w:noProof/>
                <w:sz w:val="18"/>
                <w:szCs w:val="32"/>
              </w:rPr>
              <w:t>and</w:t>
            </w:r>
            <w:r w:rsidRPr="002644F3">
              <w:rPr>
                <w:rFonts w:asciiTheme="minorHAnsi" w:eastAsia="MS Mincho" w:hAnsiTheme="minorHAnsi"/>
                <w:b/>
                <w:bCs/>
                <w:noProof/>
                <w:sz w:val="18"/>
                <w:szCs w:val="32"/>
              </w:rPr>
              <w:t xml:space="preserve"> (2)</w:t>
            </w:r>
          </w:p>
        </w:tc>
      </w:tr>
      <w:tr w:rsidR="002644F3" w:rsidRPr="002644F3" w:rsidTr="00437494">
        <w:trPr>
          <w:trHeight w:val="1220"/>
        </w:trPr>
        <w:tc>
          <w:tcPr>
            <w:tcW w:w="5783" w:type="dxa"/>
            <w:hideMark/>
          </w:tcPr>
          <w:p w:rsidR="002644F3" w:rsidRPr="002644F3" w:rsidRDefault="002644F3" w:rsidP="00437494">
            <w:pPr>
              <w:spacing w:before="120"/>
              <w:rPr>
                <w:rFonts w:asciiTheme="minorHAnsi" w:eastAsia="MS Mincho" w:hAnsiTheme="minorHAnsi"/>
                <w:noProof/>
                <w:sz w:val="18"/>
                <w:szCs w:val="32"/>
                <w:lang w:val="en-US"/>
              </w:rPr>
            </w:pPr>
            <w:r w:rsidRPr="002644F3">
              <w:rPr>
                <w:rFonts w:asciiTheme="minorHAnsi" w:eastAsia="MS Mincho" w:hAnsiTheme="minorHAnsi"/>
                <w:b/>
                <w:bCs/>
                <w:noProof/>
                <w:sz w:val="18"/>
                <w:szCs w:val="32"/>
                <w:lang w:val="en-US"/>
              </w:rPr>
              <w:t xml:space="preserve">Rule (3) for detection on desbt securities in FMT : </w:t>
            </w:r>
          </w:p>
          <w:p w:rsidR="002644F3" w:rsidRPr="002644F3" w:rsidRDefault="002644F3" w:rsidP="00437494">
            <w:pPr>
              <w:spacing w:before="120"/>
              <w:rPr>
                <w:rFonts w:asciiTheme="minorHAnsi" w:eastAsia="MS Mincho" w:hAnsiTheme="minorHAnsi"/>
                <w:noProof/>
                <w:sz w:val="18"/>
                <w:szCs w:val="32"/>
                <w:lang w:val="en-US"/>
              </w:rPr>
            </w:pPr>
            <w:r w:rsidRPr="002644F3">
              <w:rPr>
                <w:rFonts w:asciiTheme="minorHAnsi" w:eastAsia="MS Mincho" w:hAnsiTheme="minorHAnsi"/>
                <w:b/>
                <w:bCs/>
                <w:noProof/>
                <w:sz w:val="18"/>
                <w:szCs w:val="32"/>
                <w:lang w:val="en-US"/>
              </w:rPr>
              <w:tab/>
              <w:t xml:space="preserve">i) If ISD is before or equal to the RD and </w:t>
            </w:r>
            <w:r>
              <w:rPr>
                <w:rFonts w:asciiTheme="minorHAnsi" w:eastAsia="MS Mincho" w:hAnsiTheme="minorHAnsi"/>
                <w:b/>
                <w:bCs/>
                <w:noProof/>
                <w:sz w:val="18"/>
                <w:szCs w:val="32"/>
                <w:lang w:val="en-US"/>
              </w:rPr>
              <w:t>if</w:t>
            </w:r>
            <w:r w:rsidRPr="002644F3">
              <w:rPr>
                <w:rFonts w:asciiTheme="minorHAnsi" w:eastAsia="MS Mincho" w:hAnsiTheme="minorHAnsi"/>
                <w:b/>
                <w:bCs/>
                <w:noProof/>
                <w:sz w:val="18"/>
                <w:szCs w:val="32"/>
                <w:lang w:val="en-US"/>
              </w:rPr>
              <w:t xml:space="preserve"> </w:t>
            </w:r>
            <w:r>
              <w:rPr>
                <w:rFonts w:asciiTheme="minorHAnsi" w:eastAsia="MS Mincho" w:hAnsiTheme="minorHAnsi"/>
                <w:b/>
                <w:bCs/>
                <w:noProof/>
                <w:sz w:val="18"/>
                <w:szCs w:val="32"/>
                <w:lang w:val="en-US"/>
              </w:rPr>
              <w:t xml:space="preserve">the </w:t>
            </w:r>
            <w:r w:rsidRPr="002644F3">
              <w:rPr>
                <w:rFonts w:asciiTheme="minorHAnsi" w:eastAsia="MS Mincho" w:hAnsiTheme="minorHAnsi"/>
                <w:b/>
                <w:bCs/>
                <w:noProof/>
                <w:sz w:val="18"/>
                <w:szCs w:val="32"/>
                <w:lang w:val="en-US"/>
              </w:rPr>
              <w:t xml:space="preserve">ASD </w:t>
            </w:r>
            <w:r>
              <w:rPr>
                <w:rFonts w:asciiTheme="minorHAnsi" w:eastAsia="MS Mincho" w:hAnsiTheme="minorHAnsi"/>
                <w:b/>
                <w:bCs/>
                <w:noProof/>
                <w:sz w:val="18"/>
                <w:szCs w:val="32"/>
                <w:lang w:val="en-US"/>
              </w:rPr>
              <w:t xml:space="preserve">is after </w:t>
            </w:r>
            <w:r w:rsidRPr="002644F3">
              <w:rPr>
                <w:rFonts w:asciiTheme="minorHAnsi" w:eastAsia="MS Mincho" w:hAnsiTheme="minorHAnsi"/>
                <w:b/>
                <w:bCs/>
                <w:noProof/>
                <w:sz w:val="18"/>
                <w:szCs w:val="32"/>
                <w:lang w:val="en-US"/>
              </w:rPr>
              <w:t>RD</w:t>
            </w:r>
          </w:p>
          <w:p w:rsidR="002644F3" w:rsidRPr="002644F3" w:rsidRDefault="002644F3" w:rsidP="00437494">
            <w:pPr>
              <w:spacing w:before="120"/>
              <w:rPr>
                <w:rFonts w:asciiTheme="minorHAnsi" w:eastAsia="MS Mincho" w:hAnsiTheme="minorHAnsi"/>
                <w:noProof/>
                <w:sz w:val="18"/>
                <w:szCs w:val="32"/>
                <w:lang w:val="en-US"/>
              </w:rPr>
            </w:pPr>
            <w:r w:rsidRPr="002644F3">
              <w:rPr>
                <w:rFonts w:asciiTheme="minorHAnsi" w:eastAsia="MS Mincho" w:hAnsiTheme="minorHAnsi"/>
                <w:b/>
                <w:bCs/>
                <w:noProof/>
                <w:sz w:val="18"/>
                <w:szCs w:val="32"/>
                <w:lang w:val="en-US"/>
              </w:rPr>
              <w:tab/>
              <w:t xml:space="preserve">ii) Trade date not considered by detection rules </w:t>
            </w:r>
          </w:p>
          <w:p w:rsidR="002644F3" w:rsidRPr="002644F3" w:rsidRDefault="002644F3" w:rsidP="002644F3">
            <w:pPr>
              <w:spacing w:before="120"/>
              <w:rPr>
                <w:rFonts w:asciiTheme="minorHAnsi" w:eastAsia="MS Mincho" w:hAnsiTheme="minorHAnsi"/>
                <w:noProof/>
                <w:sz w:val="18"/>
                <w:szCs w:val="32"/>
                <w:lang w:val="en-US"/>
              </w:rPr>
            </w:pPr>
            <w:r w:rsidRPr="002644F3">
              <w:rPr>
                <w:rFonts w:asciiTheme="minorHAnsi" w:eastAsia="MS Mincho" w:hAnsiTheme="minorHAnsi"/>
                <w:b/>
                <w:bCs/>
                <w:noProof/>
                <w:sz w:val="18"/>
                <w:szCs w:val="32"/>
                <w:lang w:val="en-US"/>
              </w:rPr>
              <w:tab/>
              <w:t xml:space="preserve">iii) Rules applying to </w:t>
            </w:r>
            <w:r>
              <w:rPr>
                <w:rFonts w:asciiTheme="minorHAnsi" w:eastAsia="MS Mincho" w:hAnsiTheme="minorHAnsi"/>
                <w:b/>
                <w:bCs/>
                <w:noProof/>
                <w:sz w:val="18"/>
                <w:szCs w:val="32"/>
                <w:lang w:val="en-US"/>
              </w:rPr>
              <w:t xml:space="preserve">failed </w:t>
            </w:r>
            <w:r w:rsidRPr="002644F3">
              <w:rPr>
                <w:rFonts w:asciiTheme="minorHAnsi" w:eastAsia="MS Mincho" w:hAnsiTheme="minorHAnsi"/>
                <w:b/>
                <w:bCs/>
                <w:noProof/>
                <w:sz w:val="18"/>
                <w:szCs w:val="32"/>
                <w:lang w:val="en-US"/>
              </w:rPr>
              <w:t xml:space="preserve">instructions </w:t>
            </w:r>
            <w:r>
              <w:rPr>
                <w:rFonts w:asciiTheme="minorHAnsi" w:eastAsia="MS Mincho" w:hAnsiTheme="minorHAnsi"/>
                <w:b/>
                <w:bCs/>
                <w:noProof/>
                <w:sz w:val="18"/>
                <w:szCs w:val="32"/>
                <w:lang w:val="en-US"/>
              </w:rPr>
              <w:t xml:space="preserve">only </w:t>
            </w:r>
            <w:r w:rsidRPr="002644F3">
              <w:rPr>
                <w:rFonts w:asciiTheme="minorHAnsi" w:eastAsia="MS Mincho" w:hAnsiTheme="minorHAnsi"/>
                <w:b/>
                <w:bCs/>
                <w:noProof/>
                <w:sz w:val="18"/>
                <w:szCs w:val="32"/>
                <w:lang w:val="en-US"/>
              </w:rPr>
              <w:t>(*)</w:t>
            </w:r>
          </w:p>
        </w:tc>
        <w:tc>
          <w:tcPr>
            <w:tcW w:w="1030" w:type="dxa"/>
            <w:vAlign w:val="center"/>
            <w:hideMark/>
          </w:tcPr>
          <w:p w:rsidR="002644F3" w:rsidRPr="002644F3" w:rsidRDefault="002644F3" w:rsidP="002644F3">
            <w:pPr>
              <w:spacing w:before="120"/>
              <w:rPr>
                <w:rFonts w:asciiTheme="minorHAnsi" w:eastAsia="MS Mincho" w:hAnsiTheme="minorHAnsi"/>
                <w:noProof/>
                <w:sz w:val="18"/>
                <w:szCs w:val="32"/>
              </w:rPr>
            </w:pPr>
            <w:r>
              <w:rPr>
                <w:rFonts w:asciiTheme="minorHAnsi" w:eastAsia="MS Mincho" w:hAnsiTheme="minorHAnsi"/>
                <w:b/>
                <w:bCs/>
                <w:noProof/>
                <w:sz w:val="18"/>
                <w:szCs w:val="32"/>
              </w:rPr>
              <w:t xml:space="preserve">Securities of </w:t>
            </w:r>
            <w:r w:rsidRPr="002644F3">
              <w:rPr>
                <w:rFonts w:asciiTheme="minorHAnsi" w:eastAsia="MS Mincho" w:hAnsiTheme="minorHAnsi"/>
                <w:b/>
                <w:bCs/>
                <w:noProof/>
                <w:sz w:val="18"/>
                <w:szCs w:val="32"/>
              </w:rPr>
              <w:t>R</w:t>
            </w:r>
            <w:r>
              <w:rPr>
                <w:rFonts w:asciiTheme="minorHAnsi" w:eastAsia="MS Mincho" w:hAnsiTheme="minorHAnsi"/>
                <w:b/>
                <w:bCs/>
                <w:noProof/>
                <w:sz w:val="18"/>
                <w:szCs w:val="32"/>
              </w:rPr>
              <w:t>u</w:t>
            </w:r>
            <w:r w:rsidRPr="002644F3">
              <w:rPr>
                <w:rFonts w:asciiTheme="minorHAnsi" w:eastAsia="MS Mincho" w:hAnsiTheme="minorHAnsi"/>
                <w:b/>
                <w:bCs/>
                <w:noProof/>
                <w:sz w:val="18"/>
                <w:szCs w:val="32"/>
              </w:rPr>
              <w:t>le (3)</w:t>
            </w:r>
          </w:p>
        </w:tc>
        <w:tc>
          <w:tcPr>
            <w:tcW w:w="1194" w:type="dxa"/>
            <w:vAlign w:val="center"/>
            <w:hideMark/>
          </w:tcPr>
          <w:p w:rsidR="002644F3" w:rsidRPr="004F4C53" w:rsidRDefault="002644F3" w:rsidP="002644F3">
            <w:pPr>
              <w:spacing w:before="120"/>
              <w:rPr>
                <w:rFonts w:asciiTheme="minorHAnsi" w:eastAsia="MS Mincho" w:hAnsiTheme="minorHAnsi"/>
                <w:b/>
                <w:noProof/>
                <w:sz w:val="18"/>
                <w:szCs w:val="32"/>
                <w:lang w:val="en-US"/>
              </w:rPr>
            </w:pPr>
            <w:r w:rsidRPr="004F4C53">
              <w:rPr>
                <w:rFonts w:asciiTheme="minorHAnsi" w:eastAsia="MS Mincho" w:hAnsiTheme="minorHAnsi"/>
                <w:b/>
                <w:noProof/>
                <w:sz w:val="18"/>
                <w:szCs w:val="32"/>
                <w:lang w:val="en-US"/>
              </w:rPr>
              <w:t>Rarely used for this type of operation</w:t>
            </w:r>
          </w:p>
        </w:tc>
      </w:tr>
    </w:tbl>
    <w:p w:rsidR="002644F3" w:rsidRPr="004F4C53" w:rsidRDefault="002644F3" w:rsidP="00717A12">
      <w:pPr>
        <w:spacing w:before="120" w:after="0" w:line="240" w:lineRule="auto"/>
        <w:jc w:val="both"/>
        <w:rPr>
          <w:rFonts w:eastAsia="MS Mincho" w:cs="Times New Roman"/>
          <w:noProof/>
          <w:szCs w:val="32"/>
        </w:rPr>
      </w:pPr>
    </w:p>
    <w:p w:rsidR="008E4010" w:rsidRPr="004F4C53" w:rsidRDefault="008E4010">
      <w:pPr>
        <w:rPr>
          <w:rFonts w:eastAsia="MS Mincho" w:cs="Times New Roman"/>
          <w:noProof/>
          <w:szCs w:val="32"/>
        </w:rPr>
      </w:pPr>
      <w:r w:rsidRPr="004F4C53">
        <w:rPr>
          <w:rFonts w:eastAsia="MS Mincho" w:cs="Times New Roman"/>
          <w:noProof/>
          <w:szCs w:val="32"/>
        </w:rPr>
        <w:br w:type="page"/>
      </w:r>
    </w:p>
    <w:p w:rsidR="008E4010" w:rsidRPr="008E4010" w:rsidRDefault="008E4010" w:rsidP="008E4010">
      <w:pPr>
        <w:spacing w:before="120" w:after="0" w:line="240" w:lineRule="auto"/>
        <w:jc w:val="center"/>
        <w:rPr>
          <w:rFonts w:eastAsia="MS Mincho" w:cs="Times New Roman"/>
          <w:b/>
          <w:noProof/>
          <w:sz w:val="28"/>
          <w:szCs w:val="32"/>
        </w:rPr>
      </w:pPr>
      <w:r w:rsidRPr="008E4010">
        <w:rPr>
          <w:rFonts w:eastAsia="MS Mincho" w:cs="Times New Roman"/>
          <w:b/>
          <w:noProof/>
          <w:sz w:val="28"/>
          <w:szCs w:val="32"/>
        </w:rPr>
        <w:lastRenderedPageBreak/>
        <w:t>APPENDIX 2 – IMPACT OF INDICATORS ON THE TRANSFER OF TITLE</w:t>
      </w:r>
    </w:p>
    <w:p w:rsidR="008E4010" w:rsidRPr="008E4010" w:rsidRDefault="008E4010" w:rsidP="00717A12">
      <w:pPr>
        <w:spacing w:before="120" w:after="0" w:line="240" w:lineRule="auto"/>
        <w:jc w:val="both"/>
        <w:rPr>
          <w:rFonts w:eastAsia="MS Mincho" w:cs="Times New Roman"/>
          <w:noProof/>
          <w:szCs w:val="32"/>
        </w:rPr>
      </w:pPr>
    </w:p>
    <w:p w:rsidR="008E4010" w:rsidRPr="008E4010" w:rsidRDefault="008E4010" w:rsidP="008E4010">
      <w:pPr>
        <w:pStyle w:val="Heading3"/>
        <w:spacing w:before="0"/>
        <w:rPr>
          <w:rFonts w:eastAsia="Times New Roman"/>
          <w:lang w:val="en-US" w:eastAsia="fr-FR"/>
        </w:rPr>
      </w:pPr>
      <w:bookmarkStart w:id="1" w:name="_Toc452477827"/>
      <w:r w:rsidRPr="008E4010">
        <w:rPr>
          <w:rFonts w:eastAsia="Times New Roman"/>
          <w:lang w:val="en-US" w:eastAsia="fr-FR"/>
        </w:rPr>
        <w:t xml:space="preserve">A - </w:t>
      </w:r>
      <w:proofErr w:type="gramStart"/>
      <w:r w:rsidRPr="008E4010">
        <w:rPr>
          <w:rFonts w:eastAsia="Times New Roman"/>
          <w:lang w:val="en-US" w:eastAsia="fr-FR"/>
        </w:rPr>
        <w:t>REPO  on</w:t>
      </w:r>
      <w:proofErr w:type="gramEnd"/>
      <w:r w:rsidRPr="008E4010">
        <w:rPr>
          <w:rFonts w:eastAsia="Times New Roman"/>
          <w:lang w:val="en-US" w:eastAsia="fr-FR"/>
        </w:rPr>
        <w:t xml:space="preserve"> securities in FMT (fixed-income)</w:t>
      </w:r>
      <w:bookmarkEnd w:id="1"/>
    </w:p>
    <w:p w:rsidR="008E4010" w:rsidRPr="008E4010" w:rsidRDefault="008E4010" w:rsidP="008E4010">
      <w:pPr>
        <w:rPr>
          <w:rFonts w:eastAsia="Times New Roman" w:cstheme="minorHAnsi"/>
          <w:sz w:val="20"/>
          <w:szCs w:val="20"/>
          <w:lang w:eastAsia="fr-FR"/>
        </w:rPr>
      </w:pPr>
    </w:p>
    <w:p w:rsidR="008E4010" w:rsidRPr="008E4010" w:rsidRDefault="008E4010" w:rsidP="008E4010">
      <w:pPr>
        <w:pStyle w:val="ListParagraph"/>
        <w:numPr>
          <w:ilvl w:val="0"/>
          <w:numId w:val="24"/>
        </w:numPr>
        <w:spacing w:after="60" w:line="240" w:lineRule="auto"/>
        <w:ind w:left="714" w:hanging="357"/>
        <w:contextualSpacing w:val="0"/>
        <w:rPr>
          <w:b/>
          <w:i/>
          <w:color w:val="1F497D" w:themeColor="text2"/>
          <w:u w:val="single"/>
          <w:lang w:eastAsia="fr-FR"/>
        </w:rPr>
      </w:pPr>
      <w:r w:rsidRPr="008E4010">
        <w:rPr>
          <w:rFonts w:eastAsia="Times New Roman" w:cstheme="minorHAnsi"/>
          <w:b/>
          <w:i/>
          <w:color w:val="1F497D" w:themeColor="text2"/>
          <w:sz w:val="20"/>
          <w:szCs w:val="20"/>
          <w:u w:val="single"/>
          <w:lang w:eastAsia="fr-FR"/>
        </w:rPr>
        <w:t>N</w:t>
      </w:r>
      <w:r w:rsidR="00C23F78">
        <w:rPr>
          <w:rFonts w:eastAsia="Times New Roman" w:cstheme="minorHAnsi"/>
          <w:b/>
          <w:i/>
          <w:color w:val="1F497D" w:themeColor="text2"/>
          <w:sz w:val="20"/>
          <w:szCs w:val="20"/>
          <w:u w:val="single"/>
          <w:lang w:eastAsia="fr-FR"/>
        </w:rPr>
        <w:t>e</w:t>
      </w:r>
      <w:r w:rsidRPr="008E4010">
        <w:rPr>
          <w:rFonts w:eastAsia="Times New Roman" w:cstheme="minorHAnsi"/>
          <w:b/>
          <w:i/>
          <w:color w:val="1F497D" w:themeColor="text2"/>
          <w:sz w:val="20"/>
          <w:szCs w:val="20"/>
          <w:u w:val="single"/>
          <w:lang w:eastAsia="fr-FR"/>
        </w:rPr>
        <w:t>gotiation and settlement of the near leg</w:t>
      </w:r>
    </w:p>
    <w:p w:rsidR="008E4010" w:rsidRDefault="00E43D0F" w:rsidP="00717A12">
      <w:pPr>
        <w:spacing w:before="120" w:after="0" w:line="240" w:lineRule="auto"/>
        <w:jc w:val="both"/>
        <w:rPr>
          <w:rFonts w:eastAsia="MS Mincho" w:cs="Times New Roman"/>
          <w:noProof/>
          <w:szCs w:val="32"/>
        </w:rPr>
      </w:pPr>
      <w:r>
        <w:rPr>
          <w:rFonts w:eastAsia="MS Mincho" w:cs="Times New Roman"/>
          <w:noProof/>
          <w:szCs w:val="32"/>
        </w:rPr>
        <w:drawing>
          <wp:inline distT="0" distB="0" distL="0" distR="0" wp14:anchorId="106C3C77">
            <wp:extent cx="5119233" cy="367235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20886" cy="3673540"/>
                    </a:xfrm>
                    <a:prstGeom prst="rect">
                      <a:avLst/>
                    </a:prstGeom>
                    <a:noFill/>
                  </pic:spPr>
                </pic:pic>
              </a:graphicData>
            </a:graphic>
          </wp:inline>
        </w:drawing>
      </w:r>
    </w:p>
    <w:p w:rsidR="008E4010" w:rsidRDefault="008E4010" w:rsidP="00717A12">
      <w:pPr>
        <w:spacing w:before="120" w:after="0" w:line="240" w:lineRule="auto"/>
        <w:jc w:val="both"/>
        <w:rPr>
          <w:rFonts w:eastAsia="MS Mincho" w:cs="Times New Roman"/>
          <w:noProof/>
          <w:szCs w:val="32"/>
        </w:rPr>
      </w:pPr>
    </w:p>
    <w:p w:rsidR="00E43D0F" w:rsidRPr="00E43D0F" w:rsidRDefault="00E43D0F" w:rsidP="00E43D0F">
      <w:pPr>
        <w:pStyle w:val="ListParagraph"/>
        <w:numPr>
          <w:ilvl w:val="0"/>
          <w:numId w:val="24"/>
        </w:numPr>
        <w:spacing w:after="60" w:line="240" w:lineRule="auto"/>
        <w:ind w:left="714" w:hanging="357"/>
        <w:contextualSpacing w:val="0"/>
        <w:rPr>
          <w:b/>
          <w:i/>
          <w:color w:val="1F497D" w:themeColor="text2"/>
          <w:u w:val="single"/>
          <w:lang w:eastAsia="fr-FR"/>
        </w:rPr>
      </w:pPr>
      <w:r w:rsidRPr="00E43D0F">
        <w:rPr>
          <w:rFonts w:eastAsia="Times New Roman" w:cstheme="minorHAnsi"/>
          <w:b/>
          <w:i/>
          <w:color w:val="1F497D" w:themeColor="text2"/>
          <w:sz w:val="20"/>
          <w:szCs w:val="20"/>
          <w:u w:val="single"/>
          <w:lang w:eastAsia="fr-FR"/>
        </w:rPr>
        <w:t xml:space="preserve">During the term of the repo </w:t>
      </w:r>
    </w:p>
    <w:p w:rsidR="00E43D0F" w:rsidRPr="00E43D0F" w:rsidRDefault="00C23F78" w:rsidP="00717A12">
      <w:pPr>
        <w:spacing w:before="120" w:after="0" w:line="240" w:lineRule="auto"/>
        <w:jc w:val="both"/>
        <w:rPr>
          <w:rFonts w:eastAsia="MS Mincho" w:cs="Times New Roman"/>
          <w:noProof/>
          <w:szCs w:val="32"/>
        </w:rPr>
      </w:pPr>
      <w:r>
        <w:rPr>
          <w:rFonts w:eastAsia="MS Mincho" w:cs="Times New Roman"/>
          <w:noProof/>
          <w:szCs w:val="32"/>
        </w:rPr>
        <w:lastRenderedPageBreak/>
        <w:drawing>
          <wp:inline distT="0" distB="0" distL="0" distR="0" wp14:anchorId="315E1687">
            <wp:extent cx="5033333" cy="30861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36314" cy="3087928"/>
                    </a:xfrm>
                    <a:prstGeom prst="rect">
                      <a:avLst/>
                    </a:prstGeom>
                    <a:noFill/>
                  </pic:spPr>
                </pic:pic>
              </a:graphicData>
            </a:graphic>
          </wp:inline>
        </w:drawing>
      </w:r>
    </w:p>
    <w:p w:rsidR="00E43D0F" w:rsidRDefault="00E43D0F" w:rsidP="00717A12">
      <w:pPr>
        <w:spacing w:before="120" w:after="0" w:line="240" w:lineRule="auto"/>
        <w:jc w:val="both"/>
        <w:rPr>
          <w:rFonts w:eastAsia="MS Mincho" w:cs="Times New Roman"/>
          <w:noProof/>
          <w:szCs w:val="32"/>
        </w:rPr>
      </w:pPr>
    </w:p>
    <w:p w:rsidR="000E48E8" w:rsidRPr="000E48E8" w:rsidRDefault="000E48E8" w:rsidP="000E48E8">
      <w:pPr>
        <w:pStyle w:val="ListParagraph"/>
        <w:numPr>
          <w:ilvl w:val="0"/>
          <w:numId w:val="24"/>
        </w:numPr>
        <w:spacing w:after="0" w:line="240" w:lineRule="auto"/>
        <w:rPr>
          <w:b/>
          <w:u w:val="single"/>
          <w:lang w:eastAsia="fr-FR"/>
        </w:rPr>
      </w:pPr>
      <w:r w:rsidRPr="000E48E8">
        <w:rPr>
          <w:rFonts w:eastAsia="Times New Roman" w:cstheme="minorHAnsi"/>
          <w:b/>
          <w:i/>
          <w:color w:val="1F497D" w:themeColor="text2"/>
          <w:sz w:val="20"/>
          <w:szCs w:val="20"/>
          <w:u w:val="single"/>
          <w:lang w:eastAsia="fr-FR"/>
        </w:rPr>
        <w:t>Negotiation and settlement of the far leg of the repo</w:t>
      </w:r>
    </w:p>
    <w:p w:rsidR="00E43D0F" w:rsidRPr="000E48E8" w:rsidRDefault="00E8070A" w:rsidP="00717A12">
      <w:pPr>
        <w:spacing w:before="120" w:after="0" w:line="240" w:lineRule="auto"/>
        <w:jc w:val="both"/>
        <w:rPr>
          <w:rFonts w:eastAsia="MS Mincho" w:cs="Times New Roman"/>
          <w:noProof/>
          <w:szCs w:val="32"/>
        </w:rPr>
      </w:pPr>
      <w:r>
        <w:rPr>
          <w:rFonts w:eastAsia="MS Mincho" w:cs="Times New Roman"/>
          <w:noProof/>
          <w:szCs w:val="32"/>
        </w:rPr>
        <w:drawing>
          <wp:inline distT="0" distB="0" distL="0" distR="0" wp14:anchorId="45B3E2A2">
            <wp:extent cx="5167712" cy="34956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78187" cy="3502761"/>
                    </a:xfrm>
                    <a:prstGeom prst="rect">
                      <a:avLst/>
                    </a:prstGeom>
                    <a:noFill/>
                  </pic:spPr>
                </pic:pic>
              </a:graphicData>
            </a:graphic>
          </wp:inline>
        </w:drawing>
      </w:r>
    </w:p>
    <w:p w:rsidR="00E43D0F" w:rsidRPr="000E48E8" w:rsidRDefault="00E43D0F" w:rsidP="00717A12">
      <w:pPr>
        <w:spacing w:before="120" w:after="0" w:line="240" w:lineRule="auto"/>
        <w:jc w:val="both"/>
        <w:rPr>
          <w:rFonts w:eastAsia="MS Mincho" w:cs="Times New Roman"/>
          <w:noProof/>
          <w:szCs w:val="32"/>
        </w:rPr>
      </w:pPr>
    </w:p>
    <w:p w:rsidR="00AD0F54" w:rsidRDefault="00AD0F54">
      <w:pPr>
        <w:rPr>
          <w:rFonts w:eastAsia="MS Mincho" w:cs="Times New Roman"/>
          <w:noProof/>
          <w:szCs w:val="32"/>
        </w:rPr>
      </w:pPr>
      <w:r>
        <w:rPr>
          <w:rFonts w:eastAsia="MS Mincho" w:cs="Times New Roman"/>
          <w:noProof/>
          <w:szCs w:val="32"/>
        </w:rPr>
        <w:br w:type="page"/>
      </w:r>
    </w:p>
    <w:p w:rsidR="00AD0F54" w:rsidRPr="00AD0F54" w:rsidRDefault="00AD0F54" w:rsidP="00AD0F54">
      <w:pPr>
        <w:pStyle w:val="Heading3"/>
        <w:rPr>
          <w:rFonts w:eastAsia="Times New Roman"/>
          <w:lang w:val="en-US" w:eastAsia="fr-FR"/>
        </w:rPr>
      </w:pPr>
      <w:bookmarkStart w:id="2" w:name="_Toc452477828"/>
      <w:r w:rsidRPr="00AD0F54">
        <w:rPr>
          <w:rFonts w:eastAsia="Times New Roman"/>
          <w:lang w:val="en-US" w:eastAsia="fr-FR"/>
        </w:rPr>
        <w:lastRenderedPageBreak/>
        <w:t>B – Securities lending on securities in UNT (Equities</w:t>
      </w:r>
      <w:r>
        <w:rPr>
          <w:rFonts w:eastAsia="Times New Roman"/>
          <w:lang w:val="en-US" w:eastAsia="fr-FR"/>
        </w:rPr>
        <w:t xml:space="preserve"> like</w:t>
      </w:r>
      <w:r w:rsidRPr="00AD0F54">
        <w:rPr>
          <w:rFonts w:eastAsia="Times New Roman"/>
          <w:lang w:val="en-US" w:eastAsia="fr-FR"/>
        </w:rPr>
        <w:t>)</w:t>
      </w:r>
      <w:bookmarkEnd w:id="2"/>
    </w:p>
    <w:p w:rsidR="00AD0F54" w:rsidRPr="00AD0F54" w:rsidRDefault="00AD0F54" w:rsidP="00AD0F54">
      <w:pPr>
        <w:spacing w:after="0" w:line="240" w:lineRule="auto"/>
        <w:jc w:val="center"/>
        <w:rPr>
          <w:lang w:eastAsia="fr-FR"/>
        </w:rPr>
      </w:pPr>
    </w:p>
    <w:p w:rsidR="00AD0F54" w:rsidRPr="00AD0F54" w:rsidRDefault="00AD0F54" w:rsidP="00AD0F54">
      <w:pPr>
        <w:pStyle w:val="ListParagraph"/>
        <w:numPr>
          <w:ilvl w:val="0"/>
          <w:numId w:val="24"/>
        </w:numPr>
        <w:spacing w:after="0" w:line="240" w:lineRule="auto"/>
        <w:rPr>
          <w:b/>
          <w:i/>
          <w:color w:val="1F497D" w:themeColor="text2"/>
          <w:u w:val="single"/>
          <w:lang w:eastAsia="fr-FR"/>
        </w:rPr>
      </w:pPr>
      <w:r w:rsidRPr="00AD0F54">
        <w:rPr>
          <w:rFonts w:eastAsia="Times New Roman" w:cstheme="minorHAnsi"/>
          <w:b/>
          <w:i/>
          <w:color w:val="1F497D" w:themeColor="text2"/>
          <w:sz w:val="20"/>
          <w:szCs w:val="20"/>
          <w:u w:val="single"/>
          <w:lang w:eastAsia="fr-FR"/>
        </w:rPr>
        <w:t>Negotiation and settlement of the near leg of the operation</w:t>
      </w:r>
    </w:p>
    <w:p w:rsidR="008E4010" w:rsidRDefault="00FD6577" w:rsidP="00717A12">
      <w:pPr>
        <w:spacing w:before="120" w:after="0" w:line="240" w:lineRule="auto"/>
        <w:jc w:val="both"/>
        <w:rPr>
          <w:rFonts w:eastAsia="MS Mincho" w:cs="Times New Roman"/>
          <w:noProof/>
          <w:szCs w:val="32"/>
        </w:rPr>
      </w:pPr>
      <w:r>
        <w:rPr>
          <w:rFonts w:eastAsia="MS Mincho" w:cs="Times New Roman"/>
          <w:noProof/>
          <w:szCs w:val="32"/>
        </w:rPr>
        <w:drawing>
          <wp:inline distT="0" distB="0" distL="0" distR="0" wp14:anchorId="12681C21">
            <wp:extent cx="5150201" cy="36290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58688" cy="3635005"/>
                    </a:xfrm>
                    <a:prstGeom prst="rect">
                      <a:avLst/>
                    </a:prstGeom>
                    <a:noFill/>
                  </pic:spPr>
                </pic:pic>
              </a:graphicData>
            </a:graphic>
          </wp:inline>
        </w:drawing>
      </w:r>
    </w:p>
    <w:p w:rsidR="00AD0F54" w:rsidRDefault="00AD0F54" w:rsidP="00717A12">
      <w:pPr>
        <w:spacing w:before="120" w:after="0" w:line="240" w:lineRule="auto"/>
        <w:jc w:val="both"/>
        <w:rPr>
          <w:rFonts w:eastAsia="MS Mincho" w:cs="Times New Roman"/>
          <w:noProof/>
          <w:szCs w:val="32"/>
        </w:rPr>
      </w:pPr>
    </w:p>
    <w:p w:rsidR="00BD7FA8" w:rsidRPr="00BD7FA8" w:rsidRDefault="00BD7FA8" w:rsidP="00BD7FA8">
      <w:pPr>
        <w:pStyle w:val="ListParagraph"/>
        <w:numPr>
          <w:ilvl w:val="0"/>
          <w:numId w:val="24"/>
        </w:numPr>
        <w:spacing w:after="0" w:line="240" w:lineRule="auto"/>
        <w:rPr>
          <w:b/>
          <w:i/>
          <w:color w:val="1F497D" w:themeColor="text2"/>
          <w:u w:val="single"/>
          <w:lang w:eastAsia="fr-FR"/>
        </w:rPr>
      </w:pPr>
      <w:r w:rsidRPr="00BD7FA8">
        <w:rPr>
          <w:rFonts w:eastAsia="Times New Roman" w:cstheme="minorHAnsi"/>
          <w:b/>
          <w:i/>
          <w:color w:val="1F497D" w:themeColor="text2"/>
          <w:sz w:val="20"/>
          <w:szCs w:val="20"/>
          <w:u w:val="single"/>
          <w:lang w:eastAsia="fr-FR"/>
        </w:rPr>
        <w:t xml:space="preserve">During the term of the </w:t>
      </w:r>
      <w:r>
        <w:rPr>
          <w:rFonts w:eastAsia="Times New Roman" w:cstheme="minorHAnsi"/>
          <w:b/>
          <w:i/>
          <w:color w:val="1F497D" w:themeColor="text2"/>
          <w:sz w:val="20"/>
          <w:szCs w:val="20"/>
          <w:u w:val="single"/>
          <w:lang w:eastAsia="fr-FR"/>
        </w:rPr>
        <w:t>securities lending contract</w:t>
      </w:r>
    </w:p>
    <w:p w:rsidR="00AD0F54" w:rsidRPr="00BD7FA8" w:rsidRDefault="00BD3887" w:rsidP="00717A12">
      <w:pPr>
        <w:spacing w:before="120" w:after="0" w:line="240" w:lineRule="auto"/>
        <w:jc w:val="both"/>
        <w:rPr>
          <w:rFonts w:eastAsia="MS Mincho" w:cs="Times New Roman"/>
          <w:noProof/>
          <w:szCs w:val="32"/>
        </w:rPr>
      </w:pPr>
      <w:r>
        <w:rPr>
          <w:rFonts w:eastAsia="MS Mincho" w:cs="Times New Roman"/>
          <w:noProof/>
          <w:szCs w:val="32"/>
        </w:rPr>
        <w:lastRenderedPageBreak/>
        <w:drawing>
          <wp:inline distT="0" distB="0" distL="0" distR="0" wp14:anchorId="70965EC0">
            <wp:extent cx="5305425" cy="325292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98475" cy="3248667"/>
                    </a:xfrm>
                    <a:prstGeom prst="rect">
                      <a:avLst/>
                    </a:prstGeom>
                    <a:noFill/>
                  </pic:spPr>
                </pic:pic>
              </a:graphicData>
            </a:graphic>
          </wp:inline>
        </w:drawing>
      </w:r>
    </w:p>
    <w:p w:rsidR="008E4010" w:rsidRDefault="008E4010" w:rsidP="00717A12">
      <w:pPr>
        <w:spacing w:before="120" w:after="0" w:line="240" w:lineRule="auto"/>
        <w:jc w:val="both"/>
        <w:rPr>
          <w:rFonts w:eastAsia="MS Mincho" w:cs="Times New Roman"/>
          <w:noProof/>
          <w:szCs w:val="32"/>
        </w:rPr>
      </w:pPr>
    </w:p>
    <w:p w:rsidR="00D76B87" w:rsidRPr="004F4C53" w:rsidRDefault="00D76B87" w:rsidP="00717A12">
      <w:pPr>
        <w:pStyle w:val="ListParagraph"/>
        <w:numPr>
          <w:ilvl w:val="0"/>
          <w:numId w:val="24"/>
        </w:numPr>
        <w:spacing w:before="120" w:after="0" w:line="240" w:lineRule="auto"/>
        <w:ind w:left="714" w:hanging="357"/>
        <w:contextualSpacing w:val="0"/>
        <w:jc w:val="both"/>
        <w:rPr>
          <w:rFonts w:eastAsia="MS Mincho" w:cs="Times New Roman"/>
          <w:noProof/>
          <w:szCs w:val="32"/>
        </w:rPr>
      </w:pPr>
      <w:r w:rsidRPr="004F4C53">
        <w:rPr>
          <w:rFonts w:eastAsia="Times New Roman" w:cstheme="minorHAnsi"/>
          <w:b/>
          <w:i/>
          <w:color w:val="1F497D" w:themeColor="text2"/>
          <w:sz w:val="20"/>
          <w:szCs w:val="20"/>
          <w:u w:val="single"/>
          <w:lang w:eastAsia="fr-FR"/>
        </w:rPr>
        <w:t>Negotiation and settlement of the far leg</w:t>
      </w:r>
    </w:p>
    <w:p w:rsidR="002644F3" w:rsidRPr="00D76B87" w:rsidRDefault="00AD501C" w:rsidP="00717A12">
      <w:pPr>
        <w:spacing w:before="120" w:after="0" w:line="240" w:lineRule="auto"/>
        <w:jc w:val="both"/>
        <w:rPr>
          <w:rFonts w:eastAsia="MS Mincho" w:cs="Times New Roman"/>
          <w:noProof/>
          <w:szCs w:val="32"/>
          <w:lang w:val="fr-FR"/>
        </w:rPr>
      </w:pPr>
      <w:r>
        <w:rPr>
          <w:rFonts w:eastAsia="MS Mincho" w:cs="Times New Roman"/>
          <w:noProof/>
          <w:szCs w:val="32"/>
        </w:rPr>
        <w:drawing>
          <wp:inline distT="0" distB="0" distL="0" distR="0" wp14:anchorId="310A5D6D">
            <wp:extent cx="5410977" cy="375194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12785" cy="3753197"/>
                    </a:xfrm>
                    <a:prstGeom prst="rect">
                      <a:avLst/>
                    </a:prstGeom>
                    <a:noFill/>
                  </pic:spPr>
                </pic:pic>
              </a:graphicData>
            </a:graphic>
          </wp:inline>
        </w:drawing>
      </w:r>
    </w:p>
    <w:sectPr w:rsidR="002644F3" w:rsidRPr="00D76B87" w:rsidSect="006D6846">
      <w:headerReference w:type="default" r:id="rId18"/>
      <w:footerReference w:type="default" r:id="rId19"/>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CEE" w:rsidRDefault="00D01CEE" w:rsidP="006D6846">
      <w:pPr>
        <w:spacing w:after="0" w:line="240" w:lineRule="auto"/>
      </w:pPr>
      <w:r>
        <w:separator/>
      </w:r>
    </w:p>
  </w:endnote>
  <w:endnote w:type="continuationSeparator" w:id="0">
    <w:p w:rsidR="00D01CEE" w:rsidRDefault="00D01CEE"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825659"/>
      <w:docPartObj>
        <w:docPartGallery w:val="Page Numbers (Bottom of Page)"/>
        <w:docPartUnique/>
      </w:docPartObj>
    </w:sdtPr>
    <w:sdtEndPr>
      <w:rPr>
        <w:noProof/>
      </w:rPr>
    </w:sdtEndPr>
    <w:sdtContent>
      <w:p w:rsidR="00EC776F" w:rsidRDefault="00EC776F">
        <w:pPr>
          <w:pStyle w:val="Footer"/>
          <w:jc w:val="right"/>
        </w:pPr>
        <w:r>
          <w:fldChar w:fldCharType="begin"/>
        </w:r>
        <w:r>
          <w:instrText xml:space="preserve"> PAGE   \* MERGEFORMAT </w:instrText>
        </w:r>
        <w:r>
          <w:fldChar w:fldCharType="separate"/>
        </w:r>
        <w:r w:rsidR="00E13B9B">
          <w:rPr>
            <w:noProof/>
          </w:rPr>
          <w:t>5</w:t>
        </w:r>
        <w:r>
          <w:rPr>
            <w:noProof/>
          </w:rPr>
          <w:fldChar w:fldCharType="end"/>
        </w:r>
      </w:p>
    </w:sdtContent>
  </w:sdt>
  <w:p w:rsidR="00EC776F" w:rsidRDefault="00EC77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CEE" w:rsidRDefault="00D01CEE" w:rsidP="006D6846">
      <w:pPr>
        <w:spacing w:after="0" w:line="240" w:lineRule="auto"/>
      </w:pPr>
      <w:r>
        <w:separator/>
      </w:r>
    </w:p>
  </w:footnote>
  <w:footnote w:type="continuationSeparator" w:id="0">
    <w:p w:rsidR="00D01CEE" w:rsidRDefault="00D01CEE"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EC776F" w:rsidTr="00EC776F">
      <w:tc>
        <w:tcPr>
          <w:tcW w:w="5778" w:type="dxa"/>
          <w:vAlign w:val="center"/>
        </w:tcPr>
        <w:p w:rsidR="002650CD" w:rsidRPr="005B1C9D" w:rsidRDefault="002650CD" w:rsidP="002650CD">
          <w:pPr>
            <w:pStyle w:val="Header"/>
            <w:jc w:val="center"/>
            <w:rPr>
              <w:b/>
            </w:rPr>
          </w:pPr>
          <w:r w:rsidRPr="005B1C9D">
            <w:rPr>
              <w:b/>
            </w:rPr>
            <w:t>T2S Market Practice Adaptation Workgroup</w:t>
          </w:r>
        </w:p>
        <w:p w:rsidR="00EC776F" w:rsidRPr="002650CD" w:rsidRDefault="002650CD" w:rsidP="002650CD">
          <w:pPr>
            <w:pStyle w:val="Header"/>
            <w:jc w:val="center"/>
            <w:rPr>
              <w:b/>
            </w:rPr>
          </w:pPr>
          <w:r w:rsidRPr="005B1C9D">
            <w:rPr>
              <w:b/>
            </w:rPr>
            <w:t xml:space="preserve">Market Practice </w:t>
          </w:r>
          <w:r>
            <w:rPr>
              <w:b/>
            </w:rPr>
            <w:t>Sheet</w:t>
          </w:r>
        </w:p>
      </w:tc>
      <w:tc>
        <w:tcPr>
          <w:tcW w:w="3798" w:type="dxa"/>
          <w:vAlign w:val="center"/>
        </w:tcPr>
        <w:p w:rsidR="00EC776F" w:rsidRDefault="00EC776F" w:rsidP="00EC776F">
          <w:pPr>
            <w:pStyle w:val="Header"/>
            <w:jc w:val="center"/>
            <w:rPr>
              <w:b/>
              <w:lang w:val="fr-FR"/>
            </w:rPr>
          </w:pPr>
          <w:r>
            <w:rPr>
              <w:noProof/>
            </w:rPr>
            <w:drawing>
              <wp:inline distT="0" distB="0" distL="0" distR="0" wp14:anchorId="3E72258F" wp14:editId="3C17C00F">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r w:rsidR="00F1144C">
            <w:object w:dxaOrig="7200" w:dyaOrig="4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54pt" o:ole="">
                <v:imagedata r:id="rId2" o:title=""/>
              </v:shape>
              <o:OLEObject Type="Embed" ProgID="PBrush" ShapeID="_x0000_i1025" DrawAspect="Content" ObjectID="_1537602605" r:id="rId3"/>
            </w:object>
          </w:r>
        </w:p>
      </w:tc>
    </w:tr>
    <w:tr w:rsidR="00EC776F" w:rsidRPr="00776CD9" w:rsidTr="00EC776F">
      <w:tc>
        <w:tcPr>
          <w:tcW w:w="5778" w:type="dxa"/>
          <w:vAlign w:val="center"/>
        </w:tcPr>
        <w:p w:rsidR="00EC776F" w:rsidRPr="00B3406E" w:rsidRDefault="00B3406E" w:rsidP="00756030">
          <w:pPr>
            <w:pStyle w:val="Header"/>
            <w:rPr>
              <w:i/>
            </w:rPr>
          </w:pPr>
          <w:r>
            <w:rPr>
              <w:i/>
            </w:rPr>
            <w:t>Practice</w:t>
          </w:r>
          <w:r w:rsidRPr="0033411F">
            <w:rPr>
              <w:i/>
            </w:rPr>
            <w:t xml:space="preserve"> reference</w:t>
          </w:r>
          <w:r w:rsidR="00EC776F" w:rsidRPr="00B3406E">
            <w:rPr>
              <w:i/>
            </w:rPr>
            <w:t xml:space="preserve">: </w:t>
          </w:r>
          <w:r w:rsidR="009310D4" w:rsidRPr="00FA4417">
            <w:rPr>
              <w:i/>
              <w:lang w:val="fr-FR"/>
            </w:rPr>
            <w:t>OF-FLUX-CESSIONSTEMPORAIRES-0</w:t>
          </w:r>
          <w:r w:rsidR="009310D4">
            <w:rPr>
              <w:i/>
              <w:lang w:val="fr-FR"/>
            </w:rPr>
            <w:t>2</w:t>
          </w:r>
        </w:p>
      </w:tc>
      <w:tc>
        <w:tcPr>
          <w:tcW w:w="3798" w:type="dxa"/>
          <w:vAlign w:val="center"/>
        </w:tcPr>
        <w:p w:rsidR="00EC776F" w:rsidRPr="00B3406E" w:rsidRDefault="00EC776F" w:rsidP="00EC776F">
          <w:pPr>
            <w:pStyle w:val="Header"/>
            <w:jc w:val="center"/>
            <w:rPr>
              <w:noProof/>
            </w:rPr>
          </w:pPr>
        </w:p>
      </w:tc>
    </w:tr>
  </w:tbl>
  <w:p w:rsidR="00EC776F" w:rsidRPr="00B3406E" w:rsidRDefault="00EC776F">
    <w:pPr>
      <w:pStyle w:val="Header"/>
      <w:rPr>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2662CAD"/>
    <w:multiLevelType w:val="multilevel"/>
    <w:tmpl w:val="7ED88670"/>
    <w:lvl w:ilvl="0">
      <w:start w:val="1"/>
      <w:numFmt w:val="lowerLetter"/>
      <w:lvlText w:val="%1)"/>
      <w:lvlJc w:val="left"/>
      <w:pPr>
        <w:ind w:left="720" w:hanging="360"/>
      </w:pPr>
      <w:rPr>
        <w:rFonts w:asciiTheme="minorHAnsi" w:eastAsia="MS Mincho" w:hAnsiTheme="minorHAnsi" w:cs="Times New Roman"/>
        <w:b/>
      </w:rPr>
    </w:lvl>
    <w:lvl w:ilvl="1">
      <w:start w:val="1"/>
      <w:numFmt w:val="lowerRoman"/>
      <w:lvlText w:val="%2)"/>
      <w:lvlJc w:val="left"/>
      <w:pPr>
        <w:ind w:left="1080" w:hanging="360"/>
      </w:pPr>
      <w:rPr>
        <w:rFonts w:asciiTheme="minorHAnsi" w:eastAsia="MS Mincho" w:hAnsiTheme="minorHAnsi" w:cs="Times New Roman"/>
      </w:rPr>
    </w:lvl>
    <w:lvl w:ilvl="2">
      <w:start w:val="1"/>
      <w:numFmt w:val="lowerRoman"/>
      <w:lvlText w:val="%3)"/>
      <w:lvlJc w:val="left"/>
      <w:pPr>
        <w:ind w:left="1440" w:hanging="360"/>
      </w:pPr>
    </w:lvl>
    <w:lvl w:ilvl="3">
      <w:start w:val="1"/>
      <w:numFmt w:val="decimal"/>
      <w:lvlText w:val="(%4)"/>
      <w:lvlJc w:val="left"/>
      <w:pPr>
        <w:ind w:left="1800" w:hanging="360"/>
      </w:pPr>
      <w:rPr>
        <w:i w:val="0"/>
      </w:r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77673C1"/>
    <w:multiLevelType w:val="hybridMultilevel"/>
    <w:tmpl w:val="210E855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AA32FA4"/>
    <w:multiLevelType w:val="multilevel"/>
    <w:tmpl w:val="7ED88670"/>
    <w:lvl w:ilvl="0">
      <w:start w:val="1"/>
      <w:numFmt w:val="lowerLetter"/>
      <w:lvlText w:val="%1)"/>
      <w:lvlJc w:val="left"/>
      <w:pPr>
        <w:ind w:left="720" w:hanging="360"/>
      </w:pPr>
      <w:rPr>
        <w:rFonts w:asciiTheme="minorHAnsi" w:eastAsia="MS Mincho" w:hAnsiTheme="minorHAnsi" w:cs="Times New Roman"/>
        <w:b/>
      </w:rPr>
    </w:lvl>
    <w:lvl w:ilvl="1">
      <w:start w:val="1"/>
      <w:numFmt w:val="lowerRoman"/>
      <w:lvlText w:val="%2)"/>
      <w:lvlJc w:val="left"/>
      <w:pPr>
        <w:ind w:left="1080" w:hanging="360"/>
      </w:pPr>
      <w:rPr>
        <w:rFonts w:asciiTheme="minorHAnsi" w:eastAsia="MS Mincho" w:hAnsiTheme="minorHAnsi" w:cs="Times New Roman"/>
      </w:rPr>
    </w:lvl>
    <w:lvl w:ilvl="2">
      <w:start w:val="1"/>
      <w:numFmt w:val="lowerRoman"/>
      <w:lvlText w:val="%3)"/>
      <w:lvlJc w:val="left"/>
      <w:pPr>
        <w:ind w:left="1440" w:hanging="360"/>
      </w:pPr>
    </w:lvl>
    <w:lvl w:ilvl="3">
      <w:start w:val="1"/>
      <w:numFmt w:val="decimal"/>
      <w:lvlText w:val="(%4)"/>
      <w:lvlJc w:val="left"/>
      <w:pPr>
        <w:ind w:left="1800" w:hanging="360"/>
      </w:pPr>
      <w:rPr>
        <w:i w:val="0"/>
      </w:r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72F0CF4"/>
    <w:multiLevelType w:val="hybridMultilevel"/>
    <w:tmpl w:val="8AF4518A"/>
    <w:lvl w:ilvl="0" w:tplc="4DB0C7A4">
      <w:start w:val="1"/>
      <w:numFmt w:val="bullet"/>
      <w:lvlText w:val="-"/>
      <w:lvlJc w:val="left"/>
      <w:pPr>
        <w:ind w:left="720" w:hanging="360"/>
      </w:pPr>
      <w:rPr>
        <w:rFonts w:ascii="Calibri" w:eastAsiaTheme="minorHAnsi" w:hAnsi="Calibri" w:cs="Taho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EE0E17"/>
    <w:multiLevelType w:val="hybridMultilevel"/>
    <w:tmpl w:val="31BEA8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D2AB7"/>
    <w:multiLevelType w:val="multilevel"/>
    <w:tmpl w:val="7ED88670"/>
    <w:lvl w:ilvl="0">
      <w:start w:val="1"/>
      <w:numFmt w:val="lowerLetter"/>
      <w:lvlText w:val="%1)"/>
      <w:lvlJc w:val="left"/>
      <w:pPr>
        <w:ind w:left="720" w:hanging="360"/>
      </w:pPr>
      <w:rPr>
        <w:rFonts w:asciiTheme="minorHAnsi" w:eastAsia="MS Mincho" w:hAnsiTheme="minorHAnsi" w:cs="Times New Roman"/>
        <w:b/>
      </w:rPr>
    </w:lvl>
    <w:lvl w:ilvl="1">
      <w:start w:val="1"/>
      <w:numFmt w:val="lowerRoman"/>
      <w:lvlText w:val="%2)"/>
      <w:lvlJc w:val="left"/>
      <w:pPr>
        <w:ind w:left="1080" w:hanging="360"/>
      </w:pPr>
      <w:rPr>
        <w:rFonts w:asciiTheme="minorHAnsi" w:eastAsia="MS Mincho" w:hAnsiTheme="minorHAnsi" w:cs="Times New Roman"/>
      </w:rPr>
    </w:lvl>
    <w:lvl w:ilvl="2">
      <w:start w:val="1"/>
      <w:numFmt w:val="lowerRoman"/>
      <w:lvlText w:val="%3)"/>
      <w:lvlJc w:val="left"/>
      <w:pPr>
        <w:ind w:left="1440" w:hanging="360"/>
      </w:pPr>
    </w:lvl>
    <w:lvl w:ilvl="3">
      <w:start w:val="1"/>
      <w:numFmt w:val="decimal"/>
      <w:lvlText w:val="(%4)"/>
      <w:lvlJc w:val="left"/>
      <w:pPr>
        <w:ind w:left="1800" w:hanging="360"/>
      </w:pPr>
      <w:rPr>
        <w:i w:val="0"/>
      </w:r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1">
    <w:nsid w:val="2FE81C08"/>
    <w:multiLevelType w:val="multilevel"/>
    <w:tmpl w:val="4E9C278E"/>
    <w:lvl w:ilvl="0">
      <w:start w:val="1"/>
      <w:numFmt w:val="lowerLetter"/>
      <w:lvlText w:val="%1)"/>
      <w:lvlJc w:val="left"/>
      <w:pPr>
        <w:ind w:left="720" w:hanging="360"/>
      </w:pPr>
      <w:rPr>
        <w:rFonts w:asciiTheme="minorHAnsi" w:eastAsia="MS Mincho" w:hAnsiTheme="minorHAnsi" w:cs="Times New Roman"/>
        <w:b/>
      </w:rPr>
    </w:lvl>
    <w:lvl w:ilvl="1">
      <w:start w:val="1"/>
      <w:numFmt w:val="lowerRoman"/>
      <w:lvlText w:val="%2)"/>
      <w:lvlJc w:val="left"/>
      <w:pPr>
        <w:ind w:left="1080" w:hanging="360"/>
      </w:pPr>
      <w:rPr>
        <w:rFonts w:asciiTheme="minorHAnsi" w:eastAsia="MS Mincho" w:hAnsiTheme="minorHAnsi" w:cs="Times New Roman"/>
      </w:rPr>
    </w:lvl>
    <w:lvl w:ilvl="2">
      <w:start w:val="1"/>
      <w:numFmt w:val="lowerRoman"/>
      <w:lvlText w:val="%3)"/>
      <w:lvlJc w:val="left"/>
      <w:pPr>
        <w:ind w:left="1440" w:hanging="360"/>
      </w:pPr>
    </w:lvl>
    <w:lvl w:ilvl="3">
      <w:start w:val="1"/>
      <w:numFmt w:val="decimal"/>
      <w:lvlText w:val="(%4)"/>
      <w:lvlJc w:val="left"/>
      <w:pPr>
        <w:ind w:left="1800" w:hanging="360"/>
      </w:pPr>
      <w:rPr>
        <w:i w:val="0"/>
        <w:lang w:val="en-US"/>
      </w:r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F75D84"/>
    <w:multiLevelType w:val="hybridMultilevel"/>
    <w:tmpl w:val="E21AB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6DA178A8"/>
    <w:multiLevelType w:val="hybridMultilevel"/>
    <w:tmpl w:val="1A7A2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ED2FEF"/>
    <w:multiLevelType w:val="hybridMultilevel"/>
    <w:tmpl w:val="19A66FFE"/>
    <w:lvl w:ilvl="0" w:tplc="F6FE39A0">
      <w:start w:val="9"/>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C22D62"/>
    <w:multiLevelType w:val="hybridMultilevel"/>
    <w:tmpl w:val="A57AE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1F1345"/>
    <w:multiLevelType w:val="multilevel"/>
    <w:tmpl w:val="6B0E9384"/>
    <w:lvl w:ilvl="0">
      <w:start w:val="1"/>
      <w:numFmt w:val="lowerLetter"/>
      <w:lvlText w:val="%1)"/>
      <w:lvlJc w:val="left"/>
      <w:pPr>
        <w:ind w:left="720" w:hanging="360"/>
      </w:pPr>
      <w:rPr>
        <w:rFonts w:asciiTheme="minorHAnsi" w:eastAsia="MS Mincho" w:hAnsiTheme="minorHAnsi" w:cs="Times New Roman"/>
        <w:b/>
      </w:rPr>
    </w:lvl>
    <w:lvl w:ilvl="1">
      <w:start w:val="1"/>
      <w:numFmt w:val="lowerRoman"/>
      <w:lvlText w:val="%2)"/>
      <w:lvlJc w:val="left"/>
      <w:pPr>
        <w:ind w:left="1080" w:hanging="360"/>
      </w:pPr>
      <w:rPr>
        <w:rFonts w:asciiTheme="minorHAnsi" w:eastAsia="MS Mincho" w:hAnsiTheme="minorHAnsi" w:cs="Times New Roman"/>
        <w:b w:val="0"/>
      </w:rPr>
    </w:lvl>
    <w:lvl w:ilvl="2">
      <w:start w:val="1"/>
      <w:numFmt w:val="bullet"/>
      <w:lvlText w:val="o"/>
      <w:lvlJc w:val="left"/>
      <w:pPr>
        <w:ind w:left="1440" w:hanging="360"/>
      </w:pPr>
      <w:rPr>
        <w:rFonts w:ascii="Courier New" w:hAnsi="Courier New" w:cs="Courier New" w:hint="default"/>
      </w:rPr>
    </w:lvl>
    <w:lvl w:ilvl="3">
      <w:start w:val="1"/>
      <w:numFmt w:val="bullet"/>
      <w:lvlText w:val="o"/>
      <w:lvlJc w:val="left"/>
      <w:pPr>
        <w:ind w:left="1800" w:hanging="360"/>
      </w:pPr>
      <w:rPr>
        <w:rFonts w:ascii="Courier New" w:hAnsi="Courier New" w:cs="Courier New" w:hint="default"/>
      </w:r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nsid w:val="74786FCF"/>
    <w:multiLevelType w:val="hybridMultilevel"/>
    <w:tmpl w:val="5F9A1742"/>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AEA276D"/>
    <w:multiLevelType w:val="hybridMultilevel"/>
    <w:tmpl w:val="2A869C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D8479E7"/>
    <w:multiLevelType w:val="hybridMultilevel"/>
    <w:tmpl w:val="0BDE89BE"/>
    <w:lvl w:ilvl="0" w:tplc="DA6629F6">
      <w:start w:val="1"/>
      <w:numFmt w:val="bullet"/>
      <w:lvlText w:val=""/>
      <w:lvlJc w:val="left"/>
      <w:pPr>
        <w:ind w:left="720" w:hanging="360"/>
      </w:pPr>
      <w:rPr>
        <w:rFonts w:ascii="Symbol" w:hAnsi="Symbo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3"/>
  </w:num>
  <w:num w:numId="3">
    <w:abstractNumId w:val="22"/>
  </w:num>
  <w:num w:numId="4">
    <w:abstractNumId w:val="20"/>
  </w:num>
  <w:num w:numId="5">
    <w:abstractNumId w:val="2"/>
  </w:num>
  <w:num w:numId="6">
    <w:abstractNumId w:val="0"/>
  </w:num>
  <w:num w:numId="7">
    <w:abstractNumId w:val="7"/>
  </w:num>
  <w:num w:numId="8">
    <w:abstractNumId w:val="5"/>
  </w:num>
  <w:num w:numId="9">
    <w:abstractNumId w:val="8"/>
  </w:num>
  <w:num w:numId="10">
    <w:abstractNumId w:val="14"/>
  </w:num>
  <w:num w:numId="11">
    <w:abstractNumId w:val="16"/>
  </w:num>
  <w:num w:numId="12">
    <w:abstractNumId w:val="15"/>
  </w:num>
  <w:num w:numId="13">
    <w:abstractNumId w:val="17"/>
  </w:num>
  <w:num w:numId="14">
    <w:abstractNumId w:val="19"/>
  </w:num>
  <w:num w:numId="15">
    <w:abstractNumId w:val="9"/>
  </w:num>
  <w:num w:numId="16">
    <w:abstractNumId w:val="6"/>
  </w:num>
  <w:num w:numId="17">
    <w:abstractNumId w:val="13"/>
  </w:num>
  <w:num w:numId="18">
    <w:abstractNumId w:val="21"/>
  </w:num>
  <w:num w:numId="19">
    <w:abstractNumId w:val="1"/>
  </w:num>
  <w:num w:numId="20">
    <w:abstractNumId w:val="18"/>
  </w:num>
  <w:num w:numId="21">
    <w:abstractNumId w:val="10"/>
  </w:num>
  <w:num w:numId="22">
    <w:abstractNumId w:val="11"/>
  </w:num>
  <w:num w:numId="23">
    <w:abstractNumId w:val="4"/>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20EA1"/>
    <w:rsid w:val="00033FBF"/>
    <w:rsid w:val="000517C2"/>
    <w:rsid w:val="000706A3"/>
    <w:rsid w:val="000A0704"/>
    <w:rsid w:val="000A6C94"/>
    <w:rsid w:val="000B1F19"/>
    <w:rsid w:val="000C1C9B"/>
    <w:rsid w:val="000D6F4D"/>
    <w:rsid w:val="000E48E8"/>
    <w:rsid w:val="000F3C24"/>
    <w:rsid w:val="00113071"/>
    <w:rsid w:val="00140482"/>
    <w:rsid w:val="00145ADA"/>
    <w:rsid w:val="00146DC5"/>
    <w:rsid w:val="001522A5"/>
    <w:rsid w:val="00162BBA"/>
    <w:rsid w:val="0017098B"/>
    <w:rsid w:val="00183F7A"/>
    <w:rsid w:val="001A26CA"/>
    <w:rsid w:val="001B0416"/>
    <w:rsid w:val="001B1E38"/>
    <w:rsid w:val="001C4C4C"/>
    <w:rsid w:val="001C7BAF"/>
    <w:rsid w:val="001D7830"/>
    <w:rsid w:val="001E0D83"/>
    <w:rsid w:val="001F21F9"/>
    <w:rsid w:val="00211814"/>
    <w:rsid w:val="00217510"/>
    <w:rsid w:val="00234A2C"/>
    <w:rsid w:val="0024733F"/>
    <w:rsid w:val="00255EC9"/>
    <w:rsid w:val="002644F3"/>
    <w:rsid w:val="002650CD"/>
    <w:rsid w:val="00280082"/>
    <w:rsid w:val="00283DDE"/>
    <w:rsid w:val="0028538B"/>
    <w:rsid w:val="00291B60"/>
    <w:rsid w:val="002B284F"/>
    <w:rsid w:val="00343829"/>
    <w:rsid w:val="00343B9E"/>
    <w:rsid w:val="00343E9C"/>
    <w:rsid w:val="00361180"/>
    <w:rsid w:val="003631EA"/>
    <w:rsid w:val="00363E89"/>
    <w:rsid w:val="00367A12"/>
    <w:rsid w:val="0037407D"/>
    <w:rsid w:val="00376823"/>
    <w:rsid w:val="003929BA"/>
    <w:rsid w:val="003A4E76"/>
    <w:rsid w:val="003B3DA4"/>
    <w:rsid w:val="003D5E9F"/>
    <w:rsid w:val="003D7060"/>
    <w:rsid w:val="003F58F9"/>
    <w:rsid w:val="00443E07"/>
    <w:rsid w:val="004521D0"/>
    <w:rsid w:val="004522E6"/>
    <w:rsid w:val="004602A3"/>
    <w:rsid w:val="00464015"/>
    <w:rsid w:val="004818D8"/>
    <w:rsid w:val="00482296"/>
    <w:rsid w:val="004C6FD4"/>
    <w:rsid w:val="004D78AA"/>
    <w:rsid w:val="004E74F8"/>
    <w:rsid w:val="004F4C53"/>
    <w:rsid w:val="004F6025"/>
    <w:rsid w:val="005010F8"/>
    <w:rsid w:val="005061BA"/>
    <w:rsid w:val="0051446F"/>
    <w:rsid w:val="0051485E"/>
    <w:rsid w:val="00567B1D"/>
    <w:rsid w:val="00575F36"/>
    <w:rsid w:val="005B7B22"/>
    <w:rsid w:val="005C1B4C"/>
    <w:rsid w:val="005C2ACA"/>
    <w:rsid w:val="005E593C"/>
    <w:rsid w:val="006041EE"/>
    <w:rsid w:val="006150E8"/>
    <w:rsid w:val="00622E8A"/>
    <w:rsid w:val="00625541"/>
    <w:rsid w:val="00652C13"/>
    <w:rsid w:val="00694503"/>
    <w:rsid w:val="0069580E"/>
    <w:rsid w:val="006D6846"/>
    <w:rsid w:val="00701AE2"/>
    <w:rsid w:val="00714CE6"/>
    <w:rsid w:val="00717A12"/>
    <w:rsid w:val="00727BF7"/>
    <w:rsid w:val="0074709E"/>
    <w:rsid w:val="00756030"/>
    <w:rsid w:val="00765664"/>
    <w:rsid w:val="00776CD9"/>
    <w:rsid w:val="00792F7C"/>
    <w:rsid w:val="007B4D1C"/>
    <w:rsid w:val="007B7B10"/>
    <w:rsid w:val="007C7303"/>
    <w:rsid w:val="007E66DA"/>
    <w:rsid w:val="007F6CFC"/>
    <w:rsid w:val="0080446B"/>
    <w:rsid w:val="0081511D"/>
    <w:rsid w:val="008214BC"/>
    <w:rsid w:val="00830B7B"/>
    <w:rsid w:val="00837334"/>
    <w:rsid w:val="00841E84"/>
    <w:rsid w:val="0085743B"/>
    <w:rsid w:val="0086669A"/>
    <w:rsid w:val="008800A4"/>
    <w:rsid w:val="00893912"/>
    <w:rsid w:val="008A30A6"/>
    <w:rsid w:val="008B1A1E"/>
    <w:rsid w:val="008C3090"/>
    <w:rsid w:val="008C734C"/>
    <w:rsid w:val="008D0CDE"/>
    <w:rsid w:val="008E4010"/>
    <w:rsid w:val="009021B9"/>
    <w:rsid w:val="0091257E"/>
    <w:rsid w:val="0092276F"/>
    <w:rsid w:val="00922A8E"/>
    <w:rsid w:val="00922B9C"/>
    <w:rsid w:val="009310D4"/>
    <w:rsid w:val="00933237"/>
    <w:rsid w:val="009606C4"/>
    <w:rsid w:val="00982218"/>
    <w:rsid w:val="00995F65"/>
    <w:rsid w:val="009978DE"/>
    <w:rsid w:val="009A0B1C"/>
    <w:rsid w:val="009A24A6"/>
    <w:rsid w:val="009A2F1A"/>
    <w:rsid w:val="009A64D1"/>
    <w:rsid w:val="00A03851"/>
    <w:rsid w:val="00A133A7"/>
    <w:rsid w:val="00A20577"/>
    <w:rsid w:val="00A21489"/>
    <w:rsid w:val="00A35AA8"/>
    <w:rsid w:val="00A40ED4"/>
    <w:rsid w:val="00A45A45"/>
    <w:rsid w:val="00A47444"/>
    <w:rsid w:val="00A678C0"/>
    <w:rsid w:val="00A746A0"/>
    <w:rsid w:val="00A90EEC"/>
    <w:rsid w:val="00A91578"/>
    <w:rsid w:val="00A96A5D"/>
    <w:rsid w:val="00AA1FDB"/>
    <w:rsid w:val="00AA4C70"/>
    <w:rsid w:val="00AA62D7"/>
    <w:rsid w:val="00AC134F"/>
    <w:rsid w:val="00AD0F54"/>
    <w:rsid w:val="00AD501C"/>
    <w:rsid w:val="00AD57D4"/>
    <w:rsid w:val="00AE20EB"/>
    <w:rsid w:val="00B067D0"/>
    <w:rsid w:val="00B26098"/>
    <w:rsid w:val="00B31057"/>
    <w:rsid w:val="00B3406E"/>
    <w:rsid w:val="00B44E11"/>
    <w:rsid w:val="00B457D4"/>
    <w:rsid w:val="00B540C8"/>
    <w:rsid w:val="00B62B1E"/>
    <w:rsid w:val="00B727D8"/>
    <w:rsid w:val="00B9491F"/>
    <w:rsid w:val="00B97EEC"/>
    <w:rsid w:val="00BA66D3"/>
    <w:rsid w:val="00BA6B0A"/>
    <w:rsid w:val="00BC7577"/>
    <w:rsid w:val="00BD3887"/>
    <w:rsid w:val="00BD7FA8"/>
    <w:rsid w:val="00BE4C60"/>
    <w:rsid w:val="00C070B0"/>
    <w:rsid w:val="00C1000A"/>
    <w:rsid w:val="00C221EA"/>
    <w:rsid w:val="00C23F78"/>
    <w:rsid w:val="00C33595"/>
    <w:rsid w:val="00C3423B"/>
    <w:rsid w:val="00C43D15"/>
    <w:rsid w:val="00C57689"/>
    <w:rsid w:val="00C60EC8"/>
    <w:rsid w:val="00C65EB2"/>
    <w:rsid w:val="00C77C0A"/>
    <w:rsid w:val="00CB0F41"/>
    <w:rsid w:val="00CB5DDB"/>
    <w:rsid w:val="00CB7EEE"/>
    <w:rsid w:val="00CC7462"/>
    <w:rsid w:val="00CE6DA3"/>
    <w:rsid w:val="00CF605A"/>
    <w:rsid w:val="00D01CEE"/>
    <w:rsid w:val="00D103DA"/>
    <w:rsid w:val="00D12DE8"/>
    <w:rsid w:val="00D252A7"/>
    <w:rsid w:val="00D50DB6"/>
    <w:rsid w:val="00D529B3"/>
    <w:rsid w:val="00D53037"/>
    <w:rsid w:val="00D5515F"/>
    <w:rsid w:val="00D66DD4"/>
    <w:rsid w:val="00D76B87"/>
    <w:rsid w:val="00DA37EB"/>
    <w:rsid w:val="00DB106F"/>
    <w:rsid w:val="00DD071C"/>
    <w:rsid w:val="00DF295B"/>
    <w:rsid w:val="00E13B9B"/>
    <w:rsid w:val="00E351C1"/>
    <w:rsid w:val="00E35B86"/>
    <w:rsid w:val="00E438E3"/>
    <w:rsid w:val="00E43D0F"/>
    <w:rsid w:val="00E454AB"/>
    <w:rsid w:val="00E52109"/>
    <w:rsid w:val="00E62EAE"/>
    <w:rsid w:val="00E8070A"/>
    <w:rsid w:val="00E853E3"/>
    <w:rsid w:val="00EA5560"/>
    <w:rsid w:val="00EB44AB"/>
    <w:rsid w:val="00EC776F"/>
    <w:rsid w:val="00F00BF4"/>
    <w:rsid w:val="00F1144C"/>
    <w:rsid w:val="00F138F4"/>
    <w:rsid w:val="00F358FF"/>
    <w:rsid w:val="00F35CCA"/>
    <w:rsid w:val="00F370B0"/>
    <w:rsid w:val="00F419F1"/>
    <w:rsid w:val="00F84B2D"/>
    <w:rsid w:val="00F904C9"/>
    <w:rsid w:val="00FC06B7"/>
    <w:rsid w:val="00FC4F18"/>
    <w:rsid w:val="00FD6577"/>
    <w:rsid w:val="00FE1975"/>
    <w:rsid w:val="00FE5C88"/>
    <w:rsid w:val="00FF1C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nhideWhenUsed/>
    <w:qFormat/>
    <w:rsid w:val="008E401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val="fr-FR"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table" w:styleId="MediumGrid3-Accent1">
    <w:name w:val="Medium Grid 3 Accent 1"/>
    <w:basedOn w:val="TableNormal"/>
    <w:uiPriority w:val="69"/>
    <w:rsid w:val="007B4D1C"/>
    <w:pPr>
      <w:spacing w:after="0" w:line="240" w:lineRule="auto"/>
    </w:pPr>
    <w:rPr>
      <w:rFonts w:ascii="Times New Roman" w:hAnsi="Times New Roman" w:cs="Times New Roman"/>
      <w:sz w:val="20"/>
      <w:szCs w:val="20"/>
      <w:lang w:val="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Hyperlink">
    <w:name w:val="Hyperlink"/>
    <w:basedOn w:val="DefaultParagraphFont"/>
    <w:uiPriority w:val="99"/>
    <w:semiHidden/>
    <w:unhideWhenUsed/>
    <w:rsid w:val="00AE20EB"/>
    <w:rPr>
      <w:color w:val="0563C1"/>
      <w:u w:val="single"/>
    </w:rPr>
  </w:style>
  <w:style w:type="character" w:customStyle="1" w:styleId="Heading3Char">
    <w:name w:val="Heading 3 Char"/>
    <w:basedOn w:val="DefaultParagraphFont"/>
    <w:link w:val="Heading3"/>
    <w:rsid w:val="008E4010"/>
    <w:rPr>
      <w:rFonts w:asciiTheme="majorHAnsi" w:eastAsiaTheme="majorEastAsia" w:hAnsiTheme="majorHAnsi" w:cstheme="majorBidi"/>
      <w:b/>
      <w:bCs/>
      <w:color w:val="4F81BD" w:themeColor="accent1"/>
      <w:sz w:val="24"/>
      <w:szCs w:val="24"/>
      <w:lang w:val="fr-FR"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nhideWhenUsed/>
    <w:qFormat/>
    <w:rsid w:val="008E401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val="fr-FR"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table" w:styleId="MediumGrid3-Accent1">
    <w:name w:val="Medium Grid 3 Accent 1"/>
    <w:basedOn w:val="TableNormal"/>
    <w:uiPriority w:val="69"/>
    <w:rsid w:val="007B4D1C"/>
    <w:pPr>
      <w:spacing w:after="0" w:line="240" w:lineRule="auto"/>
    </w:pPr>
    <w:rPr>
      <w:rFonts w:ascii="Times New Roman" w:hAnsi="Times New Roman" w:cs="Times New Roman"/>
      <w:sz w:val="20"/>
      <w:szCs w:val="20"/>
      <w:lang w:val="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Hyperlink">
    <w:name w:val="Hyperlink"/>
    <w:basedOn w:val="DefaultParagraphFont"/>
    <w:uiPriority w:val="99"/>
    <w:semiHidden/>
    <w:unhideWhenUsed/>
    <w:rsid w:val="00AE20EB"/>
    <w:rPr>
      <w:color w:val="0563C1"/>
      <w:u w:val="single"/>
    </w:rPr>
  </w:style>
  <w:style w:type="character" w:customStyle="1" w:styleId="Heading3Char">
    <w:name w:val="Heading 3 Char"/>
    <w:basedOn w:val="DefaultParagraphFont"/>
    <w:link w:val="Heading3"/>
    <w:rsid w:val="008E4010"/>
    <w:rPr>
      <w:rFonts w:asciiTheme="majorHAnsi" w:eastAsiaTheme="majorEastAsia" w:hAnsiTheme="majorHAnsi" w:cstheme="majorBidi"/>
      <w:b/>
      <w:bCs/>
      <w:color w:val="4F81BD" w:themeColor="accent1"/>
      <w:sz w:val="24"/>
      <w:szCs w:val="24"/>
      <w:lang w:val="fr-FR"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12.png"/><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1606</TotalTime>
  <Pages>15</Pages>
  <Words>2598</Words>
  <Characters>14809</Characters>
  <Application>Microsoft Office Word</Application>
  <DocSecurity>0</DocSecurity>
  <Lines>123</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17373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29</cp:revision>
  <cp:lastPrinted>2015-10-09T10:36:00Z</cp:lastPrinted>
  <dcterms:created xsi:type="dcterms:W3CDTF">2016-10-03T06:21:00Z</dcterms:created>
  <dcterms:modified xsi:type="dcterms:W3CDTF">2016-10-10T09:04:00Z</dcterms:modified>
</cp:coreProperties>
</file>