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664" w:rsidRDefault="00765664" w:rsidP="006D6846">
      <w:pPr>
        <w:tabs>
          <w:tab w:val="left" w:pos="9356"/>
        </w:tabs>
        <w:ind w:right="-279"/>
        <w:jc w:val="center"/>
        <w:rPr>
          <w:sz w:val="36"/>
          <w:lang w:val="fr-FR"/>
        </w:rPr>
      </w:pPr>
    </w:p>
    <w:p w:rsidR="00575F36" w:rsidRPr="007B216A" w:rsidRDefault="004543FE" w:rsidP="00AA1FDB">
      <w:pPr>
        <w:pBdr>
          <w:top w:val="single" w:sz="4" w:space="0" w:color="auto"/>
          <w:left w:val="single" w:sz="4" w:space="4" w:color="auto"/>
          <w:bottom w:val="single" w:sz="4" w:space="1" w:color="auto"/>
          <w:right w:val="single" w:sz="4" w:space="4" w:color="auto"/>
        </w:pBdr>
        <w:shd w:val="pct12" w:color="000000" w:fill="FFFFFF"/>
        <w:jc w:val="center"/>
        <w:rPr>
          <w:b/>
          <w:noProof/>
          <w:sz w:val="36"/>
        </w:rPr>
      </w:pPr>
      <w:r w:rsidRPr="004543FE">
        <w:rPr>
          <w:b/>
          <w:noProof/>
          <w:sz w:val="36"/>
        </w:rPr>
        <w:t>Management of Market Claims in the context of the switch of securities financing transactions in a buy/sell mode</w:t>
      </w:r>
      <w:r>
        <w:rPr>
          <w:b/>
          <w:noProof/>
          <w:sz w:val="36"/>
        </w:rPr>
        <w:t xml:space="preserve"> – Operations not cleared by LCH SA</w:t>
      </w:r>
    </w:p>
    <w:p w:rsidR="001B1E38" w:rsidRPr="007B216A" w:rsidRDefault="001B1E38" w:rsidP="006D6846">
      <w:pPr>
        <w:tabs>
          <w:tab w:val="left" w:pos="9356"/>
        </w:tabs>
        <w:ind w:right="-279"/>
      </w:pPr>
    </w:p>
    <w:tbl>
      <w:tblPr>
        <w:tblStyle w:val="TableGrid"/>
        <w:tblW w:w="0" w:type="auto"/>
        <w:tblLook w:val="04A0" w:firstRow="1" w:lastRow="0" w:firstColumn="1" w:lastColumn="0" w:noHBand="0" w:noVBand="1"/>
      </w:tblPr>
      <w:tblGrid>
        <w:gridCol w:w="2093"/>
        <w:gridCol w:w="2551"/>
        <w:gridCol w:w="4932"/>
      </w:tblGrid>
      <w:tr w:rsidR="004F6025" w:rsidTr="0091257E">
        <w:tc>
          <w:tcPr>
            <w:tcW w:w="2093" w:type="dxa"/>
            <w:vMerge w:val="restart"/>
            <w:shd w:val="clear" w:color="auto" w:fill="BFBFBF" w:themeFill="background1" w:themeFillShade="BF"/>
          </w:tcPr>
          <w:p w:rsidR="004F6025" w:rsidRPr="004F6025" w:rsidRDefault="004F6025" w:rsidP="006D6846">
            <w:pPr>
              <w:tabs>
                <w:tab w:val="left" w:pos="9356"/>
              </w:tabs>
              <w:ind w:right="-279"/>
              <w:rPr>
                <w:b/>
                <w:lang w:val="fr-FR"/>
              </w:rPr>
            </w:pPr>
            <w:proofErr w:type="spellStart"/>
            <w:r w:rsidRPr="004F6025">
              <w:rPr>
                <w:b/>
                <w:lang w:val="fr-FR"/>
              </w:rPr>
              <w:t>Versioning</w:t>
            </w:r>
            <w:proofErr w:type="spellEnd"/>
          </w:p>
        </w:tc>
        <w:tc>
          <w:tcPr>
            <w:tcW w:w="2551" w:type="dxa"/>
            <w:shd w:val="clear" w:color="auto" w:fill="F2F2F2" w:themeFill="background1" w:themeFillShade="F2"/>
          </w:tcPr>
          <w:p w:rsidR="004F6025" w:rsidRDefault="004F6025" w:rsidP="006D6846">
            <w:pPr>
              <w:tabs>
                <w:tab w:val="left" w:pos="9356"/>
              </w:tabs>
              <w:ind w:right="-279"/>
              <w:rPr>
                <w:lang w:val="fr-FR"/>
              </w:rPr>
            </w:pPr>
            <w:r>
              <w:rPr>
                <w:lang w:val="fr-FR"/>
              </w:rPr>
              <w:t>Version</w:t>
            </w:r>
          </w:p>
        </w:tc>
        <w:tc>
          <w:tcPr>
            <w:tcW w:w="4932" w:type="dxa"/>
          </w:tcPr>
          <w:p w:rsidR="004F6025" w:rsidRDefault="004543FE" w:rsidP="00776CD9">
            <w:pPr>
              <w:tabs>
                <w:tab w:val="left" w:pos="9356"/>
              </w:tabs>
              <w:ind w:right="-279"/>
              <w:rPr>
                <w:lang w:val="fr-FR"/>
              </w:rPr>
            </w:pPr>
            <w:r>
              <w:rPr>
                <w:lang w:val="fr-FR"/>
              </w:rPr>
              <w:t>1</w:t>
            </w:r>
            <w:r w:rsidR="00140482">
              <w:rPr>
                <w:lang w:val="fr-FR"/>
              </w:rPr>
              <w:t>.</w:t>
            </w:r>
            <w:r w:rsidR="00776CD9">
              <w:rPr>
                <w:lang w:val="fr-FR"/>
              </w:rPr>
              <w:t>0</w:t>
            </w:r>
          </w:p>
        </w:tc>
      </w:tr>
      <w:tr w:rsidR="007B216A" w:rsidRPr="00AA1FDB" w:rsidTr="0091257E">
        <w:tc>
          <w:tcPr>
            <w:tcW w:w="2093" w:type="dxa"/>
            <w:vMerge/>
            <w:shd w:val="clear" w:color="auto" w:fill="BFBFBF" w:themeFill="background1" w:themeFillShade="BF"/>
          </w:tcPr>
          <w:p w:rsidR="007B216A" w:rsidRPr="004F6025" w:rsidRDefault="007B216A" w:rsidP="006D6846">
            <w:pPr>
              <w:tabs>
                <w:tab w:val="left" w:pos="9356"/>
              </w:tabs>
              <w:ind w:right="-279"/>
              <w:rPr>
                <w:b/>
                <w:lang w:val="fr-FR"/>
              </w:rPr>
            </w:pPr>
          </w:p>
        </w:tc>
        <w:tc>
          <w:tcPr>
            <w:tcW w:w="2551" w:type="dxa"/>
            <w:shd w:val="clear" w:color="auto" w:fill="F2F2F2" w:themeFill="background1" w:themeFillShade="F2"/>
          </w:tcPr>
          <w:p w:rsidR="007B216A" w:rsidRDefault="007B216A" w:rsidP="00F02B56">
            <w:pPr>
              <w:tabs>
                <w:tab w:val="left" w:pos="9356"/>
              </w:tabs>
              <w:ind w:right="-279"/>
              <w:rPr>
                <w:lang w:val="fr-FR"/>
              </w:rPr>
            </w:pPr>
            <w:r>
              <w:rPr>
                <w:lang w:val="fr-FR"/>
              </w:rPr>
              <w:t>Publication date</w:t>
            </w:r>
          </w:p>
        </w:tc>
        <w:tc>
          <w:tcPr>
            <w:tcW w:w="4932" w:type="dxa"/>
          </w:tcPr>
          <w:p w:rsidR="007B216A" w:rsidRDefault="004543FE" w:rsidP="004543FE">
            <w:pPr>
              <w:tabs>
                <w:tab w:val="left" w:pos="9356"/>
              </w:tabs>
              <w:ind w:right="-279"/>
              <w:rPr>
                <w:lang w:val="fr-FR"/>
              </w:rPr>
            </w:pPr>
            <w:r>
              <w:rPr>
                <w:lang w:val="fr-FR"/>
              </w:rPr>
              <w:t>August 30th</w:t>
            </w:r>
            <w:r w:rsidR="007B216A">
              <w:rPr>
                <w:lang w:val="fr-FR"/>
              </w:rPr>
              <w:t>, 2016</w:t>
            </w:r>
          </w:p>
        </w:tc>
      </w:tr>
    </w:tbl>
    <w:p w:rsidR="00B26098" w:rsidRDefault="00B26098" w:rsidP="00B26098">
      <w:pPr>
        <w:spacing w:after="0" w:line="240" w:lineRule="auto"/>
        <w:rPr>
          <w:rFonts w:eastAsia="MS Mincho" w:cs="Times New Roman"/>
          <w:noProof/>
          <w:szCs w:val="32"/>
          <w:lang w:val="fr-FR"/>
        </w:rPr>
      </w:pPr>
    </w:p>
    <w:p w:rsidR="00EC776F" w:rsidRDefault="00EC776F" w:rsidP="00B26098">
      <w:pPr>
        <w:spacing w:after="0" w:line="240" w:lineRule="auto"/>
        <w:rPr>
          <w:rFonts w:eastAsia="MS Mincho" w:cs="Times New Roman"/>
          <w:noProof/>
          <w:szCs w:val="32"/>
          <w:lang w:val="fr-FR"/>
        </w:rPr>
      </w:pPr>
    </w:p>
    <w:p w:rsidR="007B216A" w:rsidRPr="000C4CA6" w:rsidRDefault="007B216A" w:rsidP="007B216A">
      <w:pPr>
        <w:pStyle w:val="ListParagraph"/>
        <w:numPr>
          <w:ilvl w:val="0"/>
          <w:numId w:val="1"/>
        </w:numPr>
        <w:spacing w:after="0" w:line="240" w:lineRule="auto"/>
        <w:ind w:left="284" w:hanging="284"/>
        <w:rPr>
          <w:rFonts w:eastAsia="MS Mincho" w:cs="Times New Roman"/>
          <w:b/>
          <w:caps/>
          <w:noProof/>
          <w:sz w:val="32"/>
          <w:szCs w:val="32"/>
        </w:rPr>
      </w:pPr>
      <w:r w:rsidRPr="003348A6">
        <w:rPr>
          <w:rFonts w:eastAsia="MS Mincho" w:cs="Times New Roman"/>
          <w:b/>
          <w:caps/>
          <w:noProof/>
          <w:sz w:val="32"/>
          <w:szCs w:val="32"/>
        </w:rPr>
        <w:t>Description of the existing practice &amp; of the Impacts</w:t>
      </w:r>
    </w:p>
    <w:p w:rsidR="0081511D" w:rsidRPr="007B216A" w:rsidRDefault="0081511D" w:rsidP="00B26098">
      <w:pPr>
        <w:spacing w:after="0" w:line="240" w:lineRule="auto"/>
        <w:rPr>
          <w:rFonts w:eastAsia="MS Mincho" w:cs="Times New Roman"/>
          <w:noProof/>
          <w:szCs w:val="32"/>
        </w:rPr>
      </w:pPr>
    </w:p>
    <w:tbl>
      <w:tblPr>
        <w:tblStyle w:val="TableGrid"/>
        <w:tblW w:w="9606" w:type="dxa"/>
        <w:tblLayout w:type="fixed"/>
        <w:tblLook w:val="04A0" w:firstRow="1" w:lastRow="0" w:firstColumn="1" w:lastColumn="0" w:noHBand="0" w:noVBand="1"/>
      </w:tblPr>
      <w:tblGrid>
        <w:gridCol w:w="2093"/>
        <w:gridCol w:w="7513"/>
      </w:tblGrid>
      <w:tr w:rsidR="007B216A" w:rsidRPr="004543FE" w:rsidTr="0091257E">
        <w:tc>
          <w:tcPr>
            <w:tcW w:w="2093" w:type="dxa"/>
            <w:tcBorders>
              <w:bottom w:val="single" w:sz="4" w:space="0" w:color="auto"/>
            </w:tcBorders>
            <w:shd w:val="clear" w:color="auto" w:fill="BFBFBF" w:themeFill="background1" w:themeFillShade="BF"/>
          </w:tcPr>
          <w:p w:rsidR="007B216A" w:rsidRPr="000C4CA6" w:rsidRDefault="007B216A" w:rsidP="00F02B56">
            <w:pPr>
              <w:rPr>
                <w:rFonts w:eastAsia="MS Mincho" w:cs="Times New Roman"/>
                <w:b/>
                <w:noProof/>
                <w:szCs w:val="32"/>
              </w:rPr>
            </w:pPr>
            <w:r w:rsidRPr="005B1C9D">
              <w:rPr>
                <w:rFonts w:eastAsia="MS Mincho" w:cs="Times New Roman"/>
                <w:b/>
                <w:noProof/>
                <w:szCs w:val="32"/>
              </w:rPr>
              <w:t>Description of the existing practice</w:t>
            </w:r>
          </w:p>
        </w:tc>
        <w:tc>
          <w:tcPr>
            <w:tcW w:w="7513" w:type="dxa"/>
            <w:tcBorders>
              <w:bottom w:val="single" w:sz="4" w:space="0" w:color="auto"/>
            </w:tcBorders>
          </w:tcPr>
          <w:p w:rsidR="007B216A" w:rsidRDefault="004543FE" w:rsidP="0011664E">
            <w:pPr>
              <w:spacing w:before="120"/>
              <w:jc w:val="both"/>
              <w:rPr>
                <w:rFonts w:eastAsia="MS Mincho" w:cs="Times New Roman"/>
                <w:noProof/>
                <w:szCs w:val="32"/>
              </w:rPr>
            </w:pPr>
            <w:r>
              <w:rPr>
                <w:rFonts w:eastAsia="MS Mincho" w:cs="Times New Roman"/>
                <w:noProof/>
                <w:szCs w:val="32"/>
              </w:rPr>
              <w:t>This market practice only concerns the following securities financing transactions: ‘pensions livrées’ (REPO) and securities lending and borrowing not cleared by LCH SA and outside of Euronext’s centralized trading venue for securities lending.</w:t>
            </w:r>
          </w:p>
          <w:p w:rsidR="004543FE" w:rsidRDefault="004543FE" w:rsidP="0011664E">
            <w:pPr>
              <w:spacing w:before="120"/>
              <w:jc w:val="both"/>
              <w:rPr>
                <w:rFonts w:eastAsia="MS Mincho" w:cs="Times New Roman"/>
                <w:noProof/>
                <w:szCs w:val="32"/>
              </w:rPr>
            </w:pPr>
            <w:r>
              <w:rPr>
                <w:rFonts w:eastAsia="MS Mincho" w:cs="Times New Roman"/>
                <w:noProof/>
                <w:szCs w:val="32"/>
              </w:rPr>
              <w:t>Euroclear has today in place a module for ‘pensions livrées’ (REPO) and securities lending and borrowing.</w:t>
            </w:r>
          </w:p>
          <w:p w:rsidR="004543FE" w:rsidRDefault="003422E2" w:rsidP="0011664E">
            <w:pPr>
              <w:spacing w:before="120"/>
              <w:jc w:val="both"/>
              <w:rPr>
                <w:rFonts w:eastAsia="MS Mincho" w:cs="Times New Roman"/>
                <w:noProof/>
                <w:szCs w:val="32"/>
              </w:rPr>
            </w:pPr>
            <w:r>
              <w:rPr>
                <w:rFonts w:eastAsia="MS Mincho" w:cs="Times New Roman"/>
                <w:noProof/>
                <w:szCs w:val="32"/>
              </w:rPr>
              <w:t xml:space="preserve">At the time </w:t>
            </w:r>
            <w:r w:rsidR="004543FE">
              <w:rPr>
                <w:rFonts w:eastAsia="MS Mincho" w:cs="Times New Roman"/>
                <w:noProof/>
                <w:szCs w:val="32"/>
              </w:rPr>
              <w:t>o</w:t>
            </w:r>
            <w:r>
              <w:rPr>
                <w:rFonts w:eastAsia="MS Mincho" w:cs="Times New Roman"/>
                <w:noProof/>
                <w:szCs w:val="32"/>
              </w:rPr>
              <w:t>f</w:t>
            </w:r>
            <w:r w:rsidR="004543FE">
              <w:rPr>
                <w:rFonts w:eastAsia="MS Mincho" w:cs="Times New Roman"/>
                <w:noProof/>
                <w:szCs w:val="32"/>
              </w:rPr>
              <w:t xml:space="preserve"> the creation of the securities financing transaction, this module automatically ge</w:t>
            </w:r>
            <w:r>
              <w:rPr>
                <w:rFonts w:eastAsia="MS Mincho" w:cs="Times New Roman"/>
                <w:noProof/>
                <w:szCs w:val="32"/>
              </w:rPr>
              <w:t>nerates the far leg with a fixed</w:t>
            </w:r>
            <w:r w:rsidR="004543FE">
              <w:rPr>
                <w:rFonts w:eastAsia="MS Mincho" w:cs="Times New Roman"/>
                <w:noProof/>
                <w:szCs w:val="32"/>
              </w:rPr>
              <w:t xml:space="preserve"> or variable rate (EONIA) and a trade date equal to the intended settlement date of the near leg.</w:t>
            </w:r>
          </w:p>
          <w:p w:rsidR="004543FE" w:rsidRDefault="004543FE" w:rsidP="0011664E">
            <w:pPr>
              <w:spacing w:before="120"/>
              <w:jc w:val="both"/>
              <w:rPr>
                <w:rFonts w:eastAsia="MS Mincho" w:cs="Times New Roman"/>
                <w:noProof/>
                <w:szCs w:val="32"/>
              </w:rPr>
            </w:pPr>
            <w:r>
              <w:rPr>
                <w:rFonts w:eastAsia="MS Mincho" w:cs="Times New Roman"/>
                <w:noProof/>
                <w:szCs w:val="32"/>
              </w:rPr>
              <w:t>It ensures the retrocession of the coupon to the lender during the term of the transactions without further intervention of the parties.</w:t>
            </w:r>
          </w:p>
          <w:p w:rsidR="004543FE" w:rsidRDefault="004543FE" w:rsidP="0011664E">
            <w:pPr>
              <w:spacing w:before="120"/>
              <w:jc w:val="both"/>
              <w:rPr>
                <w:rFonts w:eastAsia="MS Mincho" w:cs="Times New Roman"/>
                <w:noProof/>
                <w:szCs w:val="32"/>
              </w:rPr>
            </w:pPr>
          </w:p>
          <w:p w:rsidR="004543FE" w:rsidRPr="004543FE" w:rsidRDefault="004543FE" w:rsidP="004543FE">
            <w:pPr>
              <w:pStyle w:val="ListParagraph"/>
              <w:numPr>
                <w:ilvl w:val="0"/>
                <w:numId w:val="11"/>
              </w:numPr>
              <w:jc w:val="both"/>
              <w:rPr>
                <w:rFonts w:eastAsia="MS Mincho" w:cs="Times New Roman"/>
                <w:noProof/>
                <w:szCs w:val="32"/>
              </w:rPr>
            </w:pPr>
            <w:r w:rsidRPr="004543FE">
              <w:rPr>
                <w:rFonts w:eastAsia="MS Mincho" w:cs="Times New Roman"/>
                <w:noProof/>
                <w:szCs w:val="32"/>
              </w:rPr>
              <w:t xml:space="preserve">The module only </w:t>
            </w:r>
            <w:r w:rsidR="003422E2">
              <w:rPr>
                <w:rFonts w:eastAsia="MS Mincho" w:cs="Times New Roman"/>
                <w:noProof/>
                <w:szCs w:val="32"/>
              </w:rPr>
              <w:t>presentss</w:t>
            </w:r>
            <w:r w:rsidRPr="004543FE">
              <w:rPr>
                <w:rFonts w:eastAsia="MS Mincho" w:cs="Times New Roman"/>
                <w:noProof/>
                <w:szCs w:val="32"/>
              </w:rPr>
              <w:t xml:space="preserve"> detection rules for CA in cash, whatever the type of securities.</w:t>
            </w:r>
          </w:p>
          <w:p w:rsidR="004543FE" w:rsidRPr="004543FE" w:rsidRDefault="004543FE" w:rsidP="004543FE">
            <w:pPr>
              <w:pStyle w:val="ListParagraph"/>
              <w:ind w:left="360"/>
              <w:jc w:val="both"/>
              <w:rPr>
                <w:rFonts w:eastAsia="MS Mincho" w:cs="Times New Roman"/>
                <w:noProof/>
                <w:sz w:val="10"/>
                <w:szCs w:val="32"/>
              </w:rPr>
            </w:pPr>
          </w:p>
          <w:p w:rsidR="004543FE" w:rsidRPr="003422E2" w:rsidRDefault="004543FE" w:rsidP="004543FE">
            <w:pPr>
              <w:pStyle w:val="ListParagraph"/>
              <w:numPr>
                <w:ilvl w:val="0"/>
                <w:numId w:val="11"/>
              </w:numPr>
              <w:jc w:val="both"/>
              <w:rPr>
                <w:rFonts w:eastAsia="MS Mincho" w:cs="Times New Roman"/>
                <w:noProof/>
                <w:szCs w:val="32"/>
              </w:rPr>
            </w:pPr>
            <w:r w:rsidRPr="004543FE">
              <w:rPr>
                <w:rFonts w:eastAsia="MS Mincho" w:cs="Times New Roman"/>
                <w:noProof/>
                <w:szCs w:val="32"/>
              </w:rPr>
              <w:t>Outside of Euroclear’s module, instructions are input in</w:t>
            </w:r>
            <w:r w:rsidR="003422E2">
              <w:rPr>
                <w:rFonts w:eastAsia="MS Mincho" w:cs="Times New Roman"/>
                <w:noProof/>
                <w:szCs w:val="32"/>
              </w:rPr>
              <w:t xml:space="preserve"> Buy/Sell mode or ‘cash trades’,</w:t>
            </w:r>
            <w:r w:rsidRPr="004543FE">
              <w:rPr>
                <w:rFonts w:eastAsia="MS Mincho" w:cs="Times New Roman"/>
                <w:noProof/>
                <w:szCs w:val="32"/>
              </w:rPr>
              <w:t xml:space="preserve"> and detection of market </w:t>
            </w:r>
            <w:r w:rsidR="003422E2">
              <w:rPr>
                <w:rFonts w:eastAsia="MS Mincho" w:cs="Times New Roman"/>
                <w:noProof/>
                <w:szCs w:val="32"/>
              </w:rPr>
              <w:t xml:space="preserve">claims on these instructions are </w:t>
            </w:r>
            <w:r w:rsidRPr="004543FE">
              <w:rPr>
                <w:rFonts w:eastAsia="MS Mincho" w:cs="Times New Roman"/>
                <w:noProof/>
                <w:szCs w:val="32"/>
              </w:rPr>
              <w:t xml:space="preserve">that of the module ‘SLAB’ of Euroclear for OTC </w:t>
            </w:r>
            <w:r>
              <w:rPr>
                <w:rFonts w:eastAsia="MS Mincho" w:cs="Times New Roman"/>
                <w:noProof/>
                <w:szCs w:val="32"/>
              </w:rPr>
              <w:t>transactions, with rules depending on the type of securities traded</w:t>
            </w:r>
            <w:r w:rsidRPr="004543FE">
              <w:rPr>
                <w:rFonts w:eastAsia="MS Mincho" w:cs="Times New Roman"/>
                <w:noProof/>
                <w:szCs w:val="32"/>
              </w:rPr>
              <w:t xml:space="preserve">. </w:t>
            </w:r>
          </w:p>
          <w:p w:rsidR="004543FE" w:rsidRPr="004543FE" w:rsidRDefault="004543FE" w:rsidP="0011664E">
            <w:pPr>
              <w:spacing w:before="120"/>
              <w:jc w:val="both"/>
              <w:rPr>
                <w:rFonts w:eastAsia="MS Mincho" w:cs="Times New Roman"/>
                <w:noProof/>
                <w:szCs w:val="32"/>
              </w:rPr>
            </w:pPr>
            <w:r w:rsidRPr="004543FE">
              <w:rPr>
                <w:rFonts w:eastAsia="MS Mincho" w:cs="Times New Roman"/>
                <w:noProof/>
                <w:szCs w:val="32"/>
              </w:rPr>
              <w:t>To be noted that on securities lending and borrowing, most of the volume</w:t>
            </w:r>
            <w:r w:rsidR="003422E2">
              <w:rPr>
                <w:rFonts w:eastAsia="MS Mincho" w:cs="Times New Roman"/>
                <w:noProof/>
                <w:szCs w:val="32"/>
              </w:rPr>
              <w:t>s</w:t>
            </w:r>
            <w:r w:rsidRPr="004543FE">
              <w:rPr>
                <w:rFonts w:eastAsia="MS Mincho" w:cs="Times New Roman"/>
                <w:noProof/>
                <w:szCs w:val="32"/>
              </w:rPr>
              <w:t xml:space="preserve"> on the market is already in a buy/sell mode and is handled outside of Euroclear’s module. </w:t>
            </w:r>
            <w:r>
              <w:rPr>
                <w:rFonts w:eastAsia="MS Mincho" w:cs="Times New Roman"/>
                <w:noProof/>
                <w:szCs w:val="32"/>
              </w:rPr>
              <w:t>Nonetheless, the question remains of the transition to T2S for residual volumes handled</w:t>
            </w:r>
            <w:r w:rsidR="003422E2">
              <w:rPr>
                <w:rFonts w:eastAsia="MS Mincho" w:cs="Times New Roman"/>
                <w:noProof/>
                <w:szCs w:val="32"/>
              </w:rPr>
              <w:t xml:space="preserve"> throu</w:t>
            </w:r>
            <w:r>
              <w:rPr>
                <w:rFonts w:eastAsia="MS Mincho" w:cs="Times New Roman"/>
                <w:noProof/>
                <w:szCs w:val="32"/>
              </w:rPr>
              <w:t>gh this module.</w:t>
            </w:r>
          </w:p>
        </w:tc>
      </w:tr>
      <w:tr w:rsidR="007B216A" w:rsidRPr="004543FE" w:rsidTr="0091257E">
        <w:tc>
          <w:tcPr>
            <w:tcW w:w="2093" w:type="dxa"/>
            <w:tcBorders>
              <w:left w:val="nil"/>
              <w:right w:val="nil"/>
            </w:tcBorders>
          </w:tcPr>
          <w:p w:rsidR="007B216A" w:rsidRPr="004543FE" w:rsidRDefault="007B216A" w:rsidP="00F02B56">
            <w:pPr>
              <w:rPr>
                <w:rFonts w:eastAsia="MS Mincho" w:cs="Times New Roman"/>
                <w:b/>
                <w:noProof/>
                <w:szCs w:val="32"/>
              </w:rPr>
            </w:pPr>
          </w:p>
        </w:tc>
        <w:tc>
          <w:tcPr>
            <w:tcW w:w="7513" w:type="dxa"/>
            <w:tcBorders>
              <w:left w:val="nil"/>
              <w:right w:val="nil"/>
            </w:tcBorders>
          </w:tcPr>
          <w:p w:rsidR="007B216A" w:rsidRPr="004543FE" w:rsidRDefault="007B216A" w:rsidP="00B26098">
            <w:pPr>
              <w:rPr>
                <w:rFonts w:eastAsia="MS Mincho" w:cs="Times New Roman"/>
                <w:noProof/>
                <w:szCs w:val="32"/>
              </w:rPr>
            </w:pPr>
          </w:p>
        </w:tc>
      </w:tr>
      <w:tr w:rsidR="007B216A" w:rsidRPr="007D71BE" w:rsidTr="0081511D">
        <w:tc>
          <w:tcPr>
            <w:tcW w:w="2093" w:type="dxa"/>
            <w:tcBorders>
              <w:bottom w:val="single" w:sz="4" w:space="0" w:color="auto"/>
            </w:tcBorders>
            <w:shd w:val="clear" w:color="auto" w:fill="BFBFBF" w:themeFill="background1" w:themeFillShade="BF"/>
          </w:tcPr>
          <w:p w:rsidR="007B216A" w:rsidRPr="007B216A" w:rsidRDefault="007B216A" w:rsidP="00F02B56">
            <w:pPr>
              <w:rPr>
                <w:rFonts w:eastAsia="MS Mincho" w:cs="Times New Roman"/>
                <w:b/>
                <w:noProof/>
                <w:szCs w:val="32"/>
              </w:rPr>
            </w:pPr>
            <w:r w:rsidRPr="007B216A">
              <w:rPr>
                <w:rFonts w:eastAsia="MS Mincho" w:cs="Times New Roman"/>
                <w:b/>
                <w:noProof/>
                <w:szCs w:val="32"/>
              </w:rPr>
              <w:t>Description of the T2S impact</w:t>
            </w:r>
          </w:p>
        </w:tc>
        <w:tc>
          <w:tcPr>
            <w:tcW w:w="7513" w:type="dxa"/>
            <w:tcBorders>
              <w:bottom w:val="single" w:sz="4" w:space="0" w:color="auto"/>
            </w:tcBorders>
          </w:tcPr>
          <w:p w:rsidR="007B216A" w:rsidRPr="004543FE" w:rsidRDefault="004543FE" w:rsidP="00C06869">
            <w:pPr>
              <w:spacing w:before="120"/>
              <w:jc w:val="both"/>
              <w:rPr>
                <w:rFonts w:eastAsia="MS Mincho" w:cs="Times New Roman"/>
                <w:noProof/>
                <w:szCs w:val="32"/>
                <w:lang w:val="fr-FR"/>
              </w:rPr>
            </w:pPr>
            <w:r w:rsidRPr="004543FE">
              <w:rPr>
                <w:rFonts w:eastAsia="MS Mincho" w:cs="Times New Roman"/>
                <w:noProof/>
                <w:szCs w:val="32"/>
                <w:lang w:val="fr-FR"/>
              </w:rPr>
              <w:t>Impact of T2S:</w:t>
            </w:r>
          </w:p>
          <w:p w:rsidR="004543FE" w:rsidRPr="004543FE" w:rsidRDefault="004543FE" w:rsidP="004543FE">
            <w:pPr>
              <w:pStyle w:val="ListParagraph"/>
              <w:numPr>
                <w:ilvl w:val="0"/>
                <w:numId w:val="12"/>
              </w:numPr>
              <w:spacing w:before="120"/>
              <w:jc w:val="both"/>
              <w:rPr>
                <w:rFonts w:eastAsia="MS Mincho" w:cs="Times New Roman"/>
                <w:noProof/>
                <w:szCs w:val="32"/>
              </w:rPr>
            </w:pPr>
            <w:r w:rsidRPr="004543FE">
              <w:rPr>
                <w:rFonts w:eastAsia="MS Mincho" w:cs="Times New Roman"/>
                <w:noProof/>
                <w:szCs w:val="32"/>
              </w:rPr>
              <w:lastRenderedPageBreak/>
              <w:t xml:space="preserve">Euroclear’s module will be decommissionned, with a target instruction mode in Buy/Sell or </w:t>
            </w:r>
            <w:r w:rsidR="003422E2">
              <w:rPr>
                <w:rFonts w:eastAsia="MS Mincho" w:cs="Times New Roman"/>
                <w:noProof/>
                <w:szCs w:val="32"/>
              </w:rPr>
              <w:t>‘cash trade’ that will take pla</w:t>
            </w:r>
            <w:r w:rsidRPr="004543FE">
              <w:rPr>
                <w:rFonts w:eastAsia="MS Mincho" w:cs="Times New Roman"/>
                <w:noProof/>
                <w:szCs w:val="32"/>
              </w:rPr>
              <w:t>ce in T2S.</w:t>
            </w:r>
          </w:p>
          <w:p w:rsidR="004543FE" w:rsidRPr="004543FE" w:rsidRDefault="003422E2" w:rsidP="004543FE">
            <w:pPr>
              <w:pStyle w:val="ListParagraph"/>
              <w:numPr>
                <w:ilvl w:val="0"/>
                <w:numId w:val="12"/>
              </w:numPr>
              <w:spacing w:before="120"/>
              <w:jc w:val="both"/>
              <w:rPr>
                <w:rFonts w:eastAsia="MS Mincho" w:cs="Times New Roman"/>
                <w:noProof/>
                <w:szCs w:val="32"/>
              </w:rPr>
            </w:pPr>
            <w:r>
              <w:rPr>
                <w:rFonts w:eastAsia="MS Mincho" w:cs="Times New Roman"/>
                <w:noProof/>
                <w:szCs w:val="32"/>
              </w:rPr>
              <w:t>T2S has no</w:t>
            </w:r>
            <w:r w:rsidR="004543FE" w:rsidRPr="004543FE">
              <w:rPr>
                <w:rFonts w:eastAsia="MS Mincho" w:cs="Times New Roman"/>
                <w:noProof/>
                <w:szCs w:val="32"/>
              </w:rPr>
              <w:t xml:space="preserve"> limitation on the ant</w:t>
            </w:r>
            <w:r>
              <w:rPr>
                <w:rFonts w:eastAsia="MS Mincho" w:cs="Times New Roman"/>
                <w:noProof/>
                <w:szCs w:val="32"/>
              </w:rPr>
              <w:t>eriority of the (TD), as i</w:t>
            </w:r>
            <w:r w:rsidR="004543FE" w:rsidRPr="004543FE">
              <w:rPr>
                <w:rFonts w:eastAsia="MS Mincho" w:cs="Times New Roman"/>
                <w:noProof/>
                <w:szCs w:val="32"/>
              </w:rPr>
              <w:t xml:space="preserve">n Euroclear (35 days ahead of the </w:t>
            </w:r>
            <w:r>
              <w:rPr>
                <w:rFonts w:eastAsia="MS Mincho" w:cs="Times New Roman"/>
                <w:noProof/>
                <w:szCs w:val="32"/>
              </w:rPr>
              <w:t>intended</w:t>
            </w:r>
            <w:r w:rsidR="004543FE">
              <w:rPr>
                <w:rFonts w:eastAsia="MS Mincho" w:cs="Times New Roman"/>
                <w:noProof/>
                <w:szCs w:val="32"/>
              </w:rPr>
              <w:t xml:space="preserve"> settlement date)</w:t>
            </w:r>
            <w:r w:rsidR="004543FE" w:rsidRPr="004543FE">
              <w:rPr>
                <w:rFonts w:eastAsia="MS Mincho" w:cs="Times New Roman"/>
                <w:noProof/>
                <w:szCs w:val="32"/>
              </w:rPr>
              <w:t>.</w:t>
            </w:r>
          </w:p>
          <w:p w:rsidR="004543FE" w:rsidRPr="007D71BE" w:rsidRDefault="004543FE" w:rsidP="004543FE">
            <w:pPr>
              <w:pStyle w:val="ListParagraph"/>
              <w:numPr>
                <w:ilvl w:val="0"/>
                <w:numId w:val="12"/>
              </w:numPr>
              <w:spacing w:before="120"/>
              <w:jc w:val="both"/>
              <w:rPr>
                <w:rFonts w:eastAsia="MS Mincho" w:cs="Times New Roman"/>
                <w:noProof/>
                <w:szCs w:val="32"/>
              </w:rPr>
            </w:pPr>
            <w:r w:rsidRPr="007D71BE">
              <w:rPr>
                <w:rFonts w:eastAsia="MS Mincho" w:cs="Times New Roman"/>
                <w:noProof/>
                <w:szCs w:val="32"/>
              </w:rPr>
              <w:t xml:space="preserve">After the Record Date (RD), </w:t>
            </w:r>
            <w:r w:rsidR="007D71BE" w:rsidRPr="007D71BE">
              <w:rPr>
                <w:rFonts w:eastAsia="MS Mincho" w:cs="Times New Roman"/>
                <w:noProof/>
                <w:szCs w:val="32"/>
              </w:rPr>
              <w:t xml:space="preserve">detection rules in T2S will only </w:t>
            </w:r>
            <w:r w:rsidR="003422E2">
              <w:rPr>
                <w:rFonts w:eastAsia="MS Mincho" w:cs="Times New Roman"/>
                <w:noProof/>
                <w:szCs w:val="32"/>
              </w:rPr>
              <w:t xml:space="preserve">last </w:t>
            </w:r>
            <w:r w:rsidR="007D71BE" w:rsidRPr="007D71BE">
              <w:rPr>
                <w:rFonts w:eastAsia="MS Mincho" w:cs="Times New Roman"/>
                <w:noProof/>
                <w:szCs w:val="32"/>
              </w:rPr>
              <w:t xml:space="preserve">for </w:t>
            </w:r>
            <w:r w:rsidRPr="007D71BE">
              <w:rPr>
                <w:rFonts w:eastAsia="MS Mincho" w:cs="Times New Roman"/>
                <w:noProof/>
                <w:szCs w:val="32"/>
              </w:rPr>
              <w:t xml:space="preserve">20 </w:t>
            </w:r>
            <w:r w:rsidR="007D71BE" w:rsidRPr="007D71BE">
              <w:rPr>
                <w:rFonts w:eastAsia="MS Mincho" w:cs="Times New Roman"/>
                <w:noProof/>
                <w:szCs w:val="32"/>
              </w:rPr>
              <w:t xml:space="preserve">days instead of </w:t>
            </w:r>
            <w:r w:rsidRPr="007D71BE">
              <w:rPr>
                <w:rFonts w:eastAsia="MS Mincho" w:cs="Times New Roman"/>
                <w:noProof/>
                <w:szCs w:val="32"/>
              </w:rPr>
              <w:t xml:space="preserve">45 jours </w:t>
            </w:r>
            <w:r w:rsidR="007D71BE">
              <w:rPr>
                <w:rFonts w:eastAsia="MS Mincho" w:cs="Times New Roman"/>
                <w:noProof/>
                <w:szCs w:val="32"/>
              </w:rPr>
              <w:t xml:space="preserve">in </w:t>
            </w:r>
            <w:r w:rsidRPr="007D71BE">
              <w:rPr>
                <w:rFonts w:eastAsia="MS Mincho" w:cs="Times New Roman"/>
                <w:noProof/>
                <w:szCs w:val="32"/>
              </w:rPr>
              <w:t xml:space="preserve">ESES. </w:t>
            </w:r>
          </w:p>
          <w:p w:rsidR="004543FE" w:rsidRPr="003422E2" w:rsidRDefault="007D71BE" w:rsidP="004543FE">
            <w:pPr>
              <w:pStyle w:val="ListParagraph"/>
              <w:numPr>
                <w:ilvl w:val="0"/>
                <w:numId w:val="12"/>
              </w:numPr>
              <w:spacing w:before="120"/>
              <w:jc w:val="both"/>
              <w:rPr>
                <w:rFonts w:eastAsia="MS Mincho" w:cs="Times New Roman"/>
                <w:noProof/>
                <w:szCs w:val="32"/>
              </w:rPr>
            </w:pPr>
            <w:r w:rsidRPr="003422E2">
              <w:rPr>
                <w:rFonts w:eastAsia="MS Mincho" w:cs="Times New Roman"/>
                <w:noProof/>
                <w:szCs w:val="32"/>
              </w:rPr>
              <w:t>Detection rules for market claims are different and must be considered in the case of operations initiated before the migration to T2S and ending after.</w:t>
            </w:r>
          </w:p>
          <w:p w:rsidR="004543FE" w:rsidRPr="007D71BE" w:rsidRDefault="007D71BE" w:rsidP="007D71BE">
            <w:pPr>
              <w:spacing w:before="120"/>
              <w:jc w:val="both"/>
              <w:rPr>
                <w:rFonts w:eastAsia="MS Mincho" w:cs="Times New Roman"/>
                <w:noProof/>
                <w:szCs w:val="32"/>
              </w:rPr>
            </w:pPr>
            <w:r w:rsidRPr="007D71BE">
              <w:rPr>
                <w:rFonts w:eastAsia="MS Mincho" w:cs="Times New Roman"/>
                <w:noProof/>
                <w:szCs w:val="32"/>
              </w:rPr>
              <w:t>The management of securities financing transaction</w:t>
            </w:r>
            <w:r w:rsidR="003422E2">
              <w:rPr>
                <w:rFonts w:eastAsia="MS Mincho" w:cs="Times New Roman"/>
                <w:noProof/>
                <w:szCs w:val="32"/>
              </w:rPr>
              <w:t>s</w:t>
            </w:r>
            <w:r w:rsidRPr="007D71BE">
              <w:rPr>
                <w:rFonts w:eastAsia="MS Mincho" w:cs="Times New Roman"/>
                <w:noProof/>
                <w:szCs w:val="32"/>
              </w:rPr>
              <w:t xml:space="preserve"> </w:t>
            </w:r>
            <w:r>
              <w:rPr>
                <w:rFonts w:eastAsia="MS Mincho" w:cs="Times New Roman"/>
                <w:noProof/>
                <w:szCs w:val="32"/>
              </w:rPr>
              <w:t>spanning over the migration will be particularly sensible.</w:t>
            </w:r>
          </w:p>
        </w:tc>
      </w:tr>
      <w:tr w:rsidR="007B216A" w:rsidRPr="007D71BE" w:rsidTr="0081511D">
        <w:tc>
          <w:tcPr>
            <w:tcW w:w="2093" w:type="dxa"/>
            <w:tcBorders>
              <w:left w:val="nil"/>
              <w:right w:val="nil"/>
            </w:tcBorders>
            <w:shd w:val="clear" w:color="auto" w:fill="auto"/>
          </w:tcPr>
          <w:p w:rsidR="007B216A" w:rsidRPr="007D71BE" w:rsidRDefault="007B216A" w:rsidP="00F02B56">
            <w:pPr>
              <w:rPr>
                <w:rFonts w:eastAsia="MS Mincho" w:cs="Times New Roman"/>
                <w:b/>
                <w:noProof/>
                <w:szCs w:val="32"/>
              </w:rPr>
            </w:pPr>
          </w:p>
        </w:tc>
        <w:tc>
          <w:tcPr>
            <w:tcW w:w="7513" w:type="dxa"/>
            <w:tcBorders>
              <w:left w:val="nil"/>
              <w:right w:val="nil"/>
            </w:tcBorders>
            <w:shd w:val="clear" w:color="auto" w:fill="auto"/>
          </w:tcPr>
          <w:p w:rsidR="007B216A" w:rsidRPr="007D71BE" w:rsidRDefault="007B216A" w:rsidP="0081511D">
            <w:pPr>
              <w:rPr>
                <w:rFonts w:eastAsia="MS Mincho" w:cs="Times New Roman"/>
                <w:b/>
                <w:noProof/>
                <w:szCs w:val="32"/>
              </w:rPr>
            </w:pPr>
          </w:p>
        </w:tc>
      </w:tr>
      <w:tr w:rsidR="007B216A" w:rsidRPr="004113EB" w:rsidTr="0081511D">
        <w:tc>
          <w:tcPr>
            <w:tcW w:w="2093" w:type="dxa"/>
            <w:shd w:val="clear" w:color="auto" w:fill="BFBFBF" w:themeFill="background1" w:themeFillShade="BF"/>
          </w:tcPr>
          <w:p w:rsidR="007B216A" w:rsidRPr="000C4CA6" w:rsidRDefault="007B216A" w:rsidP="00F02B56">
            <w:pPr>
              <w:rPr>
                <w:rFonts w:eastAsia="MS Mincho" w:cs="Times New Roman"/>
                <w:b/>
                <w:noProof/>
                <w:szCs w:val="32"/>
              </w:rPr>
            </w:pPr>
            <w:r w:rsidRPr="003348A6">
              <w:rPr>
                <w:rFonts w:eastAsia="MS Mincho" w:cs="Times New Roman"/>
                <w:b/>
                <w:noProof/>
                <w:szCs w:val="32"/>
              </w:rPr>
              <w:t>Description of the major issue</w:t>
            </w:r>
          </w:p>
        </w:tc>
        <w:tc>
          <w:tcPr>
            <w:tcW w:w="7513" w:type="dxa"/>
          </w:tcPr>
          <w:p w:rsidR="007B216A" w:rsidRDefault="007D71BE" w:rsidP="007D71BE">
            <w:pPr>
              <w:spacing w:before="120"/>
              <w:jc w:val="both"/>
              <w:rPr>
                <w:rFonts w:eastAsia="MS Mincho" w:cs="Times New Roman"/>
                <w:noProof/>
                <w:szCs w:val="32"/>
              </w:rPr>
            </w:pPr>
            <w:r>
              <w:rPr>
                <w:rFonts w:eastAsia="MS Mincho" w:cs="Times New Roman"/>
                <w:noProof/>
                <w:szCs w:val="32"/>
              </w:rPr>
              <w:t xml:space="preserve">Institutions </w:t>
            </w:r>
            <w:r w:rsidR="003422E2">
              <w:rPr>
                <w:rFonts w:eastAsia="MS Mincho" w:cs="Times New Roman"/>
                <w:noProof/>
                <w:szCs w:val="32"/>
              </w:rPr>
              <w:t>present on the French market ha</w:t>
            </w:r>
            <w:r>
              <w:rPr>
                <w:rFonts w:eastAsia="MS Mincho" w:cs="Times New Roman"/>
                <w:noProof/>
                <w:szCs w:val="32"/>
              </w:rPr>
              <w:t>ve recommended that securities financing transactions are instructed, from May 9</w:t>
            </w:r>
            <w:r w:rsidRPr="007D71BE">
              <w:rPr>
                <w:rFonts w:eastAsia="MS Mincho" w:cs="Times New Roman"/>
                <w:noProof/>
                <w:szCs w:val="32"/>
                <w:vertAlign w:val="superscript"/>
              </w:rPr>
              <w:t>th</w:t>
            </w:r>
            <w:r>
              <w:rPr>
                <w:rFonts w:eastAsia="MS Mincho" w:cs="Times New Roman"/>
                <w:noProof/>
                <w:szCs w:val="32"/>
              </w:rPr>
              <w:t>, 2016 onwards, that is ahead of the migration to T2S, in a Buy/Sell mode through 2 instructions, in order to reduce the number of contracts outstanding at the time of the migration to T2S on September 12</w:t>
            </w:r>
            <w:r w:rsidRPr="007D71BE">
              <w:rPr>
                <w:rFonts w:eastAsia="MS Mincho" w:cs="Times New Roman"/>
                <w:noProof/>
                <w:szCs w:val="32"/>
                <w:vertAlign w:val="superscript"/>
              </w:rPr>
              <w:t>th</w:t>
            </w:r>
            <w:r>
              <w:rPr>
                <w:rFonts w:eastAsia="MS Mincho" w:cs="Times New Roman"/>
                <w:noProof/>
                <w:szCs w:val="32"/>
              </w:rPr>
              <w:t xml:space="preserve">, 2016 </w:t>
            </w:r>
            <w:r w:rsidRPr="007D71BE">
              <w:rPr>
                <w:rFonts w:eastAsia="MS Mincho" w:cs="Times New Roman"/>
                <w:i/>
                <w:noProof/>
                <w:szCs w:val="32"/>
              </w:rPr>
              <w:t>(see MS-SETTL-CESSIONSTEMP-01 -</w:t>
            </w:r>
            <w:r w:rsidRPr="007D71BE">
              <w:rPr>
                <w:rFonts w:eastAsia="MS Mincho" w:cs="Times New Roman"/>
                <w:i/>
                <w:noProof/>
                <w:szCs w:val="32"/>
              </w:rPr>
              <w:tab/>
              <w:t>Switch of the instruction mode of securities financing transactions into a Buy/Sell mode and management of the transition to T2S)</w:t>
            </w:r>
            <w:r>
              <w:rPr>
                <w:rFonts w:eastAsia="MS Mincho" w:cs="Times New Roman"/>
                <w:noProof/>
                <w:szCs w:val="32"/>
              </w:rPr>
              <w:t>.</w:t>
            </w:r>
          </w:p>
          <w:p w:rsidR="007D71BE" w:rsidRDefault="007D71BE" w:rsidP="007D71BE">
            <w:pPr>
              <w:spacing w:before="120"/>
              <w:jc w:val="both"/>
              <w:rPr>
                <w:rFonts w:eastAsia="MS Mincho" w:cs="Times New Roman"/>
                <w:noProof/>
                <w:szCs w:val="32"/>
              </w:rPr>
            </w:pPr>
            <w:r>
              <w:rPr>
                <w:rFonts w:eastAsia="MS Mincho" w:cs="Times New Roman"/>
                <w:noProof/>
                <w:szCs w:val="32"/>
              </w:rPr>
              <w:t>The present market</w:t>
            </w:r>
            <w:r w:rsidR="003422E2">
              <w:rPr>
                <w:rFonts w:eastAsia="MS Mincho" w:cs="Times New Roman"/>
                <w:noProof/>
                <w:szCs w:val="32"/>
              </w:rPr>
              <w:t xml:space="preserve"> practice analyses the impact os</w:t>
            </w:r>
            <w:r>
              <w:rPr>
                <w:rFonts w:eastAsia="MS Mincho" w:cs="Times New Roman"/>
                <w:noProof/>
                <w:szCs w:val="32"/>
              </w:rPr>
              <w:t xml:space="preserve"> this recommendation on the management of market claims.</w:t>
            </w:r>
          </w:p>
          <w:p w:rsidR="007D71BE" w:rsidRDefault="007D71BE" w:rsidP="007D71BE">
            <w:pPr>
              <w:spacing w:before="120"/>
              <w:jc w:val="both"/>
              <w:rPr>
                <w:rFonts w:eastAsia="MS Mincho" w:cs="Times New Roman"/>
                <w:noProof/>
                <w:szCs w:val="32"/>
              </w:rPr>
            </w:pPr>
            <w:r>
              <w:rPr>
                <w:rFonts w:eastAsia="MS Mincho" w:cs="Times New Roman"/>
                <w:noProof/>
                <w:szCs w:val="32"/>
              </w:rPr>
              <w:t>It must be noted that some institutions hav</w:t>
            </w:r>
            <w:r w:rsidR="003422E2">
              <w:rPr>
                <w:rFonts w:eastAsia="MS Mincho" w:cs="Times New Roman"/>
                <w:noProof/>
                <w:szCs w:val="32"/>
              </w:rPr>
              <w:t>e chosen to continue instructing</w:t>
            </w:r>
            <w:r>
              <w:rPr>
                <w:rFonts w:eastAsia="MS Mincho" w:cs="Times New Roman"/>
                <w:noProof/>
                <w:szCs w:val="32"/>
              </w:rPr>
              <w:t xml:space="preserve"> in Euroclear’s module until the migration to T2S.</w:t>
            </w:r>
          </w:p>
          <w:p w:rsidR="007D71BE" w:rsidRDefault="007D71BE" w:rsidP="007D71BE">
            <w:pPr>
              <w:spacing w:before="120"/>
              <w:jc w:val="both"/>
              <w:rPr>
                <w:rFonts w:eastAsia="MS Mincho" w:cs="Times New Roman"/>
                <w:noProof/>
                <w:szCs w:val="32"/>
              </w:rPr>
            </w:pPr>
            <w:r>
              <w:rPr>
                <w:rFonts w:eastAsia="MS Mincho" w:cs="Times New Roman"/>
                <w:noProof/>
                <w:szCs w:val="32"/>
              </w:rPr>
              <w:t>During the period from May 9</w:t>
            </w:r>
            <w:r w:rsidRPr="007D71BE">
              <w:rPr>
                <w:rFonts w:eastAsia="MS Mincho" w:cs="Times New Roman"/>
                <w:noProof/>
                <w:szCs w:val="32"/>
                <w:vertAlign w:val="superscript"/>
              </w:rPr>
              <w:t>th</w:t>
            </w:r>
            <w:r>
              <w:rPr>
                <w:rFonts w:eastAsia="MS Mincho" w:cs="Times New Roman"/>
                <w:noProof/>
                <w:szCs w:val="32"/>
              </w:rPr>
              <w:t xml:space="preserve"> to September 12</w:t>
            </w:r>
            <w:r w:rsidRPr="007D71BE">
              <w:rPr>
                <w:rFonts w:eastAsia="MS Mincho" w:cs="Times New Roman"/>
                <w:noProof/>
                <w:szCs w:val="32"/>
                <w:vertAlign w:val="superscript"/>
              </w:rPr>
              <w:t>th</w:t>
            </w:r>
            <w:r>
              <w:rPr>
                <w:rFonts w:eastAsia="MS Mincho" w:cs="Times New Roman"/>
                <w:noProof/>
                <w:szCs w:val="32"/>
              </w:rPr>
              <w:t>, 2016, two situations can occur:</w:t>
            </w:r>
          </w:p>
          <w:p w:rsidR="007D71BE" w:rsidRDefault="007D71BE" w:rsidP="007D71BE">
            <w:pPr>
              <w:pStyle w:val="ListParagraph"/>
              <w:numPr>
                <w:ilvl w:val="0"/>
                <w:numId w:val="13"/>
              </w:numPr>
              <w:spacing w:before="120"/>
              <w:jc w:val="both"/>
              <w:rPr>
                <w:rFonts w:eastAsia="MS Mincho" w:cs="Times New Roman"/>
                <w:noProof/>
                <w:szCs w:val="32"/>
              </w:rPr>
            </w:pPr>
            <w:r>
              <w:rPr>
                <w:rFonts w:eastAsia="MS Mincho" w:cs="Times New Roman"/>
                <w:noProof/>
                <w:szCs w:val="32"/>
              </w:rPr>
              <w:t>Transactions input outside of Euroclear’s module, in</w:t>
            </w:r>
            <w:r w:rsidR="003422E2">
              <w:rPr>
                <w:rFonts w:eastAsia="MS Mincho" w:cs="Times New Roman"/>
                <w:noProof/>
                <w:szCs w:val="32"/>
              </w:rPr>
              <w:t xml:space="preserve"> </w:t>
            </w:r>
            <w:r>
              <w:rPr>
                <w:rFonts w:eastAsia="MS Mincho" w:cs="Times New Roman"/>
                <w:noProof/>
                <w:szCs w:val="32"/>
              </w:rPr>
              <w:t>a Buy/Sell mode according to the new procedure, the maturity of which being anterior or posterior to the migration to T2S;</w:t>
            </w:r>
          </w:p>
          <w:p w:rsidR="007D71BE" w:rsidRPr="007D71BE" w:rsidRDefault="007D71BE" w:rsidP="007D71BE">
            <w:pPr>
              <w:pStyle w:val="ListParagraph"/>
              <w:numPr>
                <w:ilvl w:val="0"/>
                <w:numId w:val="13"/>
              </w:numPr>
              <w:spacing w:before="120"/>
              <w:jc w:val="both"/>
              <w:rPr>
                <w:rFonts w:eastAsia="MS Mincho" w:cs="Times New Roman"/>
                <w:noProof/>
                <w:szCs w:val="32"/>
              </w:rPr>
            </w:pPr>
            <w:r>
              <w:rPr>
                <w:rFonts w:eastAsia="MS Mincho" w:cs="Times New Roman"/>
                <w:noProof/>
                <w:szCs w:val="32"/>
              </w:rPr>
              <w:t>Transactions initiated with the module for which, if the maturity expires after the launch of T2S, instructions will have to be re-issued in a buy/sell mode.</w:t>
            </w:r>
          </w:p>
          <w:p w:rsidR="007D71BE" w:rsidRDefault="00540A70" w:rsidP="007D71BE">
            <w:pPr>
              <w:spacing w:before="120"/>
              <w:jc w:val="both"/>
              <w:rPr>
                <w:rFonts w:eastAsia="MS Mincho" w:cs="Times New Roman"/>
                <w:noProof/>
                <w:szCs w:val="32"/>
              </w:rPr>
            </w:pPr>
            <w:r>
              <w:rPr>
                <w:rFonts w:eastAsia="MS Mincho" w:cs="Times New Roman"/>
                <w:noProof/>
                <w:szCs w:val="32"/>
              </w:rPr>
              <w:t>The applicable rules for market claims on securities financing transactions will differ according to the way the instruction was input and the type of security, but also the IT environment (ESES or T2S).</w:t>
            </w:r>
          </w:p>
          <w:p w:rsidR="00540A70" w:rsidRDefault="00540A70" w:rsidP="007D71BE">
            <w:pPr>
              <w:spacing w:before="120"/>
              <w:jc w:val="both"/>
              <w:rPr>
                <w:rFonts w:eastAsia="MS Mincho" w:cs="Times New Roman"/>
                <w:noProof/>
                <w:szCs w:val="32"/>
              </w:rPr>
            </w:pPr>
            <w:r>
              <w:rPr>
                <w:rFonts w:eastAsia="MS Mincho" w:cs="Times New Roman"/>
                <w:noProof/>
                <w:szCs w:val="32"/>
              </w:rPr>
              <w:t>Rules corresponding to the period until September 12</w:t>
            </w:r>
            <w:r w:rsidRPr="00540A70">
              <w:rPr>
                <w:rFonts w:eastAsia="MS Mincho" w:cs="Times New Roman"/>
                <w:noProof/>
                <w:szCs w:val="32"/>
                <w:vertAlign w:val="superscript"/>
              </w:rPr>
              <w:t>th</w:t>
            </w:r>
            <w:r>
              <w:rPr>
                <w:rFonts w:eastAsia="MS Mincho" w:cs="Times New Roman"/>
                <w:noProof/>
                <w:szCs w:val="32"/>
              </w:rPr>
              <w:t>, 2016 are presented</w:t>
            </w:r>
            <w:r w:rsidR="005F65C3">
              <w:rPr>
                <w:rFonts w:eastAsia="MS Mincho" w:cs="Times New Roman"/>
                <w:noProof/>
                <w:szCs w:val="32"/>
              </w:rPr>
              <w:t xml:space="preserve"> </w:t>
            </w:r>
            <w:r>
              <w:rPr>
                <w:rFonts w:eastAsia="MS Mincho" w:cs="Times New Roman"/>
                <w:noProof/>
                <w:szCs w:val="32"/>
              </w:rPr>
              <w:t xml:space="preserve">in appendix of the present market practice, as well in the market practice </w:t>
            </w:r>
            <w:r w:rsidRPr="00540A70">
              <w:rPr>
                <w:rFonts w:eastAsia="MS Mincho" w:cs="Times New Roman"/>
                <w:noProof/>
                <w:szCs w:val="32"/>
              </w:rPr>
              <w:t>OF-FLUX-CESSIONSTEMPORAIRES-02</w:t>
            </w:r>
            <w:r>
              <w:rPr>
                <w:rFonts w:eastAsia="MS Mincho" w:cs="Times New Roman"/>
                <w:noProof/>
                <w:szCs w:val="32"/>
              </w:rPr>
              <w:t xml:space="preserve"> for the period after the migration to T2S.</w:t>
            </w:r>
          </w:p>
          <w:p w:rsidR="00540A70" w:rsidRDefault="00540A70" w:rsidP="007D71BE">
            <w:pPr>
              <w:spacing w:before="120"/>
              <w:jc w:val="both"/>
              <w:rPr>
                <w:rFonts w:eastAsia="MS Mincho" w:cs="Times New Roman"/>
                <w:noProof/>
                <w:szCs w:val="32"/>
              </w:rPr>
            </w:pPr>
            <w:r>
              <w:rPr>
                <w:rFonts w:eastAsia="MS Mincho" w:cs="Times New Roman"/>
                <w:noProof/>
                <w:szCs w:val="32"/>
              </w:rPr>
              <w:t xml:space="preserve">The analysis of the various cases arising from the application of the recommendation of </w:t>
            </w:r>
            <w:r w:rsidRPr="00540A70">
              <w:rPr>
                <w:rFonts w:eastAsia="MS Mincho" w:cs="Times New Roman"/>
                <w:noProof/>
                <w:szCs w:val="32"/>
              </w:rPr>
              <w:t>MS-SETTL-CESSIONTEMP</w:t>
            </w:r>
            <w:r>
              <w:rPr>
                <w:rFonts w:eastAsia="MS Mincho" w:cs="Times New Roman"/>
                <w:noProof/>
                <w:szCs w:val="32"/>
              </w:rPr>
              <w:t>-</w:t>
            </w:r>
            <w:r w:rsidRPr="00540A70">
              <w:rPr>
                <w:rFonts w:eastAsia="MS Mincho" w:cs="Times New Roman"/>
                <w:noProof/>
                <w:szCs w:val="32"/>
              </w:rPr>
              <w:t>01</w:t>
            </w:r>
            <w:r>
              <w:rPr>
                <w:rFonts w:eastAsia="MS Mincho" w:cs="Times New Roman"/>
                <w:noProof/>
                <w:szCs w:val="32"/>
              </w:rPr>
              <w:t xml:space="preserve"> shows that some market claims c</w:t>
            </w:r>
            <w:r w:rsidR="005F65C3">
              <w:rPr>
                <w:rFonts w:eastAsia="MS Mincho" w:cs="Times New Roman"/>
                <w:noProof/>
                <w:szCs w:val="32"/>
              </w:rPr>
              <w:t>o</w:t>
            </w:r>
            <w:r>
              <w:rPr>
                <w:rFonts w:eastAsia="MS Mincho" w:cs="Times New Roman"/>
                <w:noProof/>
                <w:szCs w:val="32"/>
              </w:rPr>
              <w:t xml:space="preserve">uld be generated depending on the filling of the field trade date, on the nature of the operation and the type of security (see appendix of the present market </w:t>
            </w:r>
            <w:r>
              <w:rPr>
                <w:rFonts w:eastAsia="MS Mincho" w:cs="Times New Roman"/>
                <w:noProof/>
                <w:szCs w:val="32"/>
              </w:rPr>
              <w:lastRenderedPageBreak/>
              <w:t>practice).</w:t>
            </w:r>
          </w:p>
          <w:p w:rsidR="00540A70" w:rsidRDefault="00540A70" w:rsidP="007D71BE">
            <w:pPr>
              <w:spacing w:before="120"/>
              <w:jc w:val="both"/>
              <w:rPr>
                <w:rFonts w:eastAsia="MS Mincho" w:cs="Times New Roman"/>
                <w:noProof/>
                <w:szCs w:val="32"/>
              </w:rPr>
            </w:pPr>
            <w:r>
              <w:rPr>
                <w:rFonts w:eastAsia="MS Mincho" w:cs="Times New Roman"/>
                <w:noProof/>
                <w:szCs w:val="32"/>
              </w:rPr>
              <w:t xml:space="preserve">It appeared necessary to implement a market practice allowing for the understanding of the eligibility </w:t>
            </w:r>
            <w:r w:rsidR="00124240">
              <w:rPr>
                <w:rFonts w:eastAsia="MS Mincho" w:cs="Times New Roman"/>
                <w:noProof/>
                <w:szCs w:val="32"/>
              </w:rPr>
              <w:t>to market claims depending on the way the trade date is filled.</w:t>
            </w:r>
          </w:p>
          <w:p w:rsidR="007D71BE" w:rsidRPr="004113EB" w:rsidRDefault="00124240" w:rsidP="007D71BE">
            <w:pPr>
              <w:spacing w:before="120"/>
              <w:jc w:val="both"/>
              <w:rPr>
                <w:rFonts w:eastAsia="MS Mincho" w:cs="Times New Roman"/>
                <w:noProof/>
                <w:szCs w:val="32"/>
              </w:rPr>
            </w:pPr>
            <w:r>
              <w:rPr>
                <w:rFonts w:eastAsia="MS Mincho" w:cs="Times New Roman"/>
                <w:noProof/>
                <w:szCs w:val="32"/>
              </w:rPr>
              <w:t>The regularization of market claims will be carried out in all cases by bilateral agreement between both parties, with a bilateral settlement.</w:t>
            </w:r>
          </w:p>
        </w:tc>
      </w:tr>
      <w:tr w:rsidR="0081511D" w:rsidRPr="004113EB" w:rsidTr="00F02B56">
        <w:tc>
          <w:tcPr>
            <w:tcW w:w="2093" w:type="dxa"/>
            <w:tcBorders>
              <w:left w:val="nil"/>
              <w:right w:val="nil"/>
            </w:tcBorders>
            <w:shd w:val="clear" w:color="auto" w:fill="auto"/>
          </w:tcPr>
          <w:p w:rsidR="0081511D" w:rsidRPr="004113EB" w:rsidRDefault="0081511D" w:rsidP="00F02B56">
            <w:pPr>
              <w:rPr>
                <w:rFonts w:eastAsia="MS Mincho" w:cs="Times New Roman"/>
                <w:b/>
                <w:noProof/>
                <w:szCs w:val="32"/>
              </w:rPr>
            </w:pPr>
          </w:p>
        </w:tc>
        <w:tc>
          <w:tcPr>
            <w:tcW w:w="7513" w:type="dxa"/>
            <w:tcBorders>
              <w:left w:val="nil"/>
              <w:right w:val="nil"/>
            </w:tcBorders>
            <w:shd w:val="clear" w:color="auto" w:fill="auto"/>
          </w:tcPr>
          <w:p w:rsidR="0081511D" w:rsidRPr="004113EB" w:rsidRDefault="0081511D" w:rsidP="00F02B56">
            <w:pPr>
              <w:rPr>
                <w:rFonts w:eastAsia="MS Mincho" w:cs="Times New Roman"/>
                <w:b/>
                <w:noProof/>
                <w:szCs w:val="32"/>
              </w:rPr>
            </w:pPr>
          </w:p>
        </w:tc>
      </w:tr>
      <w:tr w:rsidR="007B216A" w:rsidRPr="0081511D" w:rsidTr="0081511D">
        <w:tc>
          <w:tcPr>
            <w:tcW w:w="2093" w:type="dxa"/>
            <w:shd w:val="clear" w:color="auto" w:fill="BFBFBF" w:themeFill="background1" w:themeFillShade="BF"/>
          </w:tcPr>
          <w:p w:rsidR="007B216A" w:rsidRPr="003348A6" w:rsidRDefault="007B216A" w:rsidP="00F02B56">
            <w:pPr>
              <w:rPr>
                <w:rFonts w:eastAsia="MS Mincho" w:cs="Times New Roman"/>
                <w:b/>
                <w:noProof/>
                <w:szCs w:val="32"/>
              </w:rPr>
            </w:pPr>
            <w:r w:rsidRPr="003348A6">
              <w:rPr>
                <w:rFonts w:eastAsia="MS Mincho" w:cs="Times New Roman"/>
                <w:b/>
                <w:noProof/>
                <w:szCs w:val="32"/>
              </w:rPr>
              <w:t>Description of the roles and responsibilities of the ac</w:t>
            </w:r>
            <w:r>
              <w:rPr>
                <w:rFonts w:eastAsia="MS Mincho" w:cs="Times New Roman"/>
                <w:b/>
                <w:noProof/>
                <w:szCs w:val="32"/>
              </w:rPr>
              <w:t>to</w:t>
            </w:r>
            <w:r w:rsidRPr="003348A6">
              <w:rPr>
                <w:rFonts w:eastAsia="MS Mincho" w:cs="Times New Roman"/>
                <w:b/>
                <w:noProof/>
                <w:szCs w:val="32"/>
              </w:rPr>
              <w:t xml:space="preserve">rs involved </w:t>
            </w:r>
          </w:p>
          <w:p w:rsidR="007B216A" w:rsidRPr="00D103DA" w:rsidRDefault="007B216A" w:rsidP="00F02B56">
            <w:pPr>
              <w:rPr>
                <w:rFonts w:eastAsia="MS Mincho" w:cs="Times New Roman"/>
                <w:b/>
                <w:noProof/>
                <w:szCs w:val="32"/>
                <w:lang w:val="fr-FR"/>
              </w:rPr>
            </w:pPr>
            <w:r>
              <w:rPr>
                <w:rFonts w:eastAsia="MS Mincho" w:cs="Times New Roman"/>
                <w:b/>
                <w:noProof/>
                <w:szCs w:val="32"/>
                <w:lang w:val="fr-FR"/>
              </w:rPr>
              <w:t>(OPTIONAL)</w:t>
            </w:r>
          </w:p>
        </w:tc>
        <w:tc>
          <w:tcPr>
            <w:tcW w:w="7513" w:type="dxa"/>
          </w:tcPr>
          <w:p w:rsidR="007B216A" w:rsidRDefault="007B216A" w:rsidP="00F02B56">
            <w:pPr>
              <w:rPr>
                <w:rFonts w:eastAsia="MS Mincho" w:cs="Times New Roman"/>
                <w:noProof/>
                <w:szCs w:val="32"/>
                <w:lang w:val="fr-FR"/>
              </w:rPr>
            </w:pPr>
          </w:p>
          <w:p w:rsidR="007B216A" w:rsidRDefault="007B216A" w:rsidP="00F02B56">
            <w:pPr>
              <w:rPr>
                <w:rFonts w:eastAsia="MS Mincho" w:cs="Times New Roman"/>
                <w:noProof/>
                <w:szCs w:val="32"/>
                <w:lang w:val="fr-FR"/>
              </w:rPr>
            </w:pPr>
          </w:p>
          <w:p w:rsidR="007B216A" w:rsidRDefault="007B216A" w:rsidP="00F02B56">
            <w:pPr>
              <w:rPr>
                <w:rFonts w:eastAsia="MS Mincho" w:cs="Times New Roman"/>
                <w:noProof/>
                <w:szCs w:val="32"/>
                <w:lang w:val="fr-FR"/>
              </w:rPr>
            </w:pPr>
          </w:p>
        </w:tc>
      </w:tr>
      <w:tr w:rsidR="007B216A" w:rsidRPr="0081511D" w:rsidTr="00F02B56">
        <w:tc>
          <w:tcPr>
            <w:tcW w:w="2093" w:type="dxa"/>
            <w:tcBorders>
              <w:left w:val="nil"/>
              <w:right w:val="nil"/>
            </w:tcBorders>
            <w:shd w:val="clear" w:color="auto" w:fill="auto"/>
          </w:tcPr>
          <w:p w:rsidR="007B216A" w:rsidRDefault="007B216A" w:rsidP="00F02B56">
            <w:pPr>
              <w:rPr>
                <w:rFonts w:eastAsia="MS Mincho" w:cs="Times New Roman"/>
                <w:b/>
                <w:noProof/>
                <w:szCs w:val="32"/>
                <w:lang w:val="fr-FR"/>
              </w:rPr>
            </w:pPr>
          </w:p>
        </w:tc>
        <w:tc>
          <w:tcPr>
            <w:tcW w:w="7513" w:type="dxa"/>
            <w:tcBorders>
              <w:left w:val="nil"/>
              <w:right w:val="nil"/>
            </w:tcBorders>
            <w:shd w:val="clear" w:color="auto" w:fill="auto"/>
          </w:tcPr>
          <w:p w:rsidR="007B216A" w:rsidRPr="0081511D" w:rsidRDefault="007B216A" w:rsidP="00F02B56">
            <w:pPr>
              <w:rPr>
                <w:rFonts w:eastAsia="MS Mincho" w:cs="Times New Roman"/>
                <w:b/>
                <w:noProof/>
                <w:szCs w:val="32"/>
                <w:lang w:val="fr-FR"/>
              </w:rPr>
            </w:pPr>
          </w:p>
        </w:tc>
      </w:tr>
      <w:tr w:rsidR="007B216A" w:rsidRPr="0081511D" w:rsidTr="0081511D">
        <w:tc>
          <w:tcPr>
            <w:tcW w:w="2093" w:type="dxa"/>
            <w:shd w:val="clear" w:color="auto" w:fill="BFBFBF" w:themeFill="background1" w:themeFillShade="BF"/>
          </w:tcPr>
          <w:p w:rsidR="007B216A" w:rsidRDefault="007B216A" w:rsidP="00F02B56">
            <w:pPr>
              <w:rPr>
                <w:rFonts w:eastAsia="MS Mincho" w:cs="Times New Roman"/>
                <w:b/>
                <w:noProof/>
                <w:szCs w:val="32"/>
                <w:lang w:val="fr-FR"/>
              </w:rPr>
            </w:pPr>
            <w:r>
              <w:rPr>
                <w:rFonts w:eastAsia="MS Mincho" w:cs="Times New Roman"/>
                <w:b/>
                <w:noProof/>
                <w:szCs w:val="32"/>
                <w:lang w:val="fr-FR"/>
              </w:rPr>
              <w:t>Workflows</w:t>
            </w:r>
          </w:p>
          <w:p w:rsidR="007B216A" w:rsidRDefault="007B216A" w:rsidP="00F02B56">
            <w:pPr>
              <w:rPr>
                <w:rFonts w:eastAsia="MS Mincho" w:cs="Times New Roman"/>
                <w:b/>
                <w:noProof/>
                <w:szCs w:val="32"/>
                <w:lang w:val="fr-FR"/>
              </w:rPr>
            </w:pPr>
            <w:r>
              <w:rPr>
                <w:rFonts w:eastAsia="MS Mincho" w:cs="Times New Roman"/>
                <w:b/>
                <w:noProof/>
                <w:szCs w:val="32"/>
                <w:lang w:val="fr-FR"/>
              </w:rPr>
              <w:t>(OPTIONAL)</w:t>
            </w:r>
          </w:p>
        </w:tc>
        <w:tc>
          <w:tcPr>
            <w:tcW w:w="7513" w:type="dxa"/>
          </w:tcPr>
          <w:p w:rsidR="007B216A" w:rsidRPr="00FD2FD6" w:rsidRDefault="007B216A" w:rsidP="0081511D">
            <w:pPr>
              <w:rPr>
                <w:rFonts w:eastAsia="MS Mincho" w:cs="Times New Roman"/>
                <w:noProof/>
                <w:szCs w:val="32"/>
                <w:lang w:val="fr-FR"/>
              </w:rPr>
            </w:pPr>
          </w:p>
        </w:tc>
      </w:tr>
      <w:tr w:rsidR="007B216A" w:rsidRPr="0081511D" w:rsidTr="00F02B56">
        <w:tc>
          <w:tcPr>
            <w:tcW w:w="2093" w:type="dxa"/>
            <w:tcBorders>
              <w:left w:val="nil"/>
              <w:right w:val="nil"/>
            </w:tcBorders>
            <w:shd w:val="clear" w:color="auto" w:fill="auto"/>
          </w:tcPr>
          <w:p w:rsidR="007B216A" w:rsidRDefault="007B216A" w:rsidP="00F02B56">
            <w:pPr>
              <w:rPr>
                <w:rFonts w:eastAsia="MS Mincho" w:cs="Times New Roman"/>
                <w:b/>
                <w:noProof/>
                <w:szCs w:val="32"/>
                <w:lang w:val="fr-FR"/>
              </w:rPr>
            </w:pPr>
          </w:p>
        </w:tc>
        <w:tc>
          <w:tcPr>
            <w:tcW w:w="7513" w:type="dxa"/>
            <w:tcBorders>
              <w:left w:val="nil"/>
              <w:right w:val="nil"/>
            </w:tcBorders>
            <w:shd w:val="clear" w:color="auto" w:fill="auto"/>
          </w:tcPr>
          <w:p w:rsidR="007B216A" w:rsidRPr="0081511D" w:rsidRDefault="007B216A" w:rsidP="00F02B56">
            <w:pPr>
              <w:rPr>
                <w:rFonts w:eastAsia="MS Mincho" w:cs="Times New Roman"/>
                <w:b/>
                <w:noProof/>
                <w:szCs w:val="32"/>
                <w:lang w:val="fr-FR"/>
              </w:rPr>
            </w:pPr>
          </w:p>
        </w:tc>
      </w:tr>
      <w:tr w:rsidR="007B216A" w:rsidRPr="007B216A" w:rsidTr="0091257E">
        <w:tc>
          <w:tcPr>
            <w:tcW w:w="2093" w:type="dxa"/>
            <w:tcBorders>
              <w:bottom w:val="single" w:sz="4" w:space="0" w:color="auto"/>
            </w:tcBorders>
            <w:shd w:val="clear" w:color="auto" w:fill="BFBFBF" w:themeFill="background1" w:themeFillShade="BF"/>
          </w:tcPr>
          <w:p w:rsidR="007B216A" w:rsidRPr="003348A6" w:rsidRDefault="007B216A" w:rsidP="00F02B56">
            <w:pPr>
              <w:rPr>
                <w:rFonts w:eastAsia="MS Mincho" w:cs="Times New Roman"/>
                <w:b/>
                <w:noProof/>
                <w:szCs w:val="32"/>
              </w:rPr>
            </w:pPr>
            <w:r w:rsidRPr="003348A6">
              <w:rPr>
                <w:rFonts w:eastAsia="MS Mincho" w:cs="Times New Roman"/>
                <w:b/>
                <w:noProof/>
                <w:szCs w:val="32"/>
              </w:rPr>
              <w:t>Links with other market practices</w:t>
            </w:r>
          </w:p>
        </w:tc>
        <w:tc>
          <w:tcPr>
            <w:tcW w:w="7513" w:type="dxa"/>
            <w:tcBorders>
              <w:bottom w:val="single" w:sz="4" w:space="0" w:color="auto"/>
            </w:tcBorders>
          </w:tcPr>
          <w:p w:rsidR="009635E0" w:rsidRDefault="009635E0" w:rsidP="009635E0">
            <w:pPr>
              <w:pStyle w:val="ListParagraph"/>
              <w:numPr>
                <w:ilvl w:val="0"/>
                <w:numId w:val="3"/>
              </w:numPr>
              <w:ind w:left="317" w:hanging="284"/>
              <w:rPr>
                <w:rFonts w:eastAsia="MS Mincho" w:cs="Times New Roman"/>
                <w:noProof/>
                <w:szCs w:val="32"/>
                <w:lang w:val="fr-FR"/>
              </w:rPr>
            </w:pPr>
            <w:r>
              <w:rPr>
                <w:rFonts w:eastAsia="MS Mincho" w:cs="Times New Roman"/>
                <w:noProof/>
                <w:szCs w:val="32"/>
                <w:lang w:val="fr-FR"/>
              </w:rPr>
              <w:t xml:space="preserve">MS-SETTL-CESSIONTEMP-01 </w:t>
            </w:r>
          </w:p>
          <w:p w:rsidR="009635E0" w:rsidRDefault="009635E0" w:rsidP="009635E0">
            <w:pPr>
              <w:pStyle w:val="ListParagraph"/>
              <w:numPr>
                <w:ilvl w:val="0"/>
                <w:numId w:val="3"/>
              </w:numPr>
              <w:ind w:left="317" w:hanging="284"/>
              <w:rPr>
                <w:rFonts w:eastAsia="MS Mincho" w:cs="Times New Roman"/>
                <w:noProof/>
                <w:szCs w:val="32"/>
                <w:lang w:val="fr-FR"/>
              </w:rPr>
            </w:pPr>
            <w:r>
              <w:rPr>
                <w:rFonts w:eastAsia="MS Mincho" w:cs="Times New Roman"/>
                <w:noProof/>
                <w:szCs w:val="32"/>
                <w:lang w:val="fr-FR"/>
              </w:rPr>
              <w:t>MS-SETTL-CESSIONTEMP-02</w:t>
            </w:r>
          </w:p>
          <w:p w:rsidR="009635E0" w:rsidRDefault="009635E0" w:rsidP="009635E0">
            <w:pPr>
              <w:pStyle w:val="ListParagraph"/>
              <w:numPr>
                <w:ilvl w:val="0"/>
                <w:numId w:val="3"/>
              </w:numPr>
              <w:ind w:left="317" w:hanging="284"/>
              <w:rPr>
                <w:rFonts w:eastAsia="MS Mincho" w:cs="Times New Roman"/>
                <w:noProof/>
                <w:szCs w:val="32"/>
                <w:lang w:val="fr-FR"/>
              </w:rPr>
            </w:pPr>
            <w:r w:rsidRPr="00A54277">
              <w:rPr>
                <w:rFonts w:eastAsia="MS Mincho" w:cs="Times New Roman"/>
                <w:noProof/>
                <w:szCs w:val="32"/>
                <w:lang w:val="fr-FR"/>
              </w:rPr>
              <w:t>MS-SETTL-CRISTALLISATION-REPOS-01</w:t>
            </w:r>
          </w:p>
          <w:p w:rsidR="009635E0" w:rsidRPr="00FA4417" w:rsidRDefault="009635E0" w:rsidP="009635E0">
            <w:pPr>
              <w:pStyle w:val="ListParagraph"/>
              <w:numPr>
                <w:ilvl w:val="0"/>
                <w:numId w:val="3"/>
              </w:numPr>
              <w:ind w:left="317" w:hanging="284"/>
              <w:rPr>
                <w:rFonts w:eastAsia="MS Mincho" w:cs="Times New Roman"/>
                <w:noProof/>
                <w:szCs w:val="32"/>
                <w:lang w:val="fr-FR"/>
              </w:rPr>
            </w:pPr>
            <w:r w:rsidRPr="00FA4417">
              <w:rPr>
                <w:rFonts w:eastAsia="MS Mincho" w:cs="Times New Roman"/>
                <w:noProof/>
                <w:szCs w:val="32"/>
                <w:lang w:val="fr-FR"/>
              </w:rPr>
              <w:t>OF-FLUX-CESSIONSTEMPORAIRES-02</w:t>
            </w:r>
          </w:p>
          <w:p w:rsidR="007B216A" w:rsidRPr="007B216A" w:rsidRDefault="009635E0" w:rsidP="009635E0">
            <w:pPr>
              <w:pStyle w:val="ListParagraph"/>
              <w:numPr>
                <w:ilvl w:val="0"/>
                <w:numId w:val="3"/>
              </w:numPr>
              <w:spacing w:after="200" w:line="276" w:lineRule="auto"/>
              <w:ind w:left="317" w:hanging="284"/>
              <w:jc w:val="both"/>
              <w:rPr>
                <w:rFonts w:eastAsia="MS Mincho" w:cs="Times New Roman"/>
                <w:noProof/>
                <w:szCs w:val="32"/>
              </w:rPr>
            </w:pPr>
            <w:r w:rsidRPr="00FA4417">
              <w:rPr>
                <w:rFonts w:eastAsia="MS Mincho" w:cs="Times New Roman"/>
                <w:noProof/>
                <w:szCs w:val="32"/>
                <w:lang w:val="fr-FR"/>
              </w:rPr>
              <w:t>MS-MATCH-CRITE-03</w:t>
            </w:r>
          </w:p>
        </w:tc>
      </w:tr>
    </w:tbl>
    <w:p w:rsidR="001E0D83" w:rsidRPr="007B216A" w:rsidRDefault="001E0D83" w:rsidP="00D103DA">
      <w:pPr>
        <w:spacing w:after="0" w:line="240" w:lineRule="auto"/>
        <w:rPr>
          <w:rFonts w:eastAsia="MS Mincho" w:cs="Times New Roman"/>
          <w:noProof/>
          <w:szCs w:val="32"/>
        </w:rPr>
      </w:pPr>
    </w:p>
    <w:p w:rsidR="0081511D" w:rsidRPr="007B216A" w:rsidRDefault="0081511D" w:rsidP="00D103DA">
      <w:pPr>
        <w:spacing w:after="0" w:line="240" w:lineRule="auto"/>
        <w:rPr>
          <w:rFonts w:eastAsia="MS Mincho" w:cs="Times New Roman"/>
          <w:noProof/>
          <w:szCs w:val="32"/>
        </w:rPr>
      </w:pPr>
    </w:p>
    <w:p w:rsidR="00862D25" w:rsidRPr="004F6025" w:rsidRDefault="00862D25" w:rsidP="00862D25">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Recommended market practice</w:t>
      </w:r>
    </w:p>
    <w:p w:rsidR="0081511D" w:rsidRDefault="0081511D" w:rsidP="00D103DA">
      <w:pPr>
        <w:spacing w:after="0" w:line="240" w:lineRule="auto"/>
        <w:rPr>
          <w:rFonts w:eastAsia="MS Mincho" w:cs="Times New Roman"/>
          <w:noProof/>
          <w:szCs w:val="32"/>
          <w:lang w:val="fr-FR"/>
        </w:rPr>
      </w:pPr>
    </w:p>
    <w:tbl>
      <w:tblPr>
        <w:tblStyle w:val="TableGrid"/>
        <w:tblW w:w="9606" w:type="dxa"/>
        <w:tblLook w:val="04A0" w:firstRow="1" w:lastRow="0" w:firstColumn="1" w:lastColumn="0" w:noHBand="0" w:noVBand="1"/>
      </w:tblPr>
      <w:tblGrid>
        <w:gridCol w:w="2093"/>
        <w:gridCol w:w="7483"/>
        <w:gridCol w:w="30"/>
      </w:tblGrid>
      <w:tr w:rsidR="00862D25" w:rsidRPr="008F0F0B" w:rsidTr="0081511D">
        <w:trPr>
          <w:gridAfter w:val="1"/>
          <w:wAfter w:w="30" w:type="dxa"/>
        </w:trPr>
        <w:tc>
          <w:tcPr>
            <w:tcW w:w="2093" w:type="dxa"/>
            <w:shd w:val="clear" w:color="auto" w:fill="BFBFBF" w:themeFill="background1" w:themeFillShade="BF"/>
          </w:tcPr>
          <w:p w:rsidR="00862D25" w:rsidRPr="00D103DA" w:rsidRDefault="00862D25" w:rsidP="00F02B56">
            <w:pPr>
              <w:rPr>
                <w:rFonts w:eastAsia="MS Mincho" w:cs="Times New Roman"/>
                <w:b/>
                <w:noProof/>
                <w:szCs w:val="32"/>
                <w:lang w:val="fr-FR"/>
              </w:rPr>
            </w:pPr>
            <w:r>
              <w:rPr>
                <w:rFonts w:eastAsia="MS Mincho" w:cs="Times New Roman"/>
                <w:b/>
                <w:noProof/>
                <w:szCs w:val="32"/>
                <w:lang w:val="fr-FR"/>
              </w:rPr>
              <w:t>Recommended practice</w:t>
            </w:r>
          </w:p>
        </w:tc>
        <w:tc>
          <w:tcPr>
            <w:tcW w:w="7483" w:type="dxa"/>
          </w:tcPr>
          <w:p w:rsidR="00862D25" w:rsidRDefault="009635E0" w:rsidP="00C06869">
            <w:pPr>
              <w:spacing w:before="120"/>
              <w:jc w:val="both"/>
              <w:rPr>
                <w:rFonts w:eastAsia="MS Mincho" w:cs="Times New Roman"/>
                <w:noProof/>
                <w:szCs w:val="32"/>
              </w:rPr>
            </w:pPr>
            <w:r>
              <w:rPr>
                <w:rFonts w:eastAsia="MS Mincho" w:cs="Times New Roman"/>
                <w:noProof/>
                <w:szCs w:val="32"/>
              </w:rPr>
              <w:t>This recommendation concerns the business rules for market claims applying to securities financing transactions instructed outside of Euroclear’s module, or in the module, and requiring, for the latter, a re-issuance after the migration to  T2S.</w:t>
            </w:r>
          </w:p>
          <w:p w:rsidR="009635E0" w:rsidRPr="009635E0" w:rsidRDefault="009635E0" w:rsidP="009635E0">
            <w:pPr>
              <w:pStyle w:val="ListParagraph"/>
              <w:numPr>
                <w:ilvl w:val="0"/>
                <w:numId w:val="3"/>
              </w:numPr>
              <w:ind w:left="317" w:hanging="284"/>
              <w:jc w:val="both"/>
              <w:rPr>
                <w:rFonts w:eastAsia="MS Mincho" w:cs="Times New Roman"/>
                <w:noProof/>
                <w:szCs w:val="32"/>
              </w:rPr>
            </w:pPr>
            <w:r w:rsidRPr="009635E0">
              <w:rPr>
                <w:rFonts w:eastAsia="MS Mincho" w:cs="Times New Roman"/>
                <w:noProof/>
                <w:szCs w:val="32"/>
              </w:rPr>
              <w:t xml:space="preserve">As regards ‘pensions livrées’ (REPO), the analysis will be carried out on the business rules to fill the field Trade Date, in a Buy/Sell mode or to be re-issued after the migration, as defined </w:t>
            </w:r>
            <w:r>
              <w:rPr>
                <w:rFonts w:eastAsia="MS Mincho" w:cs="Times New Roman"/>
                <w:noProof/>
                <w:szCs w:val="32"/>
              </w:rPr>
              <w:t xml:space="preserve">in </w:t>
            </w:r>
            <w:r w:rsidRPr="009635E0">
              <w:rPr>
                <w:rFonts w:eastAsia="MS Mincho" w:cs="Times New Roman"/>
                <w:noProof/>
                <w:szCs w:val="32"/>
              </w:rPr>
              <w:t xml:space="preserve">MS-SETTL-CESSIONTEMP-01. </w:t>
            </w:r>
          </w:p>
          <w:p w:rsidR="009635E0" w:rsidRPr="009635E0" w:rsidRDefault="009635E0" w:rsidP="009635E0">
            <w:pPr>
              <w:pStyle w:val="ListParagraph"/>
              <w:ind w:left="317"/>
              <w:jc w:val="both"/>
              <w:rPr>
                <w:rFonts w:eastAsia="MS Mincho" w:cs="Times New Roman"/>
                <w:noProof/>
                <w:szCs w:val="32"/>
              </w:rPr>
            </w:pPr>
          </w:p>
          <w:p w:rsidR="009635E0" w:rsidRPr="009635E0" w:rsidRDefault="009635E0" w:rsidP="009635E0">
            <w:pPr>
              <w:pStyle w:val="ListParagraph"/>
              <w:numPr>
                <w:ilvl w:val="0"/>
                <w:numId w:val="3"/>
              </w:numPr>
              <w:ind w:left="317" w:hanging="284"/>
              <w:jc w:val="both"/>
              <w:rPr>
                <w:rFonts w:eastAsia="MS Mincho" w:cs="Times New Roman"/>
                <w:noProof/>
                <w:szCs w:val="32"/>
              </w:rPr>
            </w:pPr>
            <w:r w:rsidRPr="009635E0">
              <w:rPr>
                <w:rFonts w:eastAsia="MS Mincho" w:cs="Times New Roman"/>
                <w:noProof/>
                <w:szCs w:val="32"/>
              </w:rPr>
              <w:t>As regards securities lending and borrowing on E</w:t>
            </w:r>
            <w:r w:rsidR="005F65C3">
              <w:rPr>
                <w:rFonts w:eastAsia="MS Mincho" w:cs="Times New Roman"/>
                <w:noProof/>
                <w:szCs w:val="32"/>
              </w:rPr>
              <w:t>quities, it should</w:t>
            </w:r>
            <w:r w:rsidRPr="009635E0">
              <w:rPr>
                <w:rFonts w:eastAsia="MS Mincho" w:cs="Times New Roman"/>
                <w:noProof/>
                <w:szCs w:val="32"/>
              </w:rPr>
              <w:t xml:space="preserve"> be noted </w:t>
            </w:r>
            <w:r w:rsidR="00BF5A36">
              <w:rPr>
                <w:rFonts w:eastAsia="MS Mincho" w:cs="Times New Roman"/>
                <w:noProof/>
                <w:szCs w:val="32"/>
              </w:rPr>
              <w:t>t</w:t>
            </w:r>
            <w:r w:rsidRPr="009635E0">
              <w:rPr>
                <w:rFonts w:eastAsia="MS Mincho" w:cs="Times New Roman"/>
                <w:noProof/>
                <w:szCs w:val="32"/>
              </w:rPr>
              <w:t>h</w:t>
            </w:r>
            <w:r w:rsidR="00BF5A36">
              <w:rPr>
                <w:rFonts w:eastAsia="MS Mincho" w:cs="Times New Roman"/>
                <w:noProof/>
                <w:szCs w:val="32"/>
              </w:rPr>
              <w:t>a</w:t>
            </w:r>
            <w:r w:rsidRPr="009635E0">
              <w:rPr>
                <w:rFonts w:eastAsia="MS Mincho" w:cs="Times New Roman"/>
                <w:noProof/>
                <w:szCs w:val="32"/>
              </w:rPr>
              <w:t xml:space="preserve">t most of the volumes are already in a Buy/Sell mode according to market practices. </w:t>
            </w:r>
            <w:r w:rsidRPr="003422E2">
              <w:rPr>
                <w:rFonts w:eastAsia="MS Mincho" w:cs="Times New Roman"/>
                <w:noProof/>
                <w:szCs w:val="32"/>
              </w:rPr>
              <w:t xml:space="preserve">Business rules for filling of the trade date can differ from repo transactions. </w:t>
            </w:r>
            <w:r w:rsidRPr="009635E0">
              <w:rPr>
                <w:rFonts w:eastAsia="MS Mincho" w:cs="Times New Roman"/>
                <w:noProof/>
                <w:szCs w:val="32"/>
              </w:rPr>
              <w:t xml:space="preserve">To be noted also that securities lending and borrowing transactions in Euroclear’s module represent a residual volume and can also apply to debt securities. </w:t>
            </w:r>
          </w:p>
          <w:p w:rsidR="009635E0" w:rsidRDefault="009635E0" w:rsidP="00C06869">
            <w:pPr>
              <w:spacing w:before="120"/>
              <w:jc w:val="both"/>
              <w:rPr>
                <w:rFonts w:eastAsia="MS Mincho" w:cs="Times New Roman"/>
                <w:noProof/>
                <w:szCs w:val="32"/>
              </w:rPr>
            </w:pPr>
          </w:p>
          <w:p w:rsidR="005F65C3" w:rsidRDefault="005F65C3" w:rsidP="00C06869">
            <w:pPr>
              <w:spacing w:before="120"/>
              <w:jc w:val="both"/>
              <w:rPr>
                <w:rFonts w:eastAsia="MS Mincho" w:cs="Times New Roman"/>
                <w:b/>
                <w:noProof/>
                <w:szCs w:val="32"/>
                <w:u w:val="single"/>
              </w:rPr>
            </w:pPr>
          </w:p>
          <w:p w:rsidR="009635E0" w:rsidRPr="009635E0" w:rsidRDefault="009635E0" w:rsidP="00C06869">
            <w:pPr>
              <w:spacing w:before="120"/>
              <w:jc w:val="both"/>
              <w:rPr>
                <w:rFonts w:eastAsia="MS Mincho" w:cs="Times New Roman"/>
                <w:b/>
                <w:noProof/>
                <w:szCs w:val="32"/>
                <w:u w:val="single"/>
              </w:rPr>
            </w:pPr>
            <w:r w:rsidRPr="009635E0">
              <w:rPr>
                <w:rFonts w:eastAsia="MS Mincho" w:cs="Times New Roman"/>
                <w:b/>
                <w:noProof/>
                <w:szCs w:val="32"/>
                <w:u w:val="single"/>
              </w:rPr>
              <w:lastRenderedPageBreak/>
              <w:t>The following will be distinguished:</w:t>
            </w:r>
          </w:p>
          <w:p w:rsidR="009635E0" w:rsidRPr="009635E0" w:rsidRDefault="009635E0" w:rsidP="009635E0">
            <w:pPr>
              <w:pStyle w:val="ListParagraph"/>
              <w:numPr>
                <w:ilvl w:val="0"/>
                <w:numId w:val="14"/>
              </w:numPr>
              <w:jc w:val="both"/>
              <w:rPr>
                <w:noProof/>
              </w:rPr>
            </w:pPr>
            <w:r w:rsidRPr="009635E0">
              <w:rPr>
                <w:rFonts w:eastAsia="MS Mincho" w:cs="Times New Roman"/>
                <w:noProof/>
                <w:szCs w:val="32"/>
              </w:rPr>
              <w:t xml:space="preserve">Transactions input outside of </w:t>
            </w:r>
            <w:r w:rsidRPr="009635E0">
              <w:rPr>
                <w:noProof/>
              </w:rPr>
              <w:t>Euroclear’s module in a Buy/Sell</w:t>
            </w:r>
            <w:r w:rsidR="005F65C3">
              <w:rPr>
                <w:noProof/>
              </w:rPr>
              <w:t xml:space="preserve"> mode</w:t>
            </w:r>
            <w:r w:rsidRPr="009635E0">
              <w:rPr>
                <w:noProof/>
              </w:rPr>
              <w:t>, before the migration to T2S , the maturity of which is anterior to th</w:t>
            </w:r>
            <w:r>
              <w:rPr>
                <w:noProof/>
              </w:rPr>
              <w:t>e migration to T2S</w:t>
            </w:r>
            <w:r w:rsidRPr="009635E0">
              <w:rPr>
                <w:noProof/>
              </w:rPr>
              <w:t xml:space="preserve"> (</w:t>
            </w:r>
            <w:r>
              <w:rPr>
                <w:noProof/>
              </w:rPr>
              <w:t xml:space="preserve">see rules defined in </w:t>
            </w:r>
            <w:r w:rsidRPr="009635E0">
              <w:rPr>
                <w:noProof/>
              </w:rPr>
              <w:t>MS-SETTL-CESSIONTEMP-01)</w:t>
            </w:r>
          </w:p>
          <w:tbl>
            <w:tblPr>
              <w:tblStyle w:val="TableGrid"/>
              <w:tblW w:w="0" w:type="auto"/>
              <w:tblInd w:w="28" w:type="dxa"/>
              <w:tblLook w:val="04A0" w:firstRow="1" w:lastRow="0" w:firstColumn="1" w:lastColumn="0" w:noHBand="0" w:noVBand="1"/>
            </w:tblPr>
            <w:tblGrid>
              <w:gridCol w:w="1859"/>
              <w:gridCol w:w="1928"/>
              <w:gridCol w:w="1743"/>
              <w:gridCol w:w="1561"/>
            </w:tblGrid>
            <w:tr w:rsidR="009635E0" w:rsidRPr="009635E0" w:rsidTr="00F02B56">
              <w:tc>
                <w:tcPr>
                  <w:tcW w:w="1855" w:type="dxa"/>
                  <w:shd w:val="clear" w:color="auto" w:fill="D9D9D9" w:themeFill="background1" w:themeFillShade="D9"/>
                  <w:vAlign w:val="center"/>
                </w:tcPr>
                <w:p w:rsidR="009635E0" w:rsidRDefault="009635E0" w:rsidP="00F02B56">
                  <w:pPr>
                    <w:ind w:left="51"/>
                    <w:jc w:val="both"/>
                    <w:rPr>
                      <w:lang w:val="fr-FR"/>
                    </w:rPr>
                  </w:pPr>
                  <w:r>
                    <w:rPr>
                      <w:lang w:val="fr-FR"/>
                    </w:rPr>
                    <w:t>Repo</w:t>
                  </w:r>
                </w:p>
              </w:tc>
              <w:tc>
                <w:tcPr>
                  <w:tcW w:w="1928" w:type="dxa"/>
                  <w:shd w:val="clear" w:color="auto" w:fill="D9D9D9" w:themeFill="background1" w:themeFillShade="D9"/>
                  <w:vAlign w:val="center"/>
                </w:tcPr>
                <w:p w:rsidR="009635E0" w:rsidRPr="009635E0" w:rsidRDefault="009635E0" w:rsidP="009635E0">
                  <w:pPr>
                    <w:jc w:val="both"/>
                  </w:pPr>
                  <w:r w:rsidRPr="009635E0">
                    <w:t>ISD of the far leg &gt; Original Trade date + 35 days</w:t>
                  </w:r>
                </w:p>
              </w:tc>
              <w:tc>
                <w:tcPr>
                  <w:tcW w:w="1743" w:type="dxa"/>
                  <w:shd w:val="clear" w:color="auto" w:fill="D9D9D9" w:themeFill="background1" w:themeFillShade="D9"/>
                  <w:vAlign w:val="center"/>
                </w:tcPr>
                <w:p w:rsidR="009635E0" w:rsidRPr="009635E0" w:rsidRDefault="000C457B" w:rsidP="000C457B">
                  <w:pPr>
                    <w:jc w:val="both"/>
                  </w:pPr>
                  <w:r>
                    <w:t>ISD of the far leg</w:t>
                  </w:r>
                  <w:r w:rsidR="009635E0" w:rsidRPr="009635E0">
                    <w:t xml:space="preserve"> &lt; </w:t>
                  </w:r>
                  <w:r>
                    <w:t xml:space="preserve">Original </w:t>
                  </w:r>
                  <w:r w:rsidR="009635E0" w:rsidRPr="009635E0">
                    <w:t>Trade date + 35 days</w:t>
                  </w:r>
                </w:p>
              </w:tc>
              <w:tc>
                <w:tcPr>
                  <w:tcW w:w="1561" w:type="dxa"/>
                  <w:shd w:val="clear" w:color="auto" w:fill="D9D9D9" w:themeFill="background1" w:themeFillShade="D9"/>
                  <w:vAlign w:val="center"/>
                </w:tcPr>
                <w:p w:rsidR="009635E0" w:rsidRPr="009635E0" w:rsidRDefault="009635E0" w:rsidP="009635E0">
                  <w:pPr>
                    <w:jc w:val="both"/>
                  </w:pPr>
                  <w:r w:rsidRPr="009635E0">
                    <w:t>Contract negotiated less than 35 days before the migration to T2S</w:t>
                  </w:r>
                </w:p>
              </w:tc>
            </w:tr>
            <w:tr w:rsidR="009635E0" w:rsidRPr="009635E0" w:rsidTr="00F02B56">
              <w:tc>
                <w:tcPr>
                  <w:tcW w:w="1855" w:type="dxa"/>
                  <w:vAlign w:val="center"/>
                </w:tcPr>
                <w:p w:rsidR="009635E0" w:rsidRDefault="009635E0" w:rsidP="00F02B56">
                  <w:pPr>
                    <w:ind w:left="51"/>
                    <w:rPr>
                      <w:lang w:val="fr-FR"/>
                    </w:rPr>
                  </w:pPr>
                  <w:proofErr w:type="spellStart"/>
                  <w:r>
                    <w:rPr>
                      <w:lang w:val="fr-FR"/>
                    </w:rPr>
                    <w:t>Recommendation</w:t>
                  </w:r>
                  <w:proofErr w:type="spellEnd"/>
                </w:p>
                <w:p w:rsidR="009635E0" w:rsidRDefault="00BF5A36" w:rsidP="009635E0">
                  <w:pPr>
                    <w:ind w:left="51"/>
                    <w:rPr>
                      <w:lang w:val="fr-FR"/>
                    </w:rPr>
                  </w:pPr>
                  <w:r>
                    <w:rPr>
                      <w:lang w:val="fr-FR"/>
                    </w:rPr>
                    <w:t>m</w:t>
                  </w:r>
                  <w:r w:rsidR="009635E0">
                    <w:rPr>
                      <w:lang w:val="fr-FR"/>
                    </w:rPr>
                    <w:t>ade</w:t>
                  </w:r>
                </w:p>
              </w:tc>
              <w:tc>
                <w:tcPr>
                  <w:tcW w:w="1928" w:type="dxa"/>
                  <w:vAlign w:val="center"/>
                </w:tcPr>
                <w:p w:rsidR="009635E0" w:rsidRDefault="009635E0" w:rsidP="00F02B56">
                  <w:pPr>
                    <w:rPr>
                      <w:lang w:val="fr-FR"/>
                    </w:rPr>
                  </w:pPr>
                  <w:r>
                    <w:rPr>
                      <w:lang w:val="fr-FR"/>
                    </w:rPr>
                    <w:t>TD = ISD</w:t>
                  </w:r>
                </w:p>
              </w:tc>
              <w:tc>
                <w:tcPr>
                  <w:tcW w:w="3304" w:type="dxa"/>
                  <w:gridSpan w:val="2"/>
                  <w:vAlign w:val="center"/>
                </w:tcPr>
                <w:p w:rsidR="009635E0" w:rsidRPr="009635E0" w:rsidRDefault="009635E0" w:rsidP="009635E0">
                  <w:r w:rsidRPr="009635E0">
                    <w:t>TD = original TD of the transaction</w:t>
                  </w:r>
                </w:p>
              </w:tc>
            </w:tr>
            <w:tr w:rsidR="009635E0" w:rsidRPr="002F1986" w:rsidTr="00F02B56">
              <w:tc>
                <w:tcPr>
                  <w:tcW w:w="1855" w:type="dxa"/>
                  <w:vAlign w:val="center"/>
                </w:tcPr>
                <w:p w:rsidR="009635E0" w:rsidRPr="009635E0" w:rsidRDefault="009635E0" w:rsidP="009635E0">
                  <w:r w:rsidRPr="009635E0">
                    <w:t>Impact of market claims on REPO and securities lending and borrowing on debt securities</w:t>
                  </w:r>
                </w:p>
              </w:tc>
              <w:tc>
                <w:tcPr>
                  <w:tcW w:w="5232" w:type="dxa"/>
                  <w:gridSpan w:val="3"/>
                  <w:vAlign w:val="center"/>
                </w:tcPr>
                <w:p w:rsidR="009635E0" w:rsidRPr="009635E0" w:rsidRDefault="009635E0" w:rsidP="00F02B56">
                  <w:r w:rsidRPr="009635E0">
                    <w:t>Limited risk of market claims, in case of failed instruction </w:t>
                  </w:r>
                  <w:r w:rsidRPr="009635E0">
                    <w:rPr>
                      <w:color w:val="0070C0"/>
                    </w:rPr>
                    <w:t>*</w:t>
                  </w:r>
                  <w:r w:rsidRPr="009635E0">
                    <w:t xml:space="preserve">» </w:t>
                  </w:r>
                  <w:r w:rsidRPr="009635E0">
                    <w:rPr>
                      <w:rFonts w:eastAsia="MS Mincho" w:cs="Times New Roman"/>
                      <w:noProof/>
                      <w:szCs w:val="32"/>
                    </w:rPr>
                    <w:t>(</w:t>
                  </w:r>
                  <w:r>
                    <w:rPr>
                      <w:rFonts w:eastAsia="MS Mincho" w:cs="Times New Roman"/>
                      <w:noProof/>
                      <w:szCs w:val="32"/>
                    </w:rPr>
                    <w:t>see appendix</w:t>
                  </w:r>
                  <w:r w:rsidRPr="009635E0">
                    <w:rPr>
                      <w:rFonts w:eastAsia="MS Mincho" w:cs="Times New Roman"/>
                      <w:noProof/>
                      <w:szCs w:val="32"/>
                    </w:rPr>
                    <w:t>).</w:t>
                  </w:r>
                </w:p>
                <w:p w:rsidR="009635E0" w:rsidRPr="002F1986" w:rsidRDefault="009635E0" w:rsidP="002F1986">
                  <w:r w:rsidRPr="002F1986">
                    <w:rPr>
                      <w:color w:val="0070C0"/>
                      <w:sz w:val="18"/>
                    </w:rPr>
                    <w:t xml:space="preserve">(*) </w:t>
                  </w:r>
                  <w:proofErr w:type="spellStart"/>
                  <w:r w:rsidRPr="002F1986">
                    <w:rPr>
                      <w:color w:val="0070C0"/>
                      <w:sz w:val="18"/>
                    </w:rPr>
                    <w:t>ie</w:t>
                  </w:r>
                  <w:proofErr w:type="spellEnd"/>
                  <w:r w:rsidRPr="002F1986">
                    <w:rPr>
                      <w:color w:val="0070C0"/>
                      <w:sz w:val="18"/>
                    </w:rPr>
                    <w:t xml:space="preserve"> with an intended settlement date equal or before </w:t>
                  </w:r>
                  <w:r w:rsidR="00BF5A36">
                    <w:rPr>
                      <w:color w:val="0070C0"/>
                      <w:sz w:val="18"/>
                    </w:rPr>
                    <w:t>the RD</w:t>
                  </w:r>
                  <w:r w:rsidR="002F1986" w:rsidRPr="002F1986">
                    <w:rPr>
                      <w:color w:val="0070C0"/>
                      <w:sz w:val="18"/>
                    </w:rPr>
                    <w:t xml:space="preserve"> but with an actual settlement occur</w:t>
                  </w:r>
                  <w:r w:rsidR="002F1986">
                    <w:rPr>
                      <w:color w:val="0070C0"/>
                      <w:sz w:val="18"/>
                    </w:rPr>
                    <w:t>r</w:t>
                  </w:r>
                  <w:r w:rsidR="002F1986" w:rsidRPr="002F1986">
                    <w:rPr>
                      <w:color w:val="0070C0"/>
                      <w:sz w:val="18"/>
                    </w:rPr>
                    <w:t>ing after the RD.</w:t>
                  </w:r>
                </w:p>
              </w:tc>
            </w:tr>
          </w:tbl>
          <w:p w:rsidR="009635E0" w:rsidRPr="002F1986" w:rsidRDefault="009635E0" w:rsidP="009635E0"/>
          <w:tbl>
            <w:tblPr>
              <w:tblStyle w:val="TableGrid"/>
              <w:tblW w:w="0" w:type="auto"/>
              <w:tblInd w:w="28" w:type="dxa"/>
              <w:tblLook w:val="04A0" w:firstRow="1" w:lastRow="0" w:firstColumn="1" w:lastColumn="0" w:noHBand="0" w:noVBand="1"/>
            </w:tblPr>
            <w:tblGrid>
              <w:gridCol w:w="1855"/>
              <w:gridCol w:w="5232"/>
            </w:tblGrid>
            <w:tr w:rsidR="00A45B97" w:rsidRPr="001626B5" w:rsidTr="00F02B56">
              <w:tc>
                <w:tcPr>
                  <w:tcW w:w="1855" w:type="dxa"/>
                  <w:shd w:val="clear" w:color="auto" w:fill="BFBFBF" w:themeFill="background1" w:themeFillShade="BF"/>
                  <w:vAlign w:val="center"/>
                </w:tcPr>
                <w:p w:rsidR="00A45B97" w:rsidRDefault="00A45B97" w:rsidP="00F02B56">
                  <w:pPr>
                    <w:jc w:val="center"/>
                    <w:rPr>
                      <w:lang w:val="fr-FR"/>
                    </w:rPr>
                  </w:pPr>
                  <w:r>
                    <w:rPr>
                      <w:lang w:val="fr-FR"/>
                    </w:rPr>
                    <w:t xml:space="preserve">Securities </w:t>
                  </w:r>
                  <w:proofErr w:type="spellStart"/>
                  <w:r>
                    <w:rPr>
                      <w:lang w:val="fr-FR"/>
                    </w:rPr>
                    <w:t>lending</w:t>
                  </w:r>
                  <w:proofErr w:type="spellEnd"/>
                  <w:r>
                    <w:rPr>
                      <w:lang w:val="fr-FR"/>
                    </w:rPr>
                    <w:t xml:space="preserve"> &amp; </w:t>
                  </w:r>
                  <w:proofErr w:type="spellStart"/>
                  <w:r>
                    <w:rPr>
                      <w:lang w:val="fr-FR"/>
                    </w:rPr>
                    <w:t>Borrowing</w:t>
                  </w:r>
                  <w:proofErr w:type="spellEnd"/>
                </w:p>
              </w:tc>
              <w:tc>
                <w:tcPr>
                  <w:tcW w:w="5232" w:type="dxa"/>
                  <w:shd w:val="clear" w:color="auto" w:fill="BFBFBF" w:themeFill="background1" w:themeFillShade="BF"/>
                  <w:vAlign w:val="center"/>
                </w:tcPr>
                <w:p w:rsidR="00A45B97" w:rsidRDefault="00A45B97" w:rsidP="00F02B56">
                  <w:pPr>
                    <w:jc w:val="center"/>
                    <w:rPr>
                      <w:lang w:val="fr-FR"/>
                    </w:rPr>
                  </w:pPr>
                </w:p>
              </w:tc>
            </w:tr>
            <w:tr w:rsidR="00A45B97" w:rsidRPr="00A45B97" w:rsidTr="00F02B56">
              <w:tc>
                <w:tcPr>
                  <w:tcW w:w="1855" w:type="dxa"/>
                  <w:vAlign w:val="center"/>
                </w:tcPr>
                <w:p w:rsidR="00A45B97" w:rsidRPr="00A45B97" w:rsidRDefault="00A45B97" w:rsidP="00A45B97">
                  <w:r w:rsidRPr="00A45B97">
                    <w:t xml:space="preserve">Impact of market claims on repo </w:t>
                  </w:r>
                  <w:proofErr w:type="gramStart"/>
                  <w:r w:rsidRPr="00A45B97">
                    <w:t>and  securities</w:t>
                  </w:r>
                  <w:proofErr w:type="gramEnd"/>
                  <w:r w:rsidRPr="00A45B97">
                    <w:t xml:space="preserve"> lending and borrowing </w:t>
                  </w:r>
                  <w:r w:rsidR="000C457B">
                    <w:t xml:space="preserve">transactions </w:t>
                  </w:r>
                  <w:r w:rsidRPr="00A45B97">
                    <w:t xml:space="preserve">on capital </w:t>
                  </w:r>
                  <w:proofErr w:type="spellStart"/>
                  <w:r w:rsidRPr="00A45B97">
                    <w:t>securites</w:t>
                  </w:r>
                  <w:proofErr w:type="spellEnd"/>
                  <w:r w:rsidRPr="00A45B97">
                    <w:t xml:space="preserve"> (equities...)</w:t>
                  </w:r>
                </w:p>
              </w:tc>
              <w:tc>
                <w:tcPr>
                  <w:tcW w:w="5232" w:type="dxa"/>
                  <w:vAlign w:val="center"/>
                </w:tcPr>
                <w:p w:rsidR="00A45B97" w:rsidRPr="00A45B97" w:rsidRDefault="00A45B97" w:rsidP="00A45B97">
                  <w:pPr>
                    <w:spacing w:before="60"/>
                    <w:rPr>
                      <w:rFonts w:eastAsia="MS Mincho" w:cs="Times New Roman"/>
                      <w:noProof/>
                      <w:szCs w:val="32"/>
                    </w:rPr>
                  </w:pPr>
                  <w:r w:rsidRPr="00A45B97">
                    <w:t>Ris</w:t>
                  </w:r>
                  <w:r>
                    <w:t>k</w:t>
                  </w:r>
                  <w:r w:rsidRPr="00A45B97">
                    <w:t xml:space="preserve"> of market claims (</w:t>
                  </w:r>
                  <w:r w:rsidRPr="00A45B97">
                    <w:rPr>
                      <w:rFonts w:eastAsia="MS Mincho" w:cs="Times New Roman"/>
                      <w:noProof/>
                      <w:szCs w:val="32"/>
                    </w:rPr>
                    <w:t>see appendix of this market practice).</w:t>
                  </w:r>
                </w:p>
                <w:p w:rsidR="00A45B97" w:rsidRPr="00A45B97" w:rsidRDefault="00A45B97" w:rsidP="00A45B97">
                  <w:pPr>
                    <w:spacing w:before="60"/>
                    <w:jc w:val="both"/>
                    <w:rPr>
                      <w:rFonts w:eastAsia="MS Mincho" w:cs="Times New Roman"/>
                      <w:noProof/>
                      <w:szCs w:val="32"/>
                    </w:rPr>
                  </w:pPr>
                  <w:r w:rsidRPr="00A45B97">
                    <w:rPr>
                      <w:rFonts w:eastAsia="MS Mincho" w:cs="Times New Roman"/>
                      <w:noProof/>
                      <w:szCs w:val="32"/>
                    </w:rPr>
                    <w:t>Nonetheless, securities lending operations do not involve the realignment of the TD on the far leg to the TD on the near leg.</w:t>
                  </w:r>
                </w:p>
                <w:p w:rsidR="00A45B97" w:rsidRPr="003422E2" w:rsidRDefault="00A45B97" w:rsidP="00A45B97">
                  <w:pPr>
                    <w:spacing w:before="60"/>
                    <w:jc w:val="both"/>
                    <w:rPr>
                      <w:rFonts w:eastAsia="MS Mincho" w:cs="Times New Roman"/>
                      <w:noProof/>
                      <w:szCs w:val="32"/>
                    </w:rPr>
                  </w:pPr>
                  <w:r w:rsidRPr="00A45B97">
                    <w:rPr>
                      <w:rFonts w:eastAsia="MS Mincho" w:cs="Times New Roman"/>
                      <w:noProof/>
                      <w:szCs w:val="32"/>
                    </w:rPr>
                    <w:t xml:space="preserve">Both operations (the near leg, the far leg) are distinct and the trade dates </w:t>
                  </w:r>
                  <w:r>
                    <w:rPr>
                      <w:rFonts w:eastAsia="MS Mincho" w:cs="Times New Roman"/>
                      <w:noProof/>
                      <w:szCs w:val="32"/>
                    </w:rPr>
                    <w:t xml:space="preserve">are </w:t>
                  </w:r>
                  <w:r w:rsidRPr="00A45B97">
                    <w:rPr>
                      <w:rFonts w:eastAsia="MS Mincho" w:cs="Times New Roman"/>
                      <w:noProof/>
                      <w:szCs w:val="32"/>
                    </w:rPr>
                    <w:t>filled based on an agreement between the parties, on the terms of the master agreement and on the occurrence or not of a market claim over the term of the contrat.</w:t>
                  </w:r>
                </w:p>
                <w:p w:rsidR="00A45B97" w:rsidRPr="00A45B97" w:rsidRDefault="00A45B97" w:rsidP="00A45B97">
                  <w:pPr>
                    <w:spacing w:before="60"/>
                    <w:jc w:val="both"/>
                  </w:pPr>
                  <w:r w:rsidRPr="00A45B97">
                    <w:rPr>
                      <w:rFonts w:eastAsia="MS Mincho" w:cs="Times New Roman"/>
                      <w:noProof/>
                      <w:szCs w:val="32"/>
                    </w:rPr>
                    <w:t>A neutralization of the effects of the</w:t>
                  </w:r>
                  <w:r w:rsidR="000C457B">
                    <w:rPr>
                      <w:rFonts w:eastAsia="MS Mincho" w:cs="Times New Roman"/>
                      <w:noProof/>
                      <w:szCs w:val="32"/>
                    </w:rPr>
                    <w:t xml:space="preserve"> </w:t>
                  </w:r>
                  <w:r w:rsidRPr="00A45B97">
                    <w:rPr>
                      <w:rFonts w:eastAsia="MS Mincho" w:cs="Times New Roman"/>
                      <w:noProof/>
                      <w:szCs w:val="32"/>
                    </w:rPr>
                    <w:t xml:space="preserve">market claim would amount to positioning TD = ISD on </w:t>
                  </w:r>
                  <w:r>
                    <w:rPr>
                      <w:rFonts w:eastAsia="MS Mincho" w:cs="Times New Roman"/>
                      <w:noProof/>
                      <w:szCs w:val="32"/>
                    </w:rPr>
                    <w:t xml:space="preserve">each </w:t>
                  </w:r>
                  <w:r w:rsidRPr="00A45B97">
                    <w:rPr>
                      <w:rFonts w:eastAsia="MS Mincho" w:cs="Times New Roman"/>
                      <w:noProof/>
                      <w:szCs w:val="32"/>
                    </w:rPr>
                    <w:t>term o</w:t>
                  </w:r>
                  <w:r>
                    <w:rPr>
                      <w:rFonts w:eastAsia="MS Mincho" w:cs="Times New Roman"/>
                      <w:noProof/>
                      <w:szCs w:val="32"/>
                    </w:rPr>
                    <w:t>f the negotiation in the eventuality of a market claim</w:t>
                  </w:r>
                  <w:r w:rsidRPr="00A45B97">
                    <w:rPr>
                      <w:rFonts w:eastAsia="MS Mincho" w:cs="Times New Roman"/>
                      <w:noProof/>
                      <w:szCs w:val="32"/>
                    </w:rPr>
                    <w:t>.</w:t>
                  </w:r>
                </w:p>
              </w:tc>
            </w:tr>
          </w:tbl>
          <w:p w:rsidR="009635E0" w:rsidRDefault="009635E0" w:rsidP="00C06869">
            <w:pPr>
              <w:spacing w:before="120"/>
              <w:jc w:val="both"/>
              <w:rPr>
                <w:rFonts w:eastAsia="MS Mincho" w:cs="Times New Roman"/>
                <w:noProof/>
                <w:szCs w:val="32"/>
              </w:rPr>
            </w:pPr>
          </w:p>
          <w:p w:rsidR="00A45B97" w:rsidRDefault="00A45B97" w:rsidP="00C06869">
            <w:pPr>
              <w:spacing w:before="120"/>
              <w:jc w:val="both"/>
              <w:rPr>
                <w:rFonts w:eastAsia="MS Mincho" w:cs="Times New Roman"/>
                <w:noProof/>
                <w:szCs w:val="32"/>
              </w:rPr>
            </w:pPr>
            <w:r>
              <w:rPr>
                <w:rFonts w:eastAsia="MS Mincho" w:cs="Times New Roman"/>
                <w:noProof/>
                <w:szCs w:val="32"/>
              </w:rPr>
              <w:t>Euroclear’s SLAB module does not accept instructions with a trade date anterior by more than 35 days to the date of its creation. This limits the cases where the near legs and the far legs are input simultaneously. For securities financing transactions created before September 12</w:t>
            </w:r>
            <w:r w:rsidRPr="00A45B97">
              <w:rPr>
                <w:rFonts w:eastAsia="MS Mincho" w:cs="Times New Roman"/>
                <w:noProof/>
                <w:szCs w:val="32"/>
                <w:vertAlign w:val="superscript"/>
              </w:rPr>
              <w:t>th</w:t>
            </w:r>
            <w:r>
              <w:rPr>
                <w:rFonts w:eastAsia="MS Mincho" w:cs="Times New Roman"/>
                <w:noProof/>
                <w:szCs w:val="32"/>
              </w:rPr>
              <w:t>, 2016, the far leg will have to be input separately from the near leg while also respecting this business rule.</w:t>
            </w:r>
          </w:p>
          <w:p w:rsidR="000C457B" w:rsidRDefault="000C457B" w:rsidP="00C06869">
            <w:pPr>
              <w:spacing w:before="120"/>
              <w:jc w:val="both"/>
              <w:rPr>
                <w:rFonts w:eastAsia="MS Mincho" w:cs="Times New Roman"/>
                <w:noProof/>
                <w:szCs w:val="32"/>
              </w:rPr>
            </w:pPr>
          </w:p>
          <w:p w:rsidR="000C457B" w:rsidRDefault="000C457B" w:rsidP="00C06869">
            <w:pPr>
              <w:spacing w:before="120"/>
              <w:jc w:val="both"/>
              <w:rPr>
                <w:rFonts w:eastAsia="MS Mincho" w:cs="Times New Roman"/>
                <w:noProof/>
                <w:szCs w:val="32"/>
              </w:rPr>
            </w:pPr>
          </w:p>
          <w:p w:rsidR="00A45B97" w:rsidRDefault="00A45B97" w:rsidP="00A45B97">
            <w:pPr>
              <w:pStyle w:val="ListParagraph"/>
              <w:numPr>
                <w:ilvl w:val="0"/>
                <w:numId w:val="14"/>
              </w:numPr>
              <w:spacing w:before="120"/>
              <w:jc w:val="both"/>
              <w:rPr>
                <w:rFonts w:eastAsia="MS Mincho" w:cs="Times New Roman"/>
                <w:noProof/>
                <w:szCs w:val="32"/>
              </w:rPr>
            </w:pPr>
            <w:r>
              <w:rPr>
                <w:rFonts w:eastAsia="MS Mincho" w:cs="Times New Roman"/>
                <w:noProof/>
                <w:szCs w:val="32"/>
              </w:rPr>
              <w:lastRenderedPageBreak/>
              <w:t xml:space="preserve">Contracts initiated with Euroclear’s module, the maturity of which will occur post-migration to T2S. In this case, instructions will have to be re-issued after their purge by Euroclear during the migration week-end. </w:t>
            </w:r>
            <w:r w:rsidR="00BF5A36">
              <w:rPr>
                <w:rFonts w:eastAsia="MS Mincho" w:cs="Times New Roman"/>
                <w:noProof/>
                <w:szCs w:val="32"/>
              </w:rPr>
              <w:t>The re-issuance will have to be carried out after the switch in a buy/sell mode.</w:t>
            </w:r>
          </w:p>
          <w:p w:rsidR="00BF5A36" w:rsidRPr="00BF5A36" w:rsidRDefault="00BF5A36" w:rsidP="00BF5A36">
            <w:pPr>
              <w:spacing w:before="120"/>
              <w:jc w:val="both"/>
              <w:rPr>
                <w:rFonts w:eastAsia="MS Mincho" w:cs="Times New Roman"/>
                <w:noProof/>
                <w:szCs w:val="32"/>
              </w:rPr>
            </w:pPr>
          </w:p>
          <w:p w:rsidR="00BF5A36" w:rsidRDefault="00BF5A36" w:rsidP="00BF5A36">
            <w:pPr>
              <w:pStyle w:val="ListParagraph"/>
              <w:numPr>
                <w:ilvl w:val="0"/>
                <w:numId w:val="3"/>
              </w:numPr>
              <w:ind w:left="317" w:hanging="284"/>
              <w:jc w:val="both"/>
              <w:rPr>
                <w:rFonts w:eastAsia="MS Mincho" w:cs="Times New Roman"/>
                <w:noProof/>
                <w:szCs w:val="32"/>
              </w:rPr>
            </w:pPr>
            <w:r>
              <w:rPr>
                <w:rFonts w:eastAsia="MS Mincho" w:cs="Times New Roman"/>
                <w:noProof/>
                <w:szCs w:val="32"/>
              </w:rPr>
              <w:t xml:space="preserve">T2S presents </w:t>
            </w:r>
            <w:r w:rsidR="000C457B">
              <w:rPr>
                <w:rFonts w:eastAsia="MS Mincho" w:cs="Times New Roman"/>
                <w:noProof/>
                <w:szCs w:val="32"/>
              </w:rPr>
              <w:t xml:space="preserve">no </w:t>
            </w:r>
            <w:r>
              <w:rPr>
                <w:rFonts w:eastAsia="MS Mincho" w:cs="Times New Roman"/>
                <w:noProof/>
                <w:szCs w:val="32"/>
              </w:rPr>
              <w:t>limitation on the anteriority of the trade date ahead of the intended settlement date.</w:t>
            </w:r>
          </w:p>
          <w:p w:rsidR="00BF5A36" w:rsidRPr="009635E0" w:rsidRDefault="00BF5A36" w:rsidP="00BF5A36">
            <w:pPr>
              <w:pStyle w:val="ListParagraph"/>
              <w:numPr>
                <w:ilvl w:val="0"/>
                <w:numId w:val="3"/>
              </w:numPr>
              <w:ind w:left="317" w:hanging="284"/>
              <w:jc w:val="both"/>
              <w:rPr>
                <w:rFonts w:eastAsia="MS Mincho" w:cs="Times New Roman"/>
                <w:noProof/>
                <w:szCs w:val="32"/>
              </w:rPr>
            </w:pPr>
            <w:r>
              <w:rPr>
                <w:rFonts w:eastAsia="MS Mincho" w:cs="Times New Roman"/>
                <w:noProof/>
                <w:szCs w:val="32"/>
              </w:rPr>
              <w:t>The use of additional matching criteria is not recommended by market players on repo and securities lending and borrowing. The rea</w:t>
            </w:r>
            <w:r w:rsidR="000C457B">
              <w:rPr>
                <w:rFonts w:eastAsia="MS Mincho" w:cs="Times New Roman"/>
                <w:noProof/>
                <w:szCs w:val="32"/>
              </w:rPr>
              <w:t>s</w:t>
            </w:r>
            <w:r>
              <w:rPr>
                <w:rFonts w:eastAsia="MS Mincho" w:cs="Times New Roman"/>
                <w:noProof/>
                <w:szCs w:val="32"/>
              </w:rPr>
              <w:t xml:space="preserve">ons of this choice are explained in </w:t>
            </w:r>
            <w:r w:rsidRPr="00BF5A36">
              <w:rPr>
                <w:rFonts w:eastAsia="MS Mincho" w:cs="Times New Roman"/>
                <w:noProof/>
                <w:szCs w:val="32"/>
              </w:rPr>
              <w:t>OF-FLUX-CESSIONS TEMPORAIRES-02</w:t>
            </w:r>
            <w:r>
              <w:rPr>
                <w:rFonts w:eastAsia="MS Mincho" w:cs="Times New Roman"/>
                <w:noProof/>
                <w:szCs w:val="32"/>
              </w:rPr>
              <w:t>.</w:t>
            </w:r>
          </w:p>
          <w:p w:rsidR="009635E0" w:rsidRDefault="009635E0" w:rsidP="00C06869">
            <w:pPr>
              <w:spacing w:before="120"/>
              <w:jc w:val="both"/>
              <w:rPr>
                <w:rFonts w:eastAsia="MS Mincho" w:cs="Times New Roman"/>
                <w:noProof/>
                <w:szCs w:val="32"/>
              </w:rPr>
            </w:pPr>
          </w:p>
          <w:tbl>
            <w:tblPr>
              <w:tblStyle w:val="TableGrid"/>
              <w:tblW w:w="0" w:type="auto"/>
              <w:tblInd w:w="28" w:type="dxa"/>
              <w:tblLook w:val="04A0" w:firstRow="1" w:lastRow="0" w:firstColumn="1" w:lastColumn="0" w:noHBand="0" w:noVBand="1"/>
            </w:tblPr>
            <w:tblGrid>
              <w:gridCol w:w="1855"/>
              <w:gridCol w:w="5232"/>
            </w:tblGrid>
            <w:tr w:rsidR="00BF5A36" w:rsidRPr="00BF5A36" w:rsidTr="00F02B56">
              <w:tc>
                <w:tcPr>
                  <w:tcW w:w="1855" w:type="dxa"/>
                  <w:shd w:val="clear" w:color="auto" w:fill="D9D9D9" w:themeFill="background1" w:themeFillShade="D9"/>
                  <w:vAlign w:val="center"/>
                </w:tcPr>
                <w:p w:rsidR="00BF5A36" w:rsidRDefault="00BF5A36" w:rsidP="00F02B56">
                  <w:pPr>
                    <w:rPr>
                      <w:lang w:val="fr-FR"/>
                    </w:rPr>
                  </w:pPr>
                  <w:r>
                    <w:rPr>
                      <w:lang w:val="fr-FR"/>
                    </w:rPr>
                    <w:t>Repo</w:t>
                  </w:r>
                </w:p>
              </w:tc>
              <w:tc>
                <w:tcPr>
                  <w:tcW w:w="5232" w:type="dxa"/>
                  <w:shd w:val="clear" w:color="auto" w:fill="D9D9D9" w:themeFill="background1" w:themeFillShade="D9"/>
                  <w:vAlign w:val="center"/>
                </w:tcPr>
                <w:p w:rsidR="00BF5A36" w:rsidRPr="00BF5A36" w:rsidRDefault="00BF5A36" w:rsidP="00BF5A36">
                  <w:pPr>
                    <w:jc w:val="center"/>
                  </w:pPr>
                  <w:r w:rsidRPr="00BF5A36">
                    <w:t>Issuance after the migration to T2S</w:t>
                  </w:r>
                </w:p>
              </w:tc>
            </w:tr>
            <w:tr w:rsidR="00BF5A36" w:rsidRPr="00BF5A36" w:rsidTr="00F02B56">
              <w:tc>
                <w:tcPr>
                  <w:tcW w:w="1855" w:type="dxa"/>
                  <w:vAlign w:val="center"/>
                </w:tcPr>
                <w:p w:rsidR="00BF5A36" w:rsidRDefault="00BF5A36" w:rsidP="00F02B56">
                  <w:pPr>
                    <w:rPr>
                      <w:lang w:val="fr-FR"/>
                    </w:rPr>
                  </w:pPr>
                  <w:proofErr w:type="spellStart"/>
                  <w:r>
                    <w:rPr>
                      <w:lang w:val="fr-FR"/>
                    </w:rPr>
                    <w:t>Recommendation</w:t>
                  </w:r>
                  <w:proofErr w:type="spellEnd"/>
                  <w:r>
                    <w:rPr>
                      <w:lang w:val="fr-FR"/>
                    </w:rPr>
                    <w:t xml:space="preserve"> made</w:t>
                  </w:r>
                </w:p>
              </w:tc>
              <w:tc>
                <w:tcPr>
                  <w:tcW w:w="5232" w:type="dxa"/>
                  <w:vAlign w:val="center"/>
                </w:tcPr>
                <w:p w:rsidR="00BF5A36" w:rsidRPr="00BF5A36" w:rsidRDefault="00BF5A36" w:rsidP="00F02B56">
                  <w:pPr>
                    <w:jc w:val="center"/>
                  </w:pPr>
                  <w:r w:rsidRPr="00BF5A36">
                    <w:t>TD = Original TD of the negotiation</w:t>
                  </w:r>
                </w:p>
                <w:p w:rsidR="00BF5A36" w:rsidRPr="00BF5A36" w:rsidRDefault="00BF5A36" w:rsidP="00BF5A36">
                  <w:pPr>
                    <w:jc w:val="center"/>
                  </w:pPr>
                  <w:proofErr w:type="gramStart"/>
                  <w:r w:rsidRPr="00BF5A36">
                    <w:t>with</w:t>
                  </w:r>
                  <w:proofErr w:type="gramEnd"/>
                  <w:r w:rsidRPr="00BF5A36">
                    <w:t xml:space="preserve"> an OPT-OUT indicator set at blank</w:t>
                  </w:r>
                  <w:r w:rsidRPr="00BF5A36">
                    <w:rPr>
                      <w:rFonts w:eastAsia="MS Mincho" w:cs="Times New Roman"/>
                      <w:b/>
                      <w:noProof/>
                      <w:sz w:val="18"/>
                      <w:szCs w:val="18"/>
                    </w:rPr>
                    <w:t>.</w:t>
                  </w:r>
                </w:p>
              </w:tc>
            </w:tr>
            <w:tr w:rsidR="00BF5A36" w:rsidRPr="00BF5A36" w:rsidTr="00F02B56">
              <w:tc>
                <w:tcPr>
                  <w:tcW w:w="1855" w:type="dxa"/>
                  <w:vAlign w:val="center"/>
                </w:tcPr>
                <w:p w:rsidR="00BF5A36" w:rsidRPr="00BF5A36" w:rsidRDefault="00BF5A36" w:rsidP="00BF5A36">
                  <w:r w:rsidRPr="00BF5A36">
                    <w:t>Impact of market claims on repo and securities lending and borrowing on debt securities</w:t>
                  </w:r>
                </w:p>
              </w:tc>
              <w:tc>
                <w:tcPr>
                  <w:tcW w:w="5232" w:type="dxa"/>
                  <w:vAlign w:val="center"/>
                </w:tcPr>
                <w:p w:rsidR="00BF5A36" w:rsidRPr="00BF5A36" w:rsidRDefault="00BF5A36" w:rsidP="00F02B56">
                  <w:r w:rsidRPr="00BF5A36">
                    <w:t>Limited risk of market claim, only in case of « failed (</w:t>
                  </w:r>
                  <w:r w:rsidRPr="00BF5A36">
                    <w:rPr>
                      <w:color w:val="0070C0"/>
                    </w:rPr>
                    <w:t>*</w:t>
                  </w:r>
                  <w:proofErr w:type="gramStart"/>
                  <w:r w:rsidRPr="00BF5A36">
                    <w:t>)»</w:t>
                  </w:r>
                  <w:proofErr w:type="gramEnd"/>
                  <w:r w:rsidRPr="00BF5A36">
                    <w:t xml:space="preserve"> </w:t>
                  </w:r>
                  <w:r w:rsidRPr="00BF5A36">
                    <w:rPr>
                      <w:rFonts w:eastAsia="MS Mincho" w:cs="Times New Roman"/>
                      <w:noProof/>
                      <w:szCs w:val="32"/>
                    </w:rPr>
                    <w:t>(</w:t>
                  </w:r>
                  <w:r>
                    <w:rPr>
                      <w:rFonts w:eastAsia="MS Mincho" w:cs="Times New Roman"/>
                      <w:noProof/>
                      <w:szCs w:val="32"/>
                    </w:rPr>
                    <w:t xml:space="preserve">see </w:t>
                  </w:r>
                  <w:r w:rsidR="001346CF">
                    <w:rPr>
                      <w:rFonts w:eastAsia="MS Mincho" w:cs="Times New Roman"/>
                      <w:noProof/>
                      <w:szCs w:val="32"/>
                    </w:rPr>
                    <w:t>A</w:t>
                  </w:r>
                  <w:r>
                    <w:rPr>
                      <w:rFonts w:eastAsia="MS Mincho" w:cs="Times New Roman"/>
                      <w:noProof/>
                      <w:szCs w:val="32"/>
                    </w:rPr>
                    <w:t>ppendix</w:t>
                  </w:r>
                  <w:r w:rsidRPr="00BF5A36">
                    <w:rPr>
                      <w:rFonts w:eastAsia="MS Mincho" w:cs="Times New Roman"/>
                      <w:noProof/>
                      <w:szCs w:val="32"/>
                    </w:rPr>
                    <w:t>).</w:t>
                  </w:r>
                </w:p>
                <w:p w:rsidR="00BF5A36" w:rsidRPr="00BF5A36" w:rsidRDefault="00BF5A36" w:rsidP="00F02B56">
                  <w:r w:rsidRPr="002F1986">
                    <w:rPr>
                      <w:color w:val="0070C0"/>
                      <w:sz w:val="18"/>
                    </w:rPr>
                    <w:t xml:space="preserve">(*) </w:t>
                  </w:r>
                  <w:proofErr w:type="spellStart"/>
                  <w:r w:rsidRPr="002F1986">
                    <w:rPr>
                      <w:color w:val="0070C0"/>
                      <w:sz w:val="18"/>
                    </w:rPr>
                    <w:t>ie</w:t>
                  </w:r>
                  <w:proofErr w:type="spellEnd"/>
                  <w:r w:rsidRPr="002F1986">
                    <w:rPr>
                      <w:color w:val="0070C0"/>
                      <w:sz w:val="18"/>
                    </w:rPr>
                    <w:t xml:space="preserve"> with an intended settlement date equal or before </w:t>
                  </w:r>
                  <w:r>
                    <w:rPr>
                      <w:color w:val="0070C0"/>
                      <w:sz w:val="18"/>
                    </w:rPr>
                    <w:t>the RD</w:t>
                  </w:r>
                  <w:r w:rsidRPr="002F1986">
                    <w:rPr>
                      <w:color w:val="0070C0"/>
                      <w:sz w:val="18"/>
                    </w:rPr>
                    <w:t xml:space="preserve"> but with an actual settlement occur</w:t>
                  </w:r>
                  <w:r>
                    <w:rPr>
                      <w:color w:val="0070C0"/>
                      <w:sz w:val="18"/>
                    </w:rPr>
                    <w:t>r</w:t>
                  </w:r>
                  <w:r w:rsidRPr="002F1986">
                    <w:rPr>
                      <w:color w:val="0070C0"/>
                      <w:sz w:val="18"/>
                    </w:rPr>
                    <w:t>ing after the RD.</w:t>
                  </w:r>
                </w:p>
              </w:tc>
            </w:tr>
          </w:tbl>
          <w:p w:rsidR="00BF5A36" w:rsidRDefault="00BF5A36" w:rsidP="00C06869">
            <w:pPr>
              <w:spacing w:before="120"/>
              <w:jc w:val="both"/>
              <w:rPr>
                <w:rFonts w:eastAsia="MS Mincho" w:cs="Times New Roman"/>
                <w:noProof/>
                <w:szCs w:val="32"/>
              </w:rPr>
            </w:pPr>
          </w:p>
          <w:tbl>
            <w:tblPr>
              <w:tblStyle w:val="TableGrid"/>
              <w:tblW w:w="0" w:type="auto"/>
              <w:tblInd w:w="28" w:type="dxa"/>
              <w:tblLook w:val="04A0" w:firstRow="1" w:lastRow="0" w:firstColumn="1" w:lastColumn="0" w:noHBand="0" w:noVBand="1"/>
            </w:tblPr>
            <w:tblGrid>
              <w:gridCol w:w="1855"/>
              <w:gridCol w:w="5232"/>
            </w:tblGrid>
            <w:tr w:rsidR="001A6D1F" w:rsidRPr="001A6D1F" w:rsidTr="00F02B56">
              <w:tc>
                <w:tcPr>
                  <w:tcW w:w="1855" w:type="dxa"/>
                  <w:shd w:val="clear" w:color="auto" w:fill="BFBFBF" w:themeFill="background1" w:themeFillShade="BF"/>
                  <w:vAlign w:val="center"/>
                </w:tcPr>
                <w:p w:rsidR="001A6D1F" w:rsidRDefault="001A6D1F" w:rsidP="00F02B56">
                  <w:pPr>
                    <w:jc w:val="center"/>
                    <w:rPr>
                      <w:lang w:val="fr-FR"/>
                    </w:rPr>
                  </w:pPr>
                  <w:r>
                    <w:rPr>
                      <w:lang w:val="fr-FR"/>
                    </w:rPr>
                    <w:t xml:space="preserve">Securities </w:t>
                  </w:r>
                  <w:proofErr w:type="spellStart"/>
                  <w:r>
                    <w:rPr>
                      <w:lang w:val="fr-FR"/>
                    </w:rPr>
                    <w:t>lending</w:t>
                  </w:r>
                  <w:proofErr w:type="spellEnd"/>
                  <w:r>
                    <w:rPr>
                      <w:lang w:val="fr-FR"/>
                    </w:rPr>
                    <w:t xml:space="preserve"> and </w:t>
                  </w:r>
                  <w:proofErr w:type="spellStart"/>
                  <w:r>
                    <w:rPr>
                      <w:lang w:val="fr-FR"/>
                    </w:rPr>
                    <w:t>borrowing</w:t>
                  </w:r>
                  <w:proofErr w:type="spellEnd"/>
                </w:p>
              </w:tc>
              <w:tc>
                <w:tcPr>
                  <w:tcW w:w="5232" w:type="dxa"/>
                  <w:shd w:val="clear" w:color="auto" w:fill="BFBFBF" w:themeFill="background1" w:themeFillShade="BF"/>
                  <w:vAlign w:val="center"/>
                </w:tcPr>
                <w:p w:rsidR="001A6D1F" w:rsidRPr="001A6D1F" w:rsidRDefault="001A6D1F" w:rsidP="00F02B56">
                  <w:pPr>
                    <w:jc w:val="center"/>
                  </w:pPr>
                  <w:r w:rsidRPr="00BF5A36">
                    <w:t>Issuance after the migration to T2S</w:t>
                  </w:r>
                </w:p>
              </w:tc>
            </w:tr>
            <w:tr w:rsidR="001A6D1F" w:rsidRPr="008F0F0B" w:rsidTr="00F02B56">
              <w:tc>
                <w:tcPr>
                  <w:tcW w:w="1855" w:type="dxa"/>
                  <w:vAlign w:val="center"/>
                </w:tcPr>
                <w:p w:rsidR="001A6D1F" w:rsidRPr="001346CF" w:rsidRDefault="001A6D1F" w:rsidP="001346CF">
                  <w:r w:rsidRPr="001346CF">
                    <w:t xml:space="preserve">Impact </w:t>
                  </w:r>
                  <w:r w:rsidR="001346CF" w:rsidRPr="001346CF">
                    <w:t xml:space="preserve">of </w:t>
                  </w:r>
                  <w:proofErr w:type="spellStart"/>
                  <w:r w:rsidR="001346CF" w:rsidRPr="001346CF">
                    <w:t>marke</w:t>
                  </w:r>
                  <w:proofErr w:type="spellEnd"/>
                  <w:r w:rsidR="001346CF" w:rsidRPr="001346CF">
                    <w:t xml:space="preserve"> claims on repo and securities lending and borrowing on </w:t>
                  </w:r>
                  <w:r w:rsidR="001346CF">
                    <w:t>capital</w:t>
                  </w:r>
                  <w:r w:rsidR="001346CF" w:rsidRPr="001346CF">
                    <w:t xml:space="preserve"> securities </w:t>
                  </w:r>
                  <w:r w:rsidRPr="001346CF">
                    <w:t>(equities...)</w:t>
                  </w:r>
                </w:p>
              </w:tc>
              <w:tc>
                <w:tcPr>
                  <w:tcW w:w="5232" w:type="dxa"/>
                  <w:vAlign w:val="center"/>
                </w:tcPr>
                <w:p w:rsidR="001A6D1F" w:rsidRPr="001346CF" w:rsidRDefault="001346CF" w:rsidP="001346CF">
                  <w:pPr>
                    <w:spacing w:before="60"/>
                    <w:jc w:val="both"/>
                    <w:rPr>
                      <w:rFonts w:eastAsia="MS Mincho" w:cs="Times New Roman"/>
                      <w:noProof/>
                      <w:szCs w:val="32"/>
                    </w:rPr>
                  </w:pPr>
                  <w:r w:rsidRPr="001346CF">
                    <w:t>Risk of market claim</w:t>
                  </w:r>
                  <w:r w:rsidR="001A6D1F" w:rsidRPr="001346CF">
                    <w:t xml:space="preserve"> (</w:t>
                  </w:r>
                  <w:r w:rsidRPr="001346CF">
                    <w:rPr>
                      <w:rFonts w:eastAsia="MS Mincho" w:cs="Times New Roman"/>
                      <w:noProof/>
                      <w:szCs w:val="32"/>
                    </w:rPr>
                    <w:t>see Appendix</w:t>
                  </w:r>
                  <w:r w:rsidR="001A6D1F" w:rsidRPr="001346CF">
                    <w:rPr>
                      <w:rFonts w:eastAsia="MS Mincho" w:cs="Times New Roman"/>
                      <w:noProof/>
                      <w:szCs w:val="32"/>
                    </w:rPr>
                    <w:t>).</w:t>
                  </w:r>
                </w:p>
                <w:p w:rsidR="001A6D1F" w:rsidRPr="001346CF" w:rsidRDefault="001346CF" w:rsidP="001346CF">
                  <w:pPr>
                    <w:spacing w:before="60"/>
                    <w:jc w:val="both"/>
                    <w:rPr>
                      <w:rFonts w:eastAsia="MS Mincho" w:cs="Times New Roman"/>
                      <w:noProof/>
                      <w:szCs w:val="32"/>
                    </w:rPr>
                  </w:pPr>
                  <w:r w:rsidRPr="001346CF">
                    <w:rPr>
                      <w:rFonts w:eastAsia="MS Mincho" w:cs="Times New Roman"/>
                      <w:noProof/>
                      <w:szCs w:val="32"/>
                    </w:rPr>
                    <w:t>Securities lending operations do not involve the realignment of the TD of far leg on the trade date of initial negotiation</w:t>
                  </w:r>
                  <w:r w:rsidR="001A6D1F" w:rsidRPr="001346CF">
                    <w:rPr>
                      <w:rFonts w:eastAsia="MS Mincho" w:cs="Times New Roman"/>
                      <w:noProof/>
                      <w:szCs w:val="32"/>
                    </w:rPr>
                    <w:t>.</w:t>
                  </w:r>
                </w:p>
                <w:p w:rsidR="000C457B" w:rsidRPr="003422E2" w:rsidRDefault="000C457B" w:rsidP="000C457B">
                  <w:pPr>
                    <w:spacing w:before="60"/>
                    <w:jc w:val="both"/>
                    <w:rPr>
                      <w:rFonts w:eastAsia="MS Mincho" w:cs="Times New Roman"/>
                      <w:noProof/>
                      <w:szCs w:val="32"/>
                    </w:rPr>
                  </w:pPr>
                  <w:r w:rsidRPr="00A45B97">
                    <w:rPr>
                      <w:rFonts w:eastAsia="MS Mincho" w:cs="Times New Roman"/>
                      <w:noProof/>
                      <w:szCs w:val="32"/>
                    </w:rPr>
                    <w:t xml:space="preserve">Both operations (the near leg, the far leg) are distinct and the trade dates </w:t>
                  </w:r>
                  <w:r>
                    <w:rPr>
                      <w:rFonts w:eastAsia="MS Mincho" w:cs="Times New Roman"/>
                      <w:noProof/>
                      <w:szCs w:val="32"/>
                    </w:rPr>
                    <w:t xml:space="preserve">are </w:t>
                  </w:r>
                  <w:r w:rsidRPr="00A45B97">
                    <w:rPr>
                      <w:rFonts w:eastAsia="MS Mincho" w:cs="Times New Roman"/>
                      <w:noProof/>
                      <w:szCs w:val="32"/>
                    </w:rPr>
                    <w:t>filled based on an agreement between the parties, on the terms of the master agreement and on the occurrence or not of a market claim over the term of the contrat.</w:t>
                  </w:r>
                </w:p>
                <w:p w:rsidR="001A6D1F" w:rsidRPr="008F0F0B" w:rsidRDefault="008F0F0B" w:rsidP="001346CF">
                  <w:pPr>
                    <w:spacing w:before="60"/>
                    <w:jc w:val="both"/>
                    <w:rPr>
                      <w:color w:val="0070C0"/>
                    </w:rPr>
                  </w:pPr>
                  <w:r w:rsidRPr="00A45B97">
                    <w:rPr>
                      <w:rFonts w:eastAsia="MS Mincho" w:cs="Times New Roman"/>
                      <w:noProof/>
                      <w:szCs w:val="32"/>
                    </w:rPr>
                    <w:t xml:space="preserve">A neutralization of the effects of themarket claim would amount to positioning TD = ISD on </w:t>
                  </w:r>
                  <w:r>
                    <w:rPr>
                      <w:rFonts w:eastAsia="MS Mincho" w:cs="Times New Roman"/>
                      <w:noProof/>
                      <w:szCs w:val="32"/>
                    </w:rPr>
                    <w:t xml:space="preserve">each </w:t>
                  </w:r>
                  <w:r w:rsidRPr="00A45B97">
                    <w:rPr>
                      <w:rFonts w:eastAsia="MS Mincho" w:cs="Times New Roman"/>
                      <w:noProof/>
                      <w:szCs w:val="32"/>
                    </w:rPr>
                    <w:t>term o</w:t>
                  </w:r>
                  <w:r>
                    <w:rPr>
                      <w:rFonts w:eastAsia="MS Mincho" w:cs="Times New Roman"/>
                      <w:noProof/>
                      <w:szCs w:val="32"/>
                    </w:rPr>
                    <w:t>f the negotiation in the eventuality of a market claim</w:t>
                  </w:r>
                  <w:r w:rsidRPr="00A45B97">
                    <w:rPr>
                      <w:rFonts w:eastAsia="MS Mincho" w:cs="Times New Roman"/>
                      <w:noProof/>
                      <w:szCs w:val="32"/>
                    </w:rPr>
                    <w:t>.</w:t>
                  </w:r>
                </w:p>
              </w:tc>
            </w:tr>
          </w:tbl>
          <w:p w:rsidR="00BF5A36" w:rsidRPr="008F0F0B" w:rsidRDefault="00BF5A36" w:rsidP="00C06869">
            <w:pPr>
              <w:spacing w:before="120"/>
              <w:jc w:val="both"/>
              <w:rPr>
                <w:rFonts w:eastAsia="MS Mincho" w:cs="Times New Roman"/>
                <w:noProof/>
                <w:szCs w:val="32"/>
              </w:rPr>
            </w:pPr>
          </w:p>
        </w:tc>
      </w:tr>
      <w:tr w:rsidR="0081511D" w:rsidRPr="008F0F0B" w:rsidTr="0081511D">
        <w:tc>
          <w:tcPr>
            <w:tcW w:w="2093" w:type="dxa"/>
            <w:tcBorders>
              <w:left w:val="nil"/>
              <w:right w:val="nil"/>
            </w:tcBorders>
            <w:shd w:val="clear" w:color="auto" w:fill="auto"/>
          </w:tcPr>
          <w:p w:rsidR="0081511D" w:rsidRPr="008F0F0B" w:rsidRDefault="0081511D" w:rsidP="00F02B56">
            <w:pPr>
              <w:rPr>
                <w:rFonts w:eastAsia="MS Mincho" w:cs="Times New Roman"/>
                <w:b/>
                <w:noProof/>
                <w:szCs w:val="32"/>
              </w:rPr>
            </w:pPr>
          </w:p>
        </w:tc>
        <w:tc>
          <w:tcPr>
            <w:tcW w:w="7513" w:type="dxa"/>
            <w:gridSpan w:val="2"/>
            <w:tcBorders>
              <w:left w:val="nil"/>
              <w:right w:val="nil"/>
            </w:tcBorders>
            <w:shd w:val="clear" w:color="auto" w:fill="auto"/>
          </w:tcPr>
          <w:p w:rsidR="0081511D" w:rsidRPr="008F0F0B" w:rsidRDefault="0081511D" w:rsidP="00F02B56">
            <w:pPr>
              <w:rPr>
                <w:rFonts w:eastAsia="MS Mincho" w:cs="Times New Roman"/>
                <w:b/>
                <w:noProof/>
                <w:szCs w:val="32"/>
              </w:rPr>
            </w:pPr>
          </w:p>
        </w:tc>
      </w:tr>
      <w:tr w:rsidR="00862D25" w:rsidTr="0081511D">
        <w:trPr>
          <w:gridAfter w:val="1"/>
          <w:wAfter w:w="30" w:type="dxa"/>
        </w:trPr>
        <w:tc>
          <w:tcPr>
            <w:tcW w:w="2093" w:type="dxa"/>
            <w:tcBorders>
              <w:bottom w:val="single" w:sz="4" w:space="0" w:color="auto"/>
            </w:tcBorders>
            <w:shd w:val="clear" w:color="auto" w:fill="BFBFBF" w:themeFill="background1" w:themeFillShade="BF"/>
          </w:tcPr>
          <w:p w:rsidR="00862D25" w:rsidRPr="003348A6" w:rsidRDefault="00862D25" w:rsidP="00F02B56">
            <w:pPr>
              <w:rPr>
                <w:rFonts w:eastAsia="MS Mincho" w:cs="Times New Roman"/>
                <w:b/>
                <w:noProof/>
                <w:szCs w:val="32"/>
              </w:rPr>
            </w:pPr>
            <w:r w:rsidRPr="003348A6">
              <w:rPr>
                <w:rFonts w:eastAsia="MS Mincho" w:cs="Times New Roman"/>
                <w:b/>
                <w:noProof/>
                <w:szCs w:val="32"/>
              </w:rPr>
              <w:t>Description of the roles and responsibilities of the ac</w:t>
            </w:r>
            <w:r>
              <w:rPr>
                <w:rFonts w:eastAsia="MS Mincho" w:cs="Times New Roman"/>
                <w:b/>
                <w:noProof/>
                <w:szCs w:val="32"/>
              </w:rPr>
              <w:t>to</w:t>
            </w:r>
            <w:r w:rsidRPr="003348A6">
              <w:rPr>
                <w:rFonts w:eastAsia="MS Mincho" w:cs="Times New Roman"/>
                <w:b/>
                <w:noProof/>
                <w:szCs w:val="32"/>
              </w:rPr>
              <w:t xml:space="preserve">rs involved </w:t>
            </w:r>
          </w:p>
          <w:p w:rsidR="00862D25" w:rsidRPr="00F370B0" w:rsidRDefault="00862D25" w:rsidP="00F02B56">
            <w:pPr>
              <w:rPr>
                <w:rFonts w:eastAsia="MS Mincho" w:cs="Times New Roman"/>
                <w:b/>
                <w:noProof/>
                <w:szCs w:val="32"/>
              </w:rPr>
            </w:pPr>
            <w:r w:rsidRPr="00F370B0">
              <w:rPr>
                <w:rFonts w:eastAsia="MS Mincho" w:cs="Times New Roman"/>
                <w:b/>
                <w:noProof/>
                <w:szCs w:val="32"/>
              </w:rPr>
              <w:t>(OPTIONAL)</w:t>
            </w:r>
          </w:p>
        </w:tc>
        <w:tc>
          <w:tcPr>
            <w:tcW w:w="7483" w:type="dxa"/>
            <w:tcBorders>
              <w:bottom w:val="single" w:sz="4" w:space="0" w:color="auto"/>
            </w:tcBorders>
          </w:tcPr>
          <w:p w:rsidR="00862D25" w:rsidRDefault="00862D25" w:rsidP="00F02B56">
            <w:pPr>
              <w:rPr>
                <w:rFonts w:eastAsia="MS Mincho" w:cs="Times New Roman"/>
                <w:noProof/>
                <w:szCs w:val="32"/>
                <w:lang w:val="fr-FR"/>
              </w:rPr>
            </w:pPr>
          </w:p>
          <w:p w:rsidR="00862D25" w:rsidRDefault="00862D25" w:rsidP="00F02B56">
            <w:pPr>
              <w:rPr>
                <w:rFonts w:eastAsia="MS Mincho" w:cs="Times New Roman"/>
                <w:noProof/>
                <w:szCs w:val="32"/>
                <w:lang w:val="fr-FR"/>
              </w:rPr>
            </w:pPr>
          </w:p>
          <w:p w:rsidR="00862D25" w:rsidRDefault="00862D25" w:rsidP="00F02B56">
            <w:pPr>
              <w:rPr>
                <w:rFonts w:eastAsia="MS Mincho" w:cs="Times New Roman"/>
                <w:noProof/>
                <w:szCs w:val="32"/>
                <w:lang w:val="fr-FR"/>
              </w:rPr>
            </w:pPr>
          </w:p>
          <w:p w:rsidR="00862D25" w:rsidRDefault="00862D25" w:rsidP="00F02B56">
            <w:pPr>
              <w:rPr>
                <w:rFonts w:eastAsia="MS Mincho" w:cs="Times New Roman"/>
                <w:noProof/>
                <w:szCs w:val="32"/>
                <w:lang w:val="fr-FR"/>
              </w:rPr>
            </w:pPr>
          </w:p>
        </w:tc>
      </w:tr>
      <w:tr w:rsidR="00862D25" w:rsidTr="0081511D">
        <w:trPr>
          <w:gridAfter w:val="1"/>
          <w:wAfter w:w="30" w:type="dxa"/>
        </w:trPr>
        <w:tc>
          <w:tcPr>
            <w:tcW w:w="2093" w:type="dxa"/>
            <w:tcBorders>
              <w:left w:val="nil"/>
              <w:right w:val="nil"/>
            </w:tcBorders>
            <w:shd w:val="clear" w:color="auto" w:fill="FFFFFF" w:themeFill="background1"/>
          </w:tcPr>
          <w:p w:rsidR="00862D25" w:rsidRPr="00F370B0" w:rsidRDefault="00862D25" w:rsidP="00F02B56">
            <w:pPr>
              <w:rPr>
                <w:rFonts w:eastAsia="MS Mincho" w:cs="Times New Roman"/>
                <w:b/>
                <w:noProof/>
                <w:szCs w:val="32"/>
              </w:rPr>
            </w:pPr>
          </w:p>
        </w:tc>
        <w:tc>
          <w:tcPr>
            <w:tcW w:w="7483" w:type="dxa"/>
            <w:tcBorders>
              <w:left w:val="nil"/>
              <w:bottom w:val="single" w:sz="4" w:space="0" w:color="auto"/>
              <w:right w:val="nil"/>
            </w:tcBorders>
            <w:shd w:val="clear" w:color="auto" w:fill="FFFFFF" w:themeFill="background1"/>
          </w:tcPr>
          <w:p w:rsidR="00862D25" w:rsidRDefault="00862D25" w:rsidP="00F02B56">
            <w:pPr>
              <w:rPr>
                <w:rFonts w:eastAsia="MS Mincho" w:cs="Times New Roman"/>
                <w:noProof/>
                <w:szCs w:val="32"/>
                <w:lang w:val="fr-FR"/>
              </w:rPr>
            </w:pPr>
          </w:p>
        </w:tc>
      </w:tr>
      <w:tr w:rsidR="00862D25" w:rsidTr="0081511D">
        <w:trPr>
          <w:gridAfter w:val="1"/>
          <w:wAfter w:w="30" w:type="dxa"/>
        </w:trPr>
        <w:tc>
          <w:tcPr>
            <w:tcW w:w="2093" w:type="dxa"/>
            <w:shd w:val="clear" w:color="auto" w:fill="BFBFBF" w:themeFill="background1" w:themeFillShade="BF"/>
          </w:tcPr>
          <w:p w:rsidR="00862D25" w:rsidRPr="00F370B0" w:rsidRDefault="00862D25" w:rsidP="00F02B56">
            <w:pPr>
              <w:rPr>
                <w:rFonts w:eastAsia="MS Mincho" w:cs="Times New Roman"/>
                <w:b/>
                <w:noProof/>
                <w:szCs w:val="32"/>
              </w:rPr>
            </w:pPr>
            <w:r w:rsidRPr="00F370B0">
              <w:rPr>
                <w:rFonts w:eastAsia="MS Mincho" w:cs="Times New Roman"/>
                <w:b/>
                <w:noProof/>
                <w:szCs w:val="32"/>
              </w:rPr>
              <w:t>Workflows</w:t>
            </w:r>
          </w:p>
          <w:p w:rsidR="00862D25" w:rsidRPr="00F370B0" w:rsidRDefault="00862D25" w:rsidP="00F02B56">
            <w:pPr>
              <w:rPr>
                <w:rFonts w:eastAsia="MS Mincho" w:cs="Times New Roman"/>
                <w:b/>
                <w:noProof/>
                <w:szCs w:val="32"/>
              </w:rPr>
            </w:pPr>
            <w:r w:rsidRPr="00F370B0">
              <w:rPr>
                <w:rFonts w:eastAsia="MS Mincho" w:cs="Times New Roman"/>
                <w:b/>
                <w:noProof/>
                <w:szCs w:val="32"/>
              </w:rPr>
              <w:t>(OPTIONAL)</w:t>
            </w:r>
          </w:p>
        </w:tc>
        <w:tc>
          <w:tcPr>
            <w:tcW w:w="7483" w:type="dxa"/>
            <w:tcBorders>
              <w:bottom w:val="single" w:sz="4" w:space="0" w:color="auto"/>
            </w:tcBorders>
          </w:tcPr>
          <w:p w:rsidR="00862D25" w:rsidRDefault="00862D25" w:rsidP="00F02B56">
            <w:pPr>
              <w:rPr>
                <w:rFonts w:eastAsia="MS Mincho" w:cs="Times New Roman"/>
                <w:noProof/>
                <w:szCs w:val="32"/>
                <w:lang w:val="fr-FR"/>
              </w:rPr>
            </w:pPr>
          </w:p>
          <w:p w:rsidR="00862D25" w:rsidRDefault="00862D25" w:rsidP="00F02B56">
            <w:pPr>
              <w:rPr>
                <w:rFonts w:eastAsia="MS Mincho" w:cs="Times New Roman"/>
                <w:noProof/>
                <w:szCs w:val="32"/>
                <w:lang w:val="fr-FR"/>
              </w:rPr>
            </w:pPr>
          </w:p>
        </w:tc>
      </w:tr>
    </w:tbl>
    <w:p w:rsidR="00363E89" w:rsidRDefault="00363E89" w:rsidP="001E0D83">
      <w:pPr>
        <w:spacing w:after="0" w:line="240" w:lineRule="auto"/>
        <w:rPr>
          <w:rFonts w:eastAsia="MS Mincho" w:cs="Times New Roman"/>
          <w:noProof/>
          <w:szCs w:val="32"/>
          <w:lang w:val="fr-FR"/>
        </w:rPr>
      </w:pPr>
    </w:p>
    <w:p w:rsidR="0085743B" w:rsidRDefault="0085743B">
      <w:pPr>
        <w:rPr>
          <w:rFonts w:eastAsia="MS Mincho" w:cs="Times New Roman"/>
          <w:b/>
          <w:caps/>
          <w:noProof/>
          <w:sz w:val="32"/>
          <w:szCs w:val="32"/>
          <w:lang w:val="fr-FR"/>
        </w:rPr>
      </w:pPr>
    </w:p>
    <w:p w:rsidR="00140482" w:rsidRPr="004F6025" w:rsidRDefault="00862D25" w:rsidP="00140482">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IMPLEMENTATION</w:t>
      </w:r>
    </w:p>
    <w:p w:rsidR="00140482" w:rsidRDefault="00140482" w:rsidP="00140482">
      <w:pPr>
        <w:spacing w:after="0" w:line="240" w:lineRule="auto"/>
        <w:rPr>
          <w:rFonts w:eastAsia="MS Mincho" w:cs="Times New Roman"/>
          <w:noProof/>
          <w:szCs w:val="32"/>
          <w:lang w:val="fr-FR"/>
        </w:rPr>
      </w:pPr>
    </w:p>
    <w:tbl>
      <w:tblPr>
        <w:tblStyle w:val="TableGrid"/>
        <w:tblW w:w="9616" w:type="dxa"/>
        <w:tblLook w:val="04A0" w:firstRow="1" w:lastRow="0" w:firstColumn="1" w:lastColumn="0" w:noHBand="0" w:noVBand="1"/>
      </w:tblPr>
      <w:tblGrid>
        <w:gridCol w:w="2302"/>
        <w:gridCol w:w="2438"/>
        <w:gridCol w:w="2438"/>
        <w:gridCol w:w="2438"/>
      </w:tblGrid>
      <w:tr w:rsidR="00862D25" w:rsidRPr="00862D25" w:rsidTr="00F02B56">
        <w:trPr>
          <w:trHeight w:val="338"/>
        </w:trPr>
        <w:tc>
          <w:tcPr>
            <w:tcW w:w="2302" w:type="dxa"/>
            <w:vMerge w:val="restart"/>
            <w:shd w:val="clear" w:color="auto" w:fill="BFBFBF" w:themeFill="background1" w:themeFillShade="BF"/>
          </w:tcPr>
          <w:p w:rsidR="00862D25" w:rsidRPr="00D103DA" w:rsidRDefault="00862D25" w:rsidP="00F02B56">
            <w:pPr>
              <w:rPr>
                <w:rFonts w:eastAsia="MS Mincho" w:cs="Times New Roman"/>
                <w:b/>
                <w:noProof/>
                <w:szCs w:val="32"/>
                <w:lang w:val="fr-FR"/>
              </w:rPr>
            </w:pPr>
            <w:r>
              <w:rPr>
                <w:rFonts w:eastAsia="MS Mincho" w:cs="Times New Roman"/>
                <w:b/>
                <w:noProof/>
                <w:szCs w:val="32"/>
                <w:lang w:val="fr-FR"/>
              </w:rPr>
              <w:t>Implementation timeline</w:t>
            </w:r>
          </w:p>
        </w:tc>
        <w:tc>
          <w:tcPr>
            <w:tcW w:w="2438" w:type="dxa"/>
          </w:tcPr>
          <w:p w:rsidR="00862D25" w:rsidRPr="003348A6" w:rsidRDefault="00862D25" w:rsidP="00F02B56">
            <w:pPr>
              <w:jc w:val="center"/>
              <w:rPr>
                <w:rFonts w:eastAsia="MS Mincho" w:cs="Times New Roman"/>
                <w:b/>
                <w:noProof/>
                <w:szCs w:val="32"/>
              </w:rPr>
            </w:pPr>
            <w:r w:rsidRPr="003348A6">
              <w:rPr>
                <w:rFonts w:eastAsia="MS Mincho" w:cs="Times New Roman"/>
                <w:b/>
                <w:noProof/>
                <w:szCs w:val="32"/>
              </w:rPr>
              <w:t xml:space="preserve">Before the migration </w:t>
            </w:r>
            <w:r>
              <w:rPr>
                <w:rFonts w:eastAsia="MS Mincho" w:cs="Times New Roman"/>
                <w:b/>
                <w:noProof/>
                <w:szCs w:val="32"/>
              </w:rPr>
              <w:t xml:space="preserve">to </w:t>
            </w:r>
            <w:r w:rsidRPr="003348A6">
              <w:rPr>
                <w:rFonts w:eastAsia="MS Mincho" w:cs="Times New Roman"/>
                <w:b/>
                <w:noProof/>
                <w:szCs w:val="32"/>
              </w:rPr>
              <w:t>T2S</w:t>
            </w:r>
          </w:p>
        </w:tc>
        <w:tc>
          <w:tcPr>
            <w:tcW w:w="2438" w:type="dxa"/>
          </w:tcPr>
          <w:p w:rsidR="00862D25" w:rsidRPr="003348A6" w:rsidRDefault="00862D25" w:rsidP="00F02B56">
            <w:pPr>
              <w:jc w:val="center"/>
              <w:rPr>
                <w:rFonts w:eastAsia="MS Mincho" w:cs="Times New Roman"/>
                <w:b/>
                <w:noProof/>
                <w:szCs w:val="32"/>
              </w:rPr>
            </w:pPr>
            <w:r w:rsidRPr="003348A6">
              <w:rPr>
                <w:rFonts w:eastAsia="MS Mincho" w:cs="Times New Roman"/>
                <w:b/>
                <w:noProof/>
                <w:szCs w:val="32"/>
              </w:rPr>
              <w:t>Upon go live on T2S</w:t>
            </w:r>
          </w:p>
        </w:tc>
        <w:tc>
          <w:tcPr>
            <w:tcW w:w="2438" w:type="dxa"/>
          </w:tcPr>
          <w:p w:rsidR="00862D25" w:rsidRPr="003348A6" w:rsidRDefault="00862D25" w:rsidP="00F02B56">
            <w:pPr>
              <w:jc w:val="center"/>
              <w:rPr>
                <w:rFonts w:eastAsia="MS Mincho" w:cs="Times New Roman"/>
                <w:b/>
                <w:noProof/>
                <w:szCs w:val="32"/>
              </w:rPr>
            </w:pPr>
            <w:r w:rsidRPr="003348A6">
              <w:rPr>
                <w:rFonts w:eastAsia="MS Mincho" w:cs="Times New Roman"/>
                <w:b/>
                <w:noProof/>
                <w:szCs w:val="32"/>
              </w:rPr>
              <w:t xml:space="preserve">After the migration </w:t>
            </w:r>
            <w:r>
              <w:rPr>
                <w:rFonts w:eastAsia="MS Mincho" w:cs="Times New Roman"/>
                <w:b/>
                <w:noProof/>
                <w:szCs w:val="32"/>
              </w:rPr>
              <w:t xml:space="preserve">to </w:t>
            </w:r>
            <w:r w:rsidRPr="003348A6">
              <w:rPr>
                <w:rFonts w:eastAsia="MS Mincho" w:cs="Times New Roman"/>
                <w:b/>
                <w:noProof/>
                <w:szCs w:val="32"/>
              </w:rPr>
              <w:t>T2S</w:t>
            </w:r>
          </w:p>
        </w:tc>
      </w:tr>
      <w:tr w:rsidR="00140482" w:rsidTr="00F02B56">
        <w:trPr>
          <w:trHeight w:val="337"/>
        </w:trPr>
        <w:tc>
          <w:tcPr>
            <w:tcW w:w="2302" w:type="dxa"/>
            <w:vMerge/>
            <w:tcBorders>
              <w:bottom w:val="single" w:sz="4" w:space="0" w:color="auto"/>
            </w:tcBorders>
            <w:shd w:val="clear" w:color="auto" w:fill="BFBFBF" w:themeFill="background1" w:themeFillShade="BF"/>
          </w:tcPr>
          <w:p w:rsidR="00140482" w:rsidRPr="00862D25" w:rsidRDefault="00140482" w:rsidP="00F02B56">
            <w:pPr>
              <w:rPr>
                <w:rFonts w:eastAsia="MS Mincho" w:cs="Times New Roman"/>
                <w:b/>
                <w:noProof/>
                <w:szCs w:val="32"/>
              </w:rPr>
            </w:pPr>
          </w:p>
        </w:tc>
        <w:tc>
          <w:tcPr>
            <w:tcW w:w="2438" w:type="dxa"/>
            <w:tcBorders>
              <w:bottom w:val="single" w:sz="4" w:space="0" w:color="auto"/>
            </w:tcBorders>
            <w:shd w:val="clear" w:color="auto" w:fill="auto"/>
          </w:tcPr>
          <w:p w:rsidR="00DD4496" w:rsidRDefault="00DD4496" w:rsidP="00DD4496">
            <w:pPr>
              <w:jc w:val="center"/>
              <w:rPr>
                <w:rFonts w:ascii="Wingdings" w:hAnsi="Wingdings" w:cs="Wingdings"/>
                <w:sz w:val="26"/>
                <w:szCs w:val="26"/>
              </w:rPr>
            </w:pPr>
            <w:r>
              <w:rPr>
                <w:rFonts w:ascii="Wingdings" w:hAnsi="Wingdings" w:cs="Wingdings"/>
                <w:sz w:val="26"/>
                <w:szCs w:val="26"/>
              </w:rPr>
              <w:t></w:t>
            </w:r>
          </w:p>
          <w:p w:rsidR="00DD4496" w:rsidRPr="00785264" w:rsidRDefault="00DD4496" w:rsidP="00DD4496">
            <w:pPr>
              <w:jc w:val="center"/>
              <w:rPr>
                <w:rFonts w:cs="Wingdings"/>
                <w:szCs w:val="26"/>
              </w:rPr>
            </w:pPr>
            <w:r w:rsidRPr="00785264">
              <w:rPr>
                <w:rFonts w:cs="Wingdings"/>
                <w:szCs w:val="26"/>
              </w:rPr>
              <w:t xml:space="preserve">Date: </w:t>
            </w:r>
            <w:r>
              <w:rPr>
                <w:rFonts w:cs="Wingdings"/>
                <w:szCs w:val="26"/>
              </w:rPr>
              <w:t>09/05/2016</w:t>
            </w:r>
          </w:p>
          <w:p w:rsidR="00140482" w:rsidRDefault="00140482" w:rsidP="00F02B56">
            <w:pPr>
              <w:rPr>
                <w:rFonts w:eastAsia="MS Mincho" w:cs="Times New Roman"/>
                <w:noProof/>
                <w:szCs w:val="32"/>
                <w:lang w:val="fr-FR"/>
              </w:rPr>
            </w:pPr>
          </w:p>
        </w:tc>
        <w:tc>
          <w:tcPr>
            <w:tcW w:w="2438" w:type="dxa"/>
            <w:tcBorders>
              <w:bottom w:val="single" w:sz="4" w:space="0" w:color="auto"/>
            </w:tcBorders>
          </w:tcPr>
          <w:p w:rsidR="00140482" w:rsidRDefault="0085743B" w:rsidP="00F02B56">
            <w:pPr>
              <w:jc w:val="center"/>
              <w:rPr>
                <w:rFonts w:ascii="Wingdings" w:hAnsi="Wingdings" w:cs="Wingdings"/>
                <w:sz w:val="26"/>
                <w:szCs w:val="26"/>
              </w:rPr>
            </w:pPr>
            <w:r>
              <w:rPr>
                <w:rFonts w:ascii="Wingdings" w:hAnsi="Wingdings" w:cs="Wingdings"/>
                <w:sz w:val="26"/>
                <w:szCs w:val="26"/>
              </w:rPr>
              <w:t></w:t>
            </w:r>
          </w:p>
          <w:p w:rsidR="00140482" w:rsidRPr="00785264" w:rsidRDefault="00140482" w:rsidP="00F02B56">
            <w:pPr>
              <w:jc w:val="center"/>
              <w:rPr>
                <w:rFonts w:cs="Wingdings"/>
                <w:szCs w:val="26"/>
              </w:rPr>
            </w:pPr>
            <w:r w:rsidRPr="00785264">
              <w:rPr>
                <w:rFonts w:cs="Wingdings"/>
                <w:szCs w:val="26"/>
              </w:rPr>
              <w:t xml:space="preserve">Date: </w:t>
            </w:r>
            <w:r>
              <w:rPr>
                <w:rFonts w:cs="Wingdings"/>
                <w:szCs w:val="26"/>
              </w:rPr>
              <w:t>12/09/2016</w:t>
            </w:r>
          </w:p>
        </w:tc>
        <w:tc>
          <w:tcPr>
            <w:tcW w:w="2438" w:type="dxa"/>
            <w:tcBorders>
              <w:bottom w:val="single" w:sz="4" w:space="0" w:color="auto"/>
            </w:tcBorders>
            <w:shd w:val="clear" w:color="auto" w:fill="FFFFFF" w:themeFill="background1"/>
          </w:tcPr>
          <w:p w:rsidR="00140482" w:rsidRDefault="00140482" w:rsidP="00F02B56">
            <w:pPr>
              <w:jc w:val="center"/>
              <w:rPr>
                <w:rFonts w:ascii="Wingdings" w:hAnsi="Wingdings" w:cs="Wingdings"/>
                <w:sz w:val="26"/>
                <w:szCs w:val="26"/>
              </w:rPr>
            </w:pPr>
            <w:r>
              <w:rPr>
                <w:rFonts w:ascii="Wingdings" w:hAnsi="Wingdings" w:cs="Wingdings"/>
                <w:sz w:val="26"/>
                <w:szCs w:val="26"/>
              </w:rPr>
              <w:t></w:t>
            </w:r>
          </w:p>
          <w:p w:rsidR="00140482" w:rsidRPr="00785264" w:rsidRDefault="00140482" w:rsidP="00F02B56">
            <w:pPr>
              <w:jc w:val="center"/>
              <w:rPr>
                <w:rFonts w:cs="Wingdings"/>
                <w:szCs w:val="26"/>
              </w:rPr>
            </w:pPr>
            <w:r w:rsidRPr="00785264">
              <w:rPr>
                <w:rFonts w:cs="Wingdings"/>
                <w:szCs w:val="26"/>
              </w:rPr>
              <w:t xml:space="preserve">Date: </w:t>
            </w:r>
            <w:r>
              <w:rPr>
                <w:rFonts w:cs="Wingdings"/>
                <w:szCs w:val="26"/>
              </w:rPr>
              <w:t>________</w:t>
            </w:r>
          </w:p>
        </w:tc>
      </w:tr>
    </w:tbl>
    <w:p w:rsidR="00BA6B0A" w:rsidRDefault="00BA6B0A" w:rsidP="00DD4496">
      <w:pPr>
        <w:spacing w:before="120" w:after="0" w:line="240" w:lineRule="auto"/>
        <w:rPr>
          <w:rFonts w:eastAsia="MS Mincho" w:cs="Times New Roman"/>
          <w:noProof/>
          <w:szCs w:val="32"/>
          <w:lang w:val="fr-FR"/>
        </w:rPr>
      </w:pPr>
    </w:p>
    <w:p w:rsidR="00DD4496" w:rsidRDefault="00DD4496" w:rsidP="00DD4496">
      <w:pPr>
        <w:spacing w:before="120" w:after="0" w:line="240" w:lineRule="auto"/>
        <w:rPr>
          <w:rFonts w:eastAsia="MS Mincho" w:cs="Times New Roman"/>
          <w:noProof/>
          <w:szCs w:val="32"/>
          <w:lang w:val="fr-FR"/>
        </w:rPr>
      </w:pPr>
    </w:p>
    <w:p w:rsidR="00DD4496" w:rsidRDefault="00DD4496">
      <w:pPr>
        <w:rPr>
          <w:rFonts w:eastAsia="MS Mincho" w:cs="Times New Roman"/>
          <w:noProof/>
          <w:szCs w:val="32"/>
          <w:lang w:val="fr-FR"/>
        </w:rPr>
      </w:pPr>
      <w:r>
        <w:rPr>
          <w:rFonts w:eastAsia="MS Mincho" w:cs="Times New Roman"/>
          <w:noProof/>
          <w:szCs w:val="32"/>
          <w:lang w:val="fr-FR"/>
        </w:rPr>
        <w:br w:type="page"/>
      </w:r>
    </w:p>
    <w:p w:rsidR="00DD4496" w:rsidRDefault="00DD4496" w:rsidP="00DD4496">
      <w:pPr>
        <w:spacing w:before="120" w:after="0" w:line="240" w:lineRule="auto"/>
        <w:rPr>
          <w:rFonts w:eastAsia="MS Mincho" w:cs="Times New Roman"/>
          <w:noProof/>
          <w:szCs w:val="32"/>
          <w:lang w:val="fr-FR"/>
        </w:rPr>
      </w:pPr>
    </w:p>
    <w:p w:rsidR="00DD4496" w:rsidRPr="00DD4496" w:rsidRDefault="00DD4496" w:rsidP="00DD4496">
      <w:pPr>
        <w:spacing w:before="120" w:after="0" w:line="240" w:lineRule="auto"/>
        <w:jc w:val="center"/>
        <w:rPr>
          <w:rFonts w:eastAsia="MS Mincho" w:cs="Times New Roman"/>
          <w:b/>
          <w:noProof/>
          <w:sz w:val="28"/>
          <w:szCs w:val="32"/>
          <w:lang w:val="fr-FR"/>
        </w:rPr>
      </w:pPr>
      <w:r w:rsidRPr="00DD4496">
        <w:rPr>
          <w:rFonts w:eastAsia="MS Mincho" w:cs="Times New Roman"/>
          <w:b/>
          <w:noProof/>
          <w:sz w:val="28"/>
          <w:szCs w:val="32"/>
          <w:lang w:val="fr-FR"/>
        </w:rPr>
        <w:t>APPENDIX</w:t>
      </w:r>
    </w:p>
    <w:p w:rsidR="00DD4496" w:rsidRDefault="00DD4496" w:rsidP="00DD4496">
      <w:pPr>
        <w:spacing w:before="120" w:after="0" w:line="240" w:lineRule="auto"/>
        <w:jc w:val="both"/>
        <w:rPr>
          <w:rFonts w:eastAsia="MS Mincho" w:cs="Times New Roman"/>
          <w:noProof/>
          <w:szCs w:val="32"/>
          <w:lang w:val="fr-FR"/>
        </w:rPr>
      </w:pPr>
    </w:p>
    <w:p w:rsidR="00DD4496" w:rsidRDefault="00DD4496" w:rsidP="00DD4496">
      <w:pPr>
        <w:spacing w:before="120" w:after="0" w:line="240" w:lineRule="auto"/>
        <w:jc w:val="both"/>
        <w:rPr>
          <w:rFonts w:eastAsia="MS Mincho" w:cs="Times New Roman"/>
          <w:noProof/>
          <w:szCs w:val="32"/>
        </w:rPr>
      </w:pPr>
      <w:r w:rsidRPr="00DD4496">
        <w:rPr>
          <w:rFonts w:eastAsia="MS Mincho" w:cs="Times New Roman"/>
          <w:noProof/>
          <w:szCs w:val="32"/>
        </w:rPr>
        <w:t>This appendix details the business rules applicable to securities finan</w:t>
      </w:r>
      <w:r w:rsidR="002304BF">
        <w:rPr>
          <w:rFonts w:eastAsia="MS Mincho" w:cs="Times New Roman"/>
          <w:noProof/>
          <w:szCs w:val="32"/>
        </w:rPr>
        <w:t>cing transactions and their imp</w:t>
      </w:r>
      <w:r w:rsidRPr="00DD4496">
        <w:rPr>
          <w:rFonts w:eastAsia="MS Mincho" w:cs="Times New Roman"/>
          <w:noProof/>
          <w:szCs w:val="32"/>
        </w:rPr>
        <w:t>a</w:t>
      </w:r>
      <w:r w:rsidR="002304BF">
        <w:rPr>
          <w:rFonts w:eastAsia="MS Mincho" w:cs="Times New Roman"/>
          <w:noProof/>
          <w:szCs w:val="32"/>
        </w:rPr>
        <w:t>c</w:t>
      </w:r>
      <w:r w:rsidRPr="00DD4496">
        <w:rPr>
          <w:rFonts w:eastAsia="MS Mincho" w:cs="Times New Roman"/>
          <w:noProof/>
          <w:szCs w:val="32"/>
        </w:rPr>
        <w:t xml:space="preserve">ts in terms </w:t>
      </w:r>
      <w:r>
        <w:rPr>
          <w:rFonts w:eastAsia="MS Mincho" w:cs="Times New Roman"/>
          <w:noProof/>
          <w:szCs w:val="32"/>
        </w:rPr>
        <w:t>of market claims.</w:t>
      </w:r>
    </w:p>
    <w:p w:rsidR="00DD4496" w:rsidRDefault="00DD4496" w:rsidP="00DD4496">
      <w:pPr>
        <w:spacing w:before="120" w:after="0" w:line="240" w:lineRule="auto"/>
        <w:jc w:val="both"/>
        <w:rPr>
          <w:rFonts w:eastAsia="MS Mincho" w:cs="Times New Roman"/>
          <w:noProof/>
          <w:szCs w:val="32"/>
        </w:rPr>
      </w:pPr>
    </w:p>
    <w:p w:rsidR="00DD4496" w:rsidRDefault="00DD4496" w:rsidP="00DD4496">
      <w:pPr>
        <w:pStyle w:val="ListParagraph"/>
        <w:numPr>
          <w:ilvl w:val="0"/>
          <w:numId w:val="15"/>
        </w:numPr>
        <w:spacing w:before="120" w:after="0" w:line="240" w:lineRule="auto"/>
        <w:jc w:val="both"/>
        <w:rPr>
          <w:rFonts w:eastAsia="MS Mincho" w:cs="Times New Roman"/>
          <w:noProof/>
          <w:szCs w:val="32"/>
        </w:rPr>
      </w:pPr>
      <w:r>
        <w:rPr>
          <w:rFonts w:eastAsia="MS Mincho" w:cs="Times New Roman"/>
          <w:noProof/>
          <w:szCs w:val="32"/>
        </w:rPr>
        <w:t>If the Input/Matching of the far leg occurs at the same time as the near leg, the detection of market claims is made during the term of the contract, until its settlement.</w:t>
      </w:r>
    </w:p>
    <w:p w:rsidR="00DD4496" w:rsidRDefault="00DD4496" w:rsidP="00DD4496">
      <w:pPr>
        <w:pStyle w:val="ListParagraph"/>
        <w:numPr>
          <w:ilvl w:val="1"/>
          <w:numId w:val="15"/>
        </w:numPr>
        <w:spacing w:before="120" w:after="0" w:line="240" w:lineRule="auto"/>
        <w:jc w:val="both"/>
        <w:rPr>
          <w:rFonts w:eastAsia="MS Mincho" w:cs="Times New Roman"/>
          <w:noProof/>
          <w:szCs w:val="32"/>
        </w:rPr>
      </w:pPr>
      <w:r>
        <w:rPr>
          <w:rFonts w:eastAsia="MS Mincho" w:cs="Times New Roman"/>
          <w:noProof/>
          <w:szCs w:val="32"/>
        </w:rPr>
        <w:t>To be noted that the simultaneous input is limited to far legs with a trade date = intended settlement date, with an intended settlement date less than 35 days ahead of reception of the instruction in Euroclear’s SLAB module.</w:t>
      </w:r>
    </w:p>
    <w:p w:rsidR="00DD4496" w:rsidRDefault="00DD4496" w:rsidP="00DD4496">
      <w:pPr>
        <w:pStyle w:val="ListParagraph"/>
        <w:numPr>
          <w:ilvl w:val="1"/>
          <w:numId w:val="15"/>
        </w:numPr>
        <w:spacing w:before="120" w:after="0" w:line="240" w:lineRule="auto"/>
        <w:jc w:val="both"/>
        <w:rPr>
          <w:rFonts w:eastAsia="MS Mincho" w:cs="Times New Roman"/>
          <w:noProof/>
          <w:szCs w:val="32"/>
        </w:rPr>
      </w:pPr>
      <w:r>
        <w:rPr>
          <w:rFonts w:eastAsia="MS Mincho" w:cs="Times New Roman"/>
          <w:noProof/>
          <w:szCs w:val="32"/>
        </w:rPr>
        <w:t>This solution is viable for securities financing transactions with a fixed rate or no remuneration.</w:t>
      </w:r>
    </w:p>
    <w:p w:rsidR="00DD4496" w:rsidRDefault="00DD4496" w:rsidP="00DD4496">
      <w:pPr>
        <w:pStyle w:val="ListParagraph"/>
        <w:numPr>
          <w:ilvl w:val="1"/>
          <w:numId w:val="15"/>
        </w:numPr>
        <w:spacing w:before="120" w:after="0" w:line="240" w:lineRule="auto"/>
        <w:jc w:val="both"/>
        <w:rPr>
          <w:rFonts w:eastAsia="MS Mincho" w:cs="Times New Roman"/>
          <w:noProof/>
          <w:szCs w:val="32"/>
        </w:rPr>
      </w:pPr>
      <w:r>
        <w:rPr>
          <w:rFonts w:eastAsia="MS Mincho" w:cs="Times New Roman"/>
          <w:noProof/>
          <w:szCs w:val="32"/>
        </w:rPr>
        <w:t xml:space="preserve">This solution is not efficient when the transactions present variable rates or when specific market claim detection rules rules exist (outside of the module). Notably in the case of detection rules on the anteriority of the ISD ahed of the Record Date (RD) and the posteriority of the Actual Settlement Date (ASD) </w:t>
      </w:r>
      <w:r w:rsidR="002304BF">
        <w:rPr>
          <w:rFonts w:eastAsia="MS Mincho" w:cs="Times New Roman"/>
          <w:noProof/>
          <w:szCs w:val="32"/>
        </w:rPr>
        <w:t xml:space="preserve">after </w:t>
      </w:r>
      <w:r>
        <w:rPr>
          <w:rFonts w:eastAsia="MS Mincho" w:cs="Times New Roman"/>
          <w:noProof/>
          <w:szCs w:val="32"/>
        </w:rPr>
        <w:t xml:space="preserve">the RD. This is applicable to the following </w:t>
      </w:r>
      <w:r w:rsidR="002304BF">
        <w:rPr>
          <w:rFonts w:eastAsia="MS Mincho" w:cs="Times New Roman"/>
          <w:noProof/>
          <w:szCs w:val="32"/>
        </w:rPr>
        <w:t xml:space="preserve">types of </w:t>
      </w:r>
      <w:r>
        <w:rPr>
          <w:rFonts w:eastAsia="MS Mincho" w:cs="Times New Roman"/>
          <w:noProof/>
          <w:szCs w:val="32"/>
        </w:rPr>
        <w:t>securities:</w:t>
      </w:r>
    </w:p>
    <w:p w:rsidR="00DD4496" w:rsidRDefault="00DD4496" w:rsidP="00DD4496">
      <w:pPr>
        <w:pStyle w:val="ListParagraph"/>
        <w:numPr>
          <w:ilvl w:val="2"/>
          <w:numId w:val="15"/>
        </w:numPr>
        <w:spacing w:before="120" w:after="0" w:line="240" w:lineRule="auto"/>
        <w:jc w:val="both"/>
        <w:rPr>
          <w:rFonts w:eastAsia="MS Mincho" w:cs="Times New Roman"/>
          <w:noProof/>
          <w:szCs w:val="32"/>
        </w:rPr>
      </w:pPr>
      <w:r>
        <w:rPr>
          <w:rFonts w:eastAsia="MS Mincho" w:cs="Times New Roman"/>
          <w:noProof/>
          <w:szCs w:val="32"/>
        </w:rPr>
        <w:t>Bonds in percentage, in Units, in FMT and not listed;</w:t>
      </w:r>
    </w:p>
    <w:p w:rsidR="00DD4496" w:rsidRPr="00DD4496" w:rsidRDefault="00DD4496" w:rsidP="00DD4496">
      <w:pPr>
        <w:pStyle w:val="ListParagraph"/>
        <w:numPr>
          <w:ilvl w:val="2"/>
          <w:numId w:val="15"/>
        </w:numPr>
        <w:spacing w:before="120" w:after="0" w:line="240" w:lineRule="auto"/>
        <w:jc w:val="both"/>
        <w:rPr>
          <w:rFonts w:eastAsia="MS Mincho" w:cs="Times New Roman"/>
          <w:noProof/>
          <w:szCs w:val="32"/>
        </w:rPr>
      </w:pPr>
      <w:r>
        <w:rPr>
          <w:rFonts w:eastAsia="MS Mincho" w:cs="Times New Roman"/>
          <w:noProof/>
          <w:szCs w:val="32"/>
        </w:rPr>
        <w:t>French money market instruments (‘TCN’), Treasury bills, Euro Certificates of Deposit.</w:t>
      </w:r>
    </w:p>
    <w:p w:rsidR="00DD4496" w:rsidRDefault="00DD4496" w:rsidP="00DD4496">
      <w:pPr>
        <w:pStyle w:val="ListParagraph"/>
        <w:numPr>
          <w:ilvl w:val="0"/>
          <w:numId w:val="15"/>
        </w:numPr>
        <w:spacing w:before="120" w:after="0" w:line="240" w:lineRule="auto"/>
        <w:ind w:left="714" w:hanging="357"/>
        <w:contextualSpacing w:val="0"/>
        <w:jc w:val="both"/>
        <w:rPr>
          <w:rFonts w:eastAsia="MS Mincho" w:cs="Times New Roman"/>
          <w:noProof/>
          <w:szCs w:val="32"/>
        </w:rPr>
      </w:pPr>
      <w:r>
        <w:rPr>
          <w:rFonts w:eastAsia="MS Mincho" w:cs="Times New Roman"/>
          <w:noProof/>
          <w:szCs w:val="32"/>
        </w:rPr>
        <w:t>More generally the timing on the Input/Matching of the near / far legs is separate, implying an input of the far leg at the maturity of the contract, with market claim detection rules constrained by rules applicable in Euroclear’s module.</w:t>
      </w:r>
    </w:p>
    <w:p w:rsidR="00DD4496" w:rsidRDefault="00DD4496" w:rsidP="00DD4496">
      <w:pPr>
        <w:pStyle w:val="ListParagraph"/>
        <w:numPr>
          <w:ilvl w:val="0"/>
          <w:numId w:val="15"/>
        </w:numPr>
        <w:spacing w:before="120" w:after="0" w:line="240" w:lineRule="auto"/>
        <w:ind w:left="714" w:hanging="357"/>
        <w:contextualSpacing w:val="0"/>
        <w:jc w:val="both"/>
        <w:rPr>
          <w:rFonts w:eastAsia="MS Mincho" w:cs="Times New Roman"/>
          <w:noProof/>
          <w:szCs w:val="32"/>
        </w:rPr>
      </w:pPr>
      <w:r>
        <w:rPr>
          <w:rFonts w:eastAsia="MS Mincho" w:cs="Times New Roman"/>
          <w:noProof/>
          <w:szCs w:val="32"/>
        </w:rPr>
        <w:t>The following table shows the various use cases for automatic detection of market claims</w:t>
      </w:r>
      <w:r w:rsidR="00F02B56">
        <w:rPr>
          <w:rFonts w:eastAsia="MS Mincho" w:cs="Times New Roman"/>
          <w:noProof/>
          <w:szCs w:val="32"/>
        </w:rPr>
        <w:t xml:space="preserve"> depending on the date of the far leg of the securities financing transaction.</w:t>
      </w:r>
    </w:p>
    <w:p w:rsidR="00F02B56" w:rsidRDefault="00F02B56" w:rsidP="00F02B56">
      <w:pPr>
        <w:spacing w:before="120" w:after="0" w:line="240" w:lineRule="auto"/>
        <w:jc w:val="both"/>
        <w:rPr>
          <w:rFonts w:eastAsia="MS Mincho" w:cs="Times New Roman"/>
          <w:noProof/>
          <w:szCs w:val="32"/>
        </w:rPr>
      </w:pPr>
    </w:p>
    <w:tbl>
      <w:tblPr>
        <w:tblStyle w:val="TableGrid"/>
        <w:tblW w:w="9464" w:type="dxa"/>
        <w:tblLook w:val="04A0" w:firstRow="1" w:lastRow="0" w:firstColumn="1" w:lastColumn="0" w:noHBand="0" w:noVBand="1"/>
      </w:tblPr>
      <w:tblGrid>
        <w:gridCol w:w="1753"/>
        <w:gridCol w:w="1091"/>
        <w:gridCol w:w="167"/>
        <w:gridCol w:w="831"/>
        <w:gridCol w:w="585"/>
        <w:gridCol w:w="371"/>
        <w:gridCol w:w="615"/>
        <w:gridCol w:w="625"/>
        <w:gridCol w:w="1475"/>
        <w:gridCol w:w="1951"/>
      </w:tblGrid>
      <w:tr w:rsidR="00F02B56" w:rsidRPr="00F02B56" w:rsidTr="00F02B56">
        <w:tc>
          <w:tcPr>
            <w:tcW w:w="9464" w:type="dxa"/>
            <w:gridSpan w:val="10"/>
            <w:shd w:val="clear" w:color="auto" w:fill="C6D9F1" w:themeFill="text2" w:themeFillTint="33"/>
          </w:tcPr>
          <w:p w:rsidR="00F02B56" w:rsidRPr="003422E2" w:rsidRDefault="00F02B56" w:rsidP="00F02B56">
            <w:pPr>
              <w:jc w:val="center"/>
              <w:rPr>
                <w:rFonts w:eastAsia="MS Mincho" w:cs="Times New Roman"/>
                <w:b/>
                <w:noProof/>
                <w:sz w:val="18"/>
                <w:szCs w:val="18"/>
              </w:rPr>
            </w:pPr>
            <w:r w:rsidRPr="003422E2">
              <w:rPr>
                <w:rFonts w:eastAsia="MS Mincho" w:cs="Times New Roman"/>
                <w:b/>
                <w:noProof/>
                <w:sz w:val="18"/>
                <w:szCs w:val="18"/>
              </w:rPr>
              <w:t>Securities financing transaction with a maturity before the migration to T2S</w:t>
            </w:r>
          </w:p>
          <w:p w:rsidR="00F02B56" w:rsidRPr="003422E2" w:rsidRDefault="00F02B56" w:rsidP="00F02B56">
            <w:pPr>
              <w:jc w:val="center"/>
              <w:rPr>
                <w:rFonts w:eastAsia="MS Mincho" w:cs="Times New Roman"/>
                <w:b/>
                <w:noProof/>
                <w:sz w:val="18"/>
                <w:szCs w:val="18"/>
              </w:rPr>
            </w:pPr>
            <w:r w:rsidRPr="003422E2">
              <w:rPr>
                <w:rFonts w:eastAsia="MS Mincho" w:cs="Times New Roman"/>
                <w:b/>
                <w:noProof/>
                <w:sz w:val="18"/>
                <w:szCs w:val="18"/>
              </w:rPr>
              <w:t>without neutralization of the market claim in ESES</w:t>
            </w:r>
          </w:p>
          <w:p w:rsidR="00F02B56" w:rsidRPr="00F02B56" w:rsidRDefault="00F02B56" w:rsidP="00F02B56">
            <w:pPr>
              <w:jc w:val="center"/>
              <w:rPr>
                <w:rFonts w:eastAsia="MS Mincho" w:cs="Times New Roman"/>
                <w:b/>
                <w:noProof/>
                <w:sz w:val="18"/>
                <w:szCs w:val="18"/>
              </w:rPr>
            </w:pPr>
            <w:r w:rsidRPr="00F02B56">
              <w:rPr>
                <w:rFonts w:eastAsia="MS Mincho" w:cs="Times New Roman"/>
                <w:b/>
                <w:noProof/>
                <w:sz w:val="18"/>
                <w:szCs w:val="18"/>
              </w:rPr>
              <w:t>from May 9th, 2016 to the</w:t>
            </w:r>
            <w:r w:rsidR="002304BF">
              <w:rPr>
                <w:rFonts w:eastAsia="MS Mincho" w:cs="Times New Roman"/>
                <w:b/>
                <w:noProof/>
                <w:sz w:val="18"/>
                <w:szCs w:val="18"/>
              </w:rPr>
              <w:t xml:space="preserve"> last business day before the m</w:t>
            </w:r>
            <w:r w:rsidRPr="00F02B56">
              <w:rPr>
                <w:rFonts w:eastAsia="MS Mincho" w:cs="Times New Roman"/>
                <w:b/>
                <w:noProof/>
                <w:sz w:val="18"/>
                <w:szCs w:val="18"/>
              </w:rPr>
              <w:t>i</w:t>
            </w:r>
            <w:r w:rsidR="002304BF">
              <w:rPr>
                <w:rFonts w:eastAsia="MS Mincho" w:cs="Times New Roman"/>
                <w:b/>
                <w:noProof/>
                <w:sz w:val="18"/>
                <w:szCs w:val="18"/>
              </w:rPr>
              <w:t>g</w:t>
            </w:r>
            <w:r w:rsidRPr="00F02B56">
              <w:rPr>
                <w:rFonts w:eastAsia="MS Mincho" w:cs="Times New Roman"/>
                <w:b/>
                <w:noProof/>
                <w:sz w:val="18"/>
                <w:szCs w:val="18"/>
              </w:rPr>
              <w:t>ration to T2S</w:t>
            </w:r>
          </w:p>
        </w:tc>
      </w:tr>
      <w:tr w:rsidR="00F02B56" w:rsidRPr="00F02B56" w:rsidTr="00F02B56">
        <w:tc>
          <w:tcPr>
            <w:tcW w:w="9464" w:type="dxa"/>
            <w:gridSpan w:val="10"/>
          </w:tcPr>
          <w:p w:rsidR="00F02B56" w:rsidRPr="00F02B56" w:rsidRDefault="00F02B56" w:rsidP="00F02B56">
            <w:pPr>
              <w:jc w:val="both"/>
              <w:rPr>
                <w:rFonts w:eastAsia="MS Mincho" w:cs="Times New Roman"/>
                <w:b/>
                <w:noProof/>
                <w:sz w:val="18"/>
                <w:szCs w:val="18"/>
              </w:rPr>
            </w:pPr>
            <w:r w:rsidRPr="00F02B56">
              <w:rPr>
                <w:rFonts w:eastAsia="MS Mincho" w:cs="Times New Roman"/>
                <w:b/>
                <w:noProof/>
                <w:sz w:val="18"/>
                <w:szCs w:val="18"/>
              </w:rPr>
              <w:t xml:space="preserve">As a </w:t>
            </w:r>
            <w:r>
              <w:rPr>
                <w:rFonts w:eastAsia="MS Mincho" w:cs="Times New Roman"/>
                <w:b/>
                <w:noProof/>
                <w:sz w:val="18"/>
                <w:szCs w:val="18"/>
              </w:rPr>
              <w:t>reminder,</w:t>
            </w:r>
            <w:r w:rsidRPr="00F02B56">
              <w:rPr>
                <w:rFonts w:eastAsia="MS Mincho" w:cs="Times New Roman"/>
                <w:b/>
                <w:noProof/>
                <w:sz w:val="18"/>
                <w:szCs w:val="18"/>
              </w:rPr>
              <w:t xml:space="preserve"> in ESES currently: </w:t>
            </w:r>
          </w:p>
          <w:p w:rsidR="00F02B56" w:rsidRPr="00F02B56" w:rsidRDefault="00F02B56" w:rsidP="00F02B56">
            <w:pPr>
              <w:pStyle w:val="ListParagraph"/>
              <w:numPr>
                <w:ilvl w:val="0"/>
                <w:numId w:val="16"/>
              </w:numPr>
              <w:jc w:val="both"/>
              <w:rPr>
                <w:rFonts w:eastAsia="MS Mincho" w:cs="Times New Roman"/>
                <w:b/>
                <w:noProof/>
                <w:sz w:val="18"/>
                <w:szCs w:val="18"/>
              </w:rPr>
            </w:pPr>
            <w:r w:rsidRPr="00F02B56">
              <w:rPr>
                <w:rFonts w:eastAsia="MS Mincho" w:cs="Times New Roman"/>
                <w:b/>
                <w:noProof/>
                <w:sz w:val="18"/>
                <w:szCs w:val="18"/>
              </w:rPr>
              <w:t xml:space="preserve">The ISD (Intended settlement date) cannot be posterior to the TD by more than 35 </w:t>
            </w:r>
            <w:r>
              <w:rPr>
                <w:rFonts w:eastAsia="MS Mincho" w:cs="Times New Roman"/>
                <w:b/>
                <w:noProof/>
                <w:sz w:val="18"/>
                <w:szCs w:val="18"/>
              </w:rPr>
              <w:t xml:space="preserve">days </w:t>
            </w:r>
          </w:p>
          <w:p w:rsidR="00F02B56" w:rsidRPr="00F02B56" w:rsidRDefault="00F02B56" w:rsidP="00F02B56">
            <w:pPr>
              <w:pStyle w:val="ListParagraph"/>
              <w:numPr>
                <w:ilvl w:val="0"/>
                <w:numId w:val="16"/>
              </w:numPr>
              <w:jc w:val="both"/>
              <w:rPr>
                <w:rFonts w:eastAsia="MS Mincho" w:cs="Times New Roman"/>
                <w:b/>
                <w:noProof/>
                <w:sz w:val="18"/>
                <w:szCs w:val="18"/>
              </w:rPr>
            </w:pPr>
            <w:r w:rsidRPr="00F02B56">
              <w:rPr>
                <w:rFonts w:eastAsia="MS Mincho" w:cs="Times New Roman"/>
                <w:b/>
                <w:noProof/>
                <w:sz w:val="18"/>
                <w:szCs w:val="18"/>
              </w:rPr>
              <w:t>The detection of market claims occurs maximum 45</w:t>
            </w:r>
            <w:r w:rsidR="002304BF">
              <w:rPr>
                <w:rFonts w:eastAsia="MS Mincho" w:cs="Times New Roman"/>
                <w:b/>
                <w:noProof/>
                <w:sz w:val="18"/>
                <w:szCs w:val="18"/>
              </w:rPr>
              <w:t xml:space="preserve"> </w:t>
            </w:r>
            <w:r w:rsidRPr="00F02B56">
              <w:rPr>
                <w:rFonts w:eastAsia="MS Mincho" w:cs="Times New Roman"/>
                <w:b/>
                <w:noProof/>
                <w:sz w:val="18"/>
                <w:szCs w:val="18"/>
              </w:rPr>
              <w:t>days after the RD (Record date)</w:t>
            </w:r>
          </w:p>
        </w:tc>
      </w:tr>
      <w:tr w:rsidR="00F02B56" w:rsidRPr="00F02B56" w:rsidTr="00F02B56">
        <w:tc>
          <w:tcPr>
            <w:tcW w:w="9464" w:type="dxa"/>
            <w:gridSpan w:val="10"/>
          </w:tcPr>
          <w:p w:rsidR="00F02B56" w:rsidRPr="00F02B56" w:rsidRDefault="00F02B56" w:rsidP="00F02B56">
            <w:pPr>
              <w:jc w:val="both"/>
              <w:rPr>
                <w:rFonts w:eastAsia="MS Mincho" w:cs="Times New Roman"/>
                <w:b/>
                <w:noProof/>
                <w:sz w:val="18"/>
                <w:szCs w:val="18"/>
              </w:rPr>
            </w:pPr>
            <w:r w:rsidRPr="00F02B56">
              <w:rPr>
                <w:rFonts w:eastAsia="MS Mincho" w:cs="Times New Roman"/>
                <w:b/>
                <w:noProof/>
                <w:sz w:val="18"/>
                <w:szCs w:val="18"/>
              </w:rPr>
              <w:t xml:space="preserve">The near leg cannot have a trade date equal to the original trade date of the contract if the latter is more than 35 days ahead of the ISD. </w:t>
            </w:r>
          </w:p>
        </w:tc>
      </w:tr>
      <w:tr w:rsidR="002606C1" w:rsidRPr="00A54277" w:rsidTr="00F02B56">
        <w:tc>
          <w:tcPr>
            <w:tcW w:w="1666" w:type="dxa"/>
            <w:vMerge w:val="restart"/>
            <w:vAlign w:val="center"/>
          </w:tcPr>
          <w:p w:rsidR="00F02B56" w:rsidRPr="00F02B56" w:rsidRDefault="00F02B56" w:rsidP="00F02B56">
            <w:pPr>
              <w:jc w:val="center"/>
              <w:rPr>
                <w:rFonts w:eastAsia="MS Mincho" w:cs="Times New Roman"/>
                <w:b/>
                <w:noProof/>
                <w:sz w:val="18"/>
                <w:szCs w:val="18"/>
              </w:rPr>
            </w:pPr>
            <w:r w:rsidRPr="00F02B56">
              <w:rPr>
                <w:rFonts w:eastAsia="MS Mincho" w:cs="Times New Roman"/>
                <w:b/>
                <w:noProof/>
                <w:sz w:val="18"/>
                <w:szCs w:val="18"/>
              </w:rPr>
              <w:t>Input in ‘Slab’ module Buy/Sell</w:t>
            </w:r>
          </w:p>
        </w:tc>
        <w:tc>
          <w:tcPr>
            <w:tcW w:w="1110" w:type="dxa"/>
            <w:vMerge w:val="restart"/>
            <w:vAlign w:val="center"/>
          </w:tcPr>
          <w:p w:rsidR="00F02B56" w:rsidRPr="00A54277" w:rsidRDefault="00F02B56" w:rsidP="00F02B56">
            <w:pPr>
              <w:jc w:val="center"/>
              <w:rPr>
                <w:rFonts w:eastAsia="MS Mincho" w:cs="Times New Roman"/>
                <w:b/>
                <w:noProof/>
                <w:sz w:val="18"/>
                <w:szCs w:val="18"/>
                <w:lang w:val="fr-FR"/>
              </w:rPr>
            </w:pPr>
            <w:r>
              <w:rPr>
                <w:rFonts w:eastAsia="MS Mincho" w:cs="Times New Roman"/>
                <w:b/>
                <w:noProof/>
                <w:sz w:val="18"/>
                <w:szCs w:val="18"/>
                <w:lang w:val="fr-FR"/>
              </w:rPr>
              <w:t>Near leg</w:t>
            </w:r>
          </w:p>
        </w:tc>
        <w:tc>
          <w:tcPr>
            <w:tcW w:w="1000" w:type="dxa"/>
            <w:gridSpan w:val="2"/>
          </w:tcPr>
          <w:p w:rsidR="00F02B56" w:rsidRPr="00A54277" w:rsidRDefault="00F02B56" w:rsidP="00F02B56">
            <w:pPr>
              <w:jc w:val="center"/>
              <w:rPr>
                <w:rFonts w:eastAsia="MS Mincho" w:cs="Times New Roman"/>
                <w:b/>
                <w:noProof/>
                <w:sz w:val="18"/>
                <w:szCs w:val="18"/>
                <w:lang w:val="fr-FR"/>
              </w:rPr>
            </w:pPr>
            <w:r>
              <w:rPr>
                <w:rFonts w:eastAsia="MS Mincho" w:cs="Times New Roman"/>
                <w:b/>
                <w:noProof/>
                <w:sz w:val="18"/>
                <w:szCs w:val="18"/>
                <w:lang w:val="fr-FR"/>
              </w:rPr>
              <w:t>Debt securities</w:t>
            </w:r>
          </w:p>
        </w:tc>
        <w:tc>
          <w:tcPr>
            <w:tcW w:w="959" w:type="dxa"/>
            <w:gridSpan w:val="2"/>
          </w:tcPr>
          <w:p w:rsidR="00F02B56" w:rsidRPr="00A54277" w:rsidRDefault="00F02B56" w:rsidP="00F02B56">
            <w:pPr>
              <w:jc w:val="center"/>
              <w:rPr>
                <w:rFonts w:eastAsia="MS Mincho" w:cs="Times New Roman"/>
                <w:b/>
                <w:noProof/>
                <w:sz w:val="18"/>
                <w:szCs w:val="18"/>
                <w:lang w:val="fr-FR"/>
              </w:rPr>
            </w:pPr>
            <w:r w:rsidRPr="00A54277">
              <w:rPr>
                <w:rFonts w:eastAsia="MS Mincho" w:cs="Times New Roman"/>
                <w:b/>
                <w:noProof/>
                <w:sz w:val="18"/>
                <w:szCs w:val="18"/>
                <w:lang w:val="fr-FR"/>
              </w:rPr>
              <w:t>Market claim</w:t>
            </w:r>
          </w:p>
        </w:tc>
        <w:tc>
          <w:tcPr>
            <w:tcW w:w="1243" w:type="dxa"/>
            <w:gridSpan w:val="2"/>
          </w:tcPr>
          <w:p w:rsidR="00F02B56" w:rsidRPr="00F02B56" w:rsidRDefault="00F02B56" w:rsidP="00F02B56">
            <w:pPr>
              <w:jc w:val="center"/>
              <w:rPr>
                <w:rFonts w:eastAsia="MS Mincho" w:cs="Times New Roman"/>
                <w:b/>
                <w:noProof/>
                <w:sz w:val="18"/>
                <w:szCs w:val="18"/>
              </w:rPr>
            </w:pPr>
            <w:r w:rsidRPr="00F02B56">
              <w:rPr>
                <w:rFonts w:eastAsia="MS Mincho" w:cs="Times New Roman"/>
                <w:b/>
                <w:noProof/>
                <w:sz w:val="18"/>
                <w:szCs w:val="18"/>
              </w:rPr>
              <w:t>Market claim in favor of the buyer</w:t>
            </w:r>
          </w:p>
        </w:tc>
        <w:tc>
          <w:tcPr>
            <w:tcW w:w="3486" w:type="dxa"/>
            <w:gridSpan w:val="2"/>
          </w:tcPr>
          <w:p w:rsidR="00F02B56" w:rsidRPr="00A54277" w:rsidRDefault="00F02B56" w:rsidP="00F02B56">
            <w:pPr>
              <w:jc w:val="center"/>
              <w:rPr>
                <w:rFonts w:eastAsia="MS Mincho" w:cs="Times New Roman"/>
                <w:b/>
                <w:noProof/>
                <w:sz w:val="18"/>
                <w:szCs w:val="18"/>
                <w:lang w:val="fr-FR"/>
              </w:rPr>
            </w:pPr>
            <w:r>
              <w:rPr>
                <w:rFonts w:eastAsia="MS Mincho" w:cs="Times New Roman"/>
                <w:b/>
                <w:noProof/>
                <w:sz w:val="18"/>
                <w:szCs w:val="18"/>
                <w:lang w:val="fr-FR"/>
              </w:rPr>
              <w:t>if</w:t>
            </w:r>
            <w:r w:rsidRPr="00A54277">
              <w:rPr>
                <w:rFonts w:eastAsia="MS Mincho" w:cs="Times New Roman"/>
                <w:b/>
                <w:noProof/>
                <w:sz w:val="18"/>
                <w:szCs w:val="18"/>
                <w:lang w:val="fr-FR"/>
              </w:rPr>
              <w:t xml:space="preserve"> ASD &gt; ISD</w:t>
            </w:r>
          </w:p>
        </w:tc>
      </w:tr>
      <w:tr w:rsidR="002606C1" w:rsidRPr="00F02B56" w:rsidTr="00F02B56">
        <w:tc>
          <w:tcPr>
            <w:tcW w:w="1666" w:type="dxa"/>
            <w:vMerge/>
          </w:tcPr>
          <w:p w:rsidR="00F02B56" w:rsidRPr="00A54277" w:rsidRDefault="00F02B56" w:rsidP="00F02B56">
            <w:pPr>
              <w:jc w:val="center"/>
              <w:rPr>
                <w:rFonts w:eastAsia="MS Mincho" w:cs="Times New Roman"/>
                <w:b/>
                <w:noProof/>
                <w:sz w:val="18"/>
                <w:szCs w:val="18"/>
                <w:lang w:val="fr-FR"/>
              </w:rPr>
            </w:pPr>
          </w:p>
        </w:tc>
        <w:tc>
          <w:tcPr>
            <w:tcW w:w="1110" w:type="dxa"/>
            <w:vMerge/>
          </w:tcPr>
          <w:p w:rsidR="00F02B56" w:rsidRPr="00A54277" w:rsidRDefault="00F02B56" w:rsidP="00F02B56">
            <w:pPr>
              <w:jc w:val="center"/>
              <w:rPr>
                <w:rFonts w:eastAsia="MS Mincho" w:cs="Times New Roman"/>
                <w:b/>
                <w:noProof/>
                <w:sz w:val="18"/>
                <w:szCs w:val="18"/>
                <w:lang w:val="fr-FR"/>
              </w:rPr>
            </w:pPr>
          </w:p>
        </w:tc>
        <w:tc>
          <w:tcPr>
            <w:tcW w:w="1000" w:type="dxa"/>
            <w:gridSpan w:val="2"/>
            <w:vMerge w:val="restart"/>
            <w:vAlign w:val="center"/>
          </w:tcPr>
          <w:p w:rsidR="00F02B56" w:rsidRPr="00A54277" w:rsidRDefault="00F02B56" w:rsidP="00F02B56">
            <w:pPr>
              <w:jc w:val="center"/>
              <w:rPr>
                <w:rFonts w:eastAsia="MS Mincho" w:cs="Times New Roman"/>
                <w:b/>
                <w:noProof/>
                <w:sz w:val="18"/>
                <w:szCs w:val="18"/>
                <w:lang w:val="fr-FR"/>
              </w:rPr>
            </w:pPr>
            <w:r>
              <w:rPr>
                <w:rFonts w:eastAsia="MS Mincho" w:cs="Times New Roman"/>
                <w:b/>
                <w:noProof/>
                <w:sz w:val="18"/>
                <w:szCs w:val="18"/>
                <w:lang w:val="fr-FR"/>
              </w:rPr>
              <w:t>Capital securities</w:t>
            </w:r>
          </w:p>
        </w:tc>
        <w:tc>
          <w:tcPr>
            <w:tcW w:w="959" w:type="dxa"/>
            <w:gridSpan w:val="2"/>
          </w:tcPr>
          <w:p w:rsidR="00F02B56" w:rsidRPr="00A54277" w:rsidRDefault="00F02B56" w:rsidP="00F02B56">
            <w:pPr>
              <w:jc w:val="center"/>
              <w:rPr>
                <w:rFonts w:eastAsia="MS Mincho" w:cs="Times New Roman"/>
                <w:b/>
                <w:noProof/>
                <w:sz w:val="18"/>
                <w:szCs w:val="18"/>
                <w:lang w:val="fr-FR"/>
              </w:rPr>
            </w:pPr>
            <w:r w:rsidRPr="00A54277">
              <w:rPr>
                <w:rFonts w:eastAsia="MS Mincho" w:cs="Times New Roman"/>
                <w:b/>
                <w:noProof/>
                <w:sz w:val="18"/>
                <w:szCs w:val="18"/>
                <w:lang w:val="fr-FR"/>
              </w:rPr>
              <w:t>Market claim</w:t>
            </w:r>
          </w:p>
        </w:tc>
        <w:tc>
          <w:tcPr>
            <w:tcW w:w="1243" w:type="dxa"/>
            <w:gridSpan w:val="2"/>
          </w:tcPr>
          <w:p w:rsidR="00F02B56" w:rsidRPr="00F02B56" w:rsidRDefault="00F02B56" w:rsidP="00F02B56">
            <w:pPr>
              <w:jc w:val="center"/>
              <w:rPr>
                <w:rFonts w:eastAsia="MS Mincho" w:cs="Times New Roman"/>
                <w:b/>
                <w:noProof/>
                <w:sz w:val="18"/>
                <w:szCs w:val="18"/>
              </w:rPr>
            </w:pPr>
            <w:r w:rsidRPr="00F02B56">
              <w:rPr>
                <w:rFonts w:eastAsia="MS Mincho" w:cs="Times New Roman"/>
                <w:b/>
                <w:noProof/>
                <w:sz w:val="18"/>
                <w:szCs w:val="18"/>
              </w:rPr>
              <w:t>Market claim in favor of the buyer</w:t>
            </w:r>
          </w:p>
        </w:tc>
        <w:tc>
          <w:tcPr>
            <w:tcW w:w="3486" w:type="dxa"/>
            <w:gridSpan w:val="2"/>
          </w:tcPr>
          <w:p w:rsidR="00F02B56" w:rsidRPr="00F02B56" w:rsidRDefault="00F02B56" w:rsidP="00F02B56">
            <w:pPr>
              <w:jc w:val="center"/>
              <w:rPr>
                <w:rFonts w:eastAsia="MS Mincho" w:cs="Times New Roman"/>
                <w:b/>
                <w:noProof/>
                <w:sz w:val="18"/>
                <w:szCs w:val="18"/>
              </w:rPr>
            </w:pPr>
            <w:r w:rsidRPr="00F02B56">
              <w:rPr>
                <w:rFonts w:eastAsia="MS Mincho" w:cs="Times New Roman"/>
                <w:b/>
                <w:noProof/>
                <w:sz w:val="18"/>
                <w:szCs w:val="18"/>
              </w:rPr>
              <w:t>If TD &lt; EX date and ISD &gt; RD</w:t>
            </w:r>
          </w:p>
        </w:tc>
      </w:tr>
      <w:tr w:rsidR="002606C1" w:rsidRPr="00F02B56" w:rsidTr="00F02B56">
        <w:tc>
          <w:tcPr>
            <w:tcW w:w="1666" w:type="dxa"/>
            <w:vMerge/>
          </w:tcPr>
          <w:p w:rsidR="00F02B56" w:rsidRPr="00F02B56" w:rsidRDefault="00F02B56" w:rsidP="00F02B56">
            <w:pPr>
              <w:jc w:val="center"/>
              <w:rPr>
                <w:rFonts w:eastAsia="MS Mincho" w:cs="Times New Roman"/>
                <w:b/>
                <w:noProof/>
                <w:sz w:val="18"/>
                <w:szCs w:val="18"/>
              </w:rPr>
            </w:pPr>
          </w:p>
        </w:tc>
        <w:tc>
          <w:tcPr>
            <w:tcW w:w="1110" w:type="dxa"/>
            <w:vMerge/>
          </w:tcPr>
          <w:p w:rsidR="00F02B56" w:rsidRPr="00F02B56" w:rsidRDefault="00F02B56" w:rsidP="00F02B56">
            <w:pPr>
              <w:jc w:val="center"/>
              <w:rPr>
                <w:rFonts w:eastAsia="MS Mincho" w:cs="Times New Roman"/>
                <w:b/>
                <w:noProof/>
                <w:sz w:val="18"/>
                <w:szCs w:val="18"/>
              </w:rPr>
            </w:pPr>
          </w:p>
        </w:tc>
        <w:tc>
          <w:tcPr>
            <w:tcW w:w="1000" w:type="dxa"/>
            <w:gridSpan w:val="2"/>
            <w:vMerge/>
          </w:tcPr>
          <w:p w:rsidR="00F02B56" w:rsidRPr="00F02B56" w:rsidRDefault="00F02B56" w:rsidP="00F02B56">
            <w:pPr>
              <w:jc w:val="center"/>
              <w:rPr>
                <w:rFonts w:eastAsia="MS Mincho" w:cs="Times New Roman"/>
                <w:b/>
                <w:noProof/>
                <w:sz w:val="18"/>
                <w:szCs w:val="18"/>
              </w:rPr>
            </w:pPr>
          </w:p>
        </w:tc>
        <w:tc>
          <w:tcPr>
            <w:tcW w:w="959" w:type="dxa"/>
            <w:gridSpan w:val="2"/>
          </w:tcPr>
          <w:p w:rsidR="00F02B56" w:rsidRPr="00A54277" w:rsidRDefault="00F02B56" w:rsidP="00F02B56">
            <w:pPr>
              <w:jc w:val="center"/>
              <w:rPr>
                <w:rFonts w:eastAsia="MS Mincho" w:cs="Times New Roman"/>
                <w:b/>
                <w:noProof/>
                <w:sz w:val="18"/>
                <w:szCs w:val="18"/>
                <w:lang w:val="fr-FR"/>
              </w:rPr>
            </w:pPr>
            <w:r w:rsidRPr="00A54277">
              <w:rPr>
                <w:rFonts w:eastAsia="MS Mincho" w:cs="Times New Roman"/>
                <w:b/>
                <w:noProof/>
                <w:sz w:val="18"/>
                <w:szCs w:val="18"/>
                <w:lang w:val="fr-FR"/>
              </w:rPr>
              <w:t>Reverse Claim</w:t>
            </w:r>
          </w:p>
        </w:tc>
        <w:tc>
          <w:tcPr>
            <w:tcW w:w="1243" w:type="dxa"/>
            <w:gridSpan w:val="2"/>
          </w:tcPr>
          <w:p w:rsidR="00F02B56" w:rsidRPr="00F02B56" w:rsidRDefault="00F02B56" w:rsidP="00F02B56">
            <w:pPr>
              <w:jc w:val="center"/>
              <w:rPr>
                <w:rFonts w:eastAsia="MS Mincho" w:cs="Times New Roman"/>
                <w:b/>
                <w:noProof/>
                <w:sz w:val="18"/>
                <w:szCs w:val="18"/>
              </w:rPr>
            </w:pPr>
            <w:r w:rsidRPr="00F02B56">
              <w:rPr>
                <w:rFonts w:eastAsia="MS Mincho" w:cs="Times New Roman"/>
                <w:b/>
                <w:noProof/>
                <w:sz w:val="18"/>
                <w:szCs w:val="18"/>
              </w:rPr>
              <w:t xml:space="preserve">Market claim in favor of the </w:t>
            </w:r>
            <w:r>
              <w:rPr>
                <w:rFonts w:eastAsia="MS Mincho" w:cs="Times New Roman"/>
                <w:b/>
                <w:noProof/>
                <w:sz w:val="18"/>
                <w:szCs w:val="18"/>
              </w:rPr>
              <w:t>seller</w:t>
            </w:r>
          </w:p>
        </w:tc>
        <w:tc>
          <w:tcPr>
            <w:tcW w:w="3486" w:type="dxa"/>
            <w:gridSpan w:val="2"/>
          </w:tcPr>
          <w:p w:rsidR="00F02B56" w:rsidRPr="00F02B56" w:rsidRDefault="00F02B56" w:rsidP="00F02B56">
            <w:pPr>
              <w:jc w:val="center"/>
              <w:rPr>
                <w:rFonts w:eastAsia="MS Mincho" w:cs="Times New Roman"/>
                <w:b/>
                <w:noProof/>
                <w:sz w:val="18"/>
                <w:szCs w:val="18"/>
              </w:rPr>
            </w:pPr>
            <w:r w:rsidRPr="00F02B56">
              <w:rPr>
                <w:rFonts w:eastAsia="MS Mincho" w:cs="Times New Roman"/>
                <w:b/>
                <w:noProof/>
                <w:sz w:val="18"/>
                <w:szCs w:val="18"/>
              </w:rPr>
              <w:t>If TD &gt; Ex date and &lt;= Record date</w:t>
            </w:r>
          </w:p>
        </w:tc>
      </w:tr>
      <w:tr w:rsidR="00F02B56" w:rsidRPr="002606C1" w:rsidTr="00F02B56">
        <w:tc>
          <w:tcPr>
            <w:tcW w:w="9464" w:type="dxa"/>
            <w:gridSpan w:val="10"/>
          </w:tcPr>
          <w:p w:rsidR="00F02B56" w:rsidRPr="002606C1" w:rsidRDefault="00F02B56" w:rsidP="00F02B56">
            <w:pPr>
              <w:jc w:val="both"/>
              <w:rPr>
                <w:rFonts w:eastAsia="MS Mincho" w:cs="Times New Roman"/>
                <w:b/>
                <w:noProof/>
                <w:sz w:val="18"/>
                <w:szCs w:val="18"/>
              </w:rPr>
            </w:pPr>
            <w:r w:rsidRPr="00F02B56">
              <w:rPr>
                <w:rFonts w:eastAsia="MS Mincho" w:cs="Times New Roman"/>
                <w:b/>
                <w:noProof/>
                <w:sz w:val="18"/>
                <w:szCs w:val="18"/>
              </w:rPr>
              <w:t xml:space="preserve">The far leg cannot have a trade date equal to the original trade date of the negotiation, or to the intended settlement date </w:t>
            </w:r>
            <w:r w:rsidRPr="00F02B56">
              <w:rPr>
                <w:rFonts w:eastAsia="MS Mincho" w:cs="Times New Roman"/>
                <w:b/>
                <w:noProof/>
                <w:sz w:val="18"/>
                <w:szCs w:val="18"/>
              </w:rPr>
              <w:lastRenderedPageBreak/>
              <w:t xml:space="preserve">if the latter is more than 35 days ahead of the ISD. </w:t>
            </w:r>
            <w:r w:rsidRPr="002606C1">
              <w:rPr>
                <w:rFonts w:eastAsia="MS Mincho" w:cs="Times New Roman"/>
                <w:b/>
                <w:noProof/>
                <w:sz w:val="18"/>
                <w:szCs w:val="18"/>
              </w:rPr>
              <w:t>The recommendation is to set the trade date at the intended settlement date</w:t>
            </w:r>
          </w:p>
        </w:tc>
      </w:tr>
      <w:tr w:rsidR="002606C1" w:rsidRPr="00A54277" w:rsidTr="00F02B56">
        <w:tc>
          <w:tcPr>
            <w:tcW w:w="1666" w:type="dxa"/>
            <w:vMerge w:val="restart"/>
            <w:vAlign w:val="center"/>
          </w:tcPr>
          <w:p w:rsidR="00F02B56" w:rsidRPr="00F02B56" w:rsidRDefault="00F02B56" w:rsidP="00F02B56">
            <w:pPr>
              <w:jc w:val="center"/>
              <w:rPr>
                <w:rFonts w:eastAsia="MS Mincho" w:cs="Times New Roman"/>
                <w:b/>
                <w:noProof/>
                <w:sz w:val="18"/>
                <w:szCs w:val="18"/>
              </w:rPr>
            </w:pPr>
            <w:r w:rsidRPr="00F02B56">
              <w:rPr>
                <w:rFonts w:eastAsia="MS Mincho" w:cs="Times New Roman"/>
                <w:b/>
                <w:noProof/>
                <w:sz w:val="18"/>
                <w:szCs w:val="18"/>
              </w:rPr>
              <w:lastRenderedPageBreak/>
              <w:t>Input in ‘Slab’ module Buy/Sell</w:t>
            </w:r>
          </w:p>
        </w:tc>
        <w:tc>
          <w:tcPr>
            <w:tcW w:w="1277" w:type="dxa"/>
            <w:gridSpan w:val="2"/>
            <w:vMerge w:val="restart"/>
            <w:vAlign w:val="center"/>
          </w:tcPr>
          <w:p w:rsidR="00F02B56" w:rsidRPr="00A54277" w:rsidRDefault="00F02B56" w:rsidP="00F02B56">
            <w:pPr>
              <w:jc w:val="center"/>
              <w:rPr>
                <w:rFonts w:eastAsia="MS Mincho" w:cs="Times New Roman"/>
                <w:b/>
                <w:noProof/>
                <w:sz w:val="18"/>
                <w:szCs w:val="18"/>
                <w:lang w:val="fr-FR"/>
              </w:rPr>
            </w:pPr>
            <w:r>
              <w:rPr>
                <w:rFonts w:eastAsia="MS Mincho" w:cs="Times New Roman"/>
                <w:b/>
                <w:noProof/>
                <w:sz w:val="18"/>
                <w:szCs w:val="18"/>
                <w:lang w:val="fr-FR"/>
              </w:rPr>
              <w:t>Far leg</w:t>
            </w:r>
          </w:p>
        </w:tc>
        <w:tc>
          <w:tcPr>
            <w:tcW w:w="1418" w:type="dxa"/>
            <w:gridSpan w:val="2"/>
            <w:vMerge w:val="restart"/>
            <w:vAlign w:val="center"/>
          </w:tcPr>
          <w:p w:rsidR="00F02B56" w:rsidRPr="00A54277" w:rsidRDefault="00F02B56" w:rsidP="00F02B56">
            <w:pPr>
              <w:jc w:val="center"/>
              <w:rPr>
                <w:rFonts w:eastAsia="MS Mincho" w:cs="Times New Roman"/>
                <w:b/>
                <w:noProof/>
                <w:sz w:val="18"/>
                <w:szCs w:val="18"/>
                <w:lang w:val="fr-FR"/>
              </w:rPr>
            </w:pPr>
            <w:r>
              <w:rPr>
                <w:rFonts w:eastAsia="MS Mincho" w:cs="Times New Roman"/>
                <w:b/>
                <w:noProof/>
                <w:sz w:val="18"/>
                <w:szCs w:val="18"/>
                <w:lang w:val="fr-FR"/>
              </w:rPr>
              <w:t>Debt securities</w:t>
            </w:r>
          </w:p>
        </w:tc>
        <w:tc>
          <w:tcPr>
            <w:tcW w:w="992" w:type="dxa"/>
            <w:gridSpan w:val="2"/>
            <w:vMerge w:val="restart"/>
            <w:vAlign w:val="center"/>
          </w:tcPr>
          <w:p w:rsidR="00F02B56" w:rsidRPr="00A54277" w:rsidRDefault="00F02B56" w:rsidP="00F02B56">
            <w:pPr>
              <w:jc w:val="center"/>
              <w:rPr>
                <w:rFonts w:eastAsia="MS Mincho" w:cs="Times New Roman"/>
                <w:b/>
                <w:noProof/>
                <w:sz w:val="18"/>
                <w:szCs w:val="18"/>
                <w:lang w:val="fr-FR"/>
              </w:rPr>
            </w:pPr>
            <w:r w:rsidRPr="00A54277">
              <w:rPr>
                <w:rFonts w:eastAsia="MS Mincho" w:cs="Times New Roman"/>
                <w:b/>
                <w:noProof/>
                <w:sz w:val="18"/>
                <w:szCs w:val="18"/>
                <w:lang w:val="fr-FR"/>
              </w:rPr>
              <w:t>Market claim</w:t>
            </w:r>
          </w:p>
        </w:tc>
        <w:tc>
          <w:tcPr>
            <w:tcW w:w="2126" w:type="dxa"/>
            <w:gridSpan w:val="2"/>
          </w:tcPr>
          <w:p w:rsidR="00F02B56" w:rsidRPr="00F02B56" w:rsidRDefault="00F02B56" w:rsidP="00F02B56">
            <w:pPr>
              <w:jc w:val="both"/>
              <w:rPr>
                <w:rFonts w:eastAsia="MS Mincho" w:cs="Times New Roman"/>
                <w:b/>
                <w:noProof/>
                <w:sz w:val="18"/>
                <w:szCs w:val="18"/>
              </w:rPr>
            </w:pPr>
            <w:r w:rsidRPr="00F02B56">
              <w:rPr>
                <w:rFonts w:eastAsia="MS Mincho" w:cs="Times New Roman"/>
                <w:b/>
                <w:noProof/>
                <w:sz w:val="18"/>
                <w:szCs w:val="18"/>
              </w:rPr>
              <w:t>Market claim in favor of the buyer</w:t>
            </w:r>
          </w:p>
        </w:tc>
        <w:tc>
          <w:tcPr>
            <w:tcW w:w="1985" w:type="dxa"/>
          </w:tcPr>
          <w:p w:rsidR="00F02B56" w:rsidRPr="00A54277" w:rsidRDefault="00F02B56" w:rsidP="00F02B56">
            <w:pPr>
              <w:jc w:val="both"/>
              <w:rPr>
                <w:rFonts w:eastAsia="MS Mincho" w:cs="Times New Roman"/>
                <w:b/>
                <w:noProof/>
                <w:sz w:val="18"/>
                <w:szCs w:val="18"/>
                <w:lang w:val="fr-FR"/>
              </w:rPr>
            </w:pPr>
            <w:r>
              <w:rPr>
                <w:rFonts w:eastAsia="MS Mincho" w:cs="Times New Roman"/>
                <w:b/>
                <w:noProof/>
                <w:sz w:val="18"/>
                <w:szCs w:val="18"/>
                <w:lang w:val="fr-FR"/>
              </w:rPr>
              <w:t>if</w:t>
            </w:r>
            <w:r w:rsidRPr="00A54277">
              <w:rPr>
                <w:rFonts w:eastAsia="MS Mincho" w:cs="Times New Roman"/>
                <w:b/>
                <w:noProof/>
                <w:sz w:val="18"/>
                <w:szCs w:val="18"/>
                <w:lang w:val="fr-FR"/>
              </w:rPr>
              <w:t xml:space="preserve"> ASD &gt; ISD</w:t>
            </w:r>
          </w:p>
        </w:tc>
      </w:tr>
      <w:tr w:rsidR="002606C1" w:rsidRPr="00F02B56" w:rsidTr="00F02B56">
        <w:tc>
          <w:tcPr>
            <w:tcW w:w="1666" w:type="dxa"/>
            <w:vMerge/>
          </w:tcPr>
          <w:p w:rsidR="00F02B56" w:rsidRPr="00A54277" w:rsidRDefault="00F02B56" w:rsidP="00F02B56">
            <w:pPr>
              <w:jc w:val="both"/>
              <w:rPr>
                <w:rFonts w:eastAsia="MS Mincho" w:cs="Times New Roman"/>
                <w:b/>
                <w:noProof/>
                <w:sz w:val="18"/>
                <w:szCs w:val="18"/>
                <w:lang w:val="fr-FR"/>
              </w:rPr>
            </w:pPr>
          </w:p>
        </w:tc>
        <w:tc>
          <w:tcPr>
            <w:tcW w:w="1277" w:type="dxa"/>
            <w:gridSpan w:val="2"/>
            <w:vMerge/>
            <w:vAlign w:val="center"/>
          </w:tcPr>
          <w:p w:rsidR="00F02B56" w:rsidRPr="00A54277" w:rsidRDefault="00F02B56" w:rsidP="00F02B56">
            <w:pPr>
              <w:jc w:val="center"/>
              <w:rPr>
                <w:rFonts w:eastAsia="MS Mincho" w:cs="Times New Roman"/>
                <w:b/>
                <w:noProof/>
                <w:sz w:val="18"/>
                <w:szCs w:val="18"/>
                <w:lang w:val="fr-FR"/>
              </w:rPr>
            </w:pPr>
          </w:p>
        </w:tc>
        <w:tc>
          <w:tcPr>
            <w:tcW w:w="1418" w:type="dxa"/>
            <w:gridSpan w:val="2"/>
            <w:vMerge/>
          </w:tcPr>
          <w:p w:rsidR="00F02B56" w:rsidRPr="00A54277" w:rsidRDefault="00F02B56" w:rsidP="00F02B56">
            <w:pPr>
              <w:jc w:val="both"/>
              <w:rPr>
                <w:rFonts w:eastAsia="MS Mincho" w:cs="Times New Roman"/>
                <w:b/>
                <w:noProof/>
                <w:sz w:val="18"/>
                <w:szCs w:val="18"/>
                <w:lang w:val="fr-FR"/>
              </w:rPr>
            </w:pPr>
          </w:p>
        </w:tc>
        <w:tc>
          <w:tcPr>
            <w:tcW w:w="992" w:type="dxa"/>
            <w:gridSpan w:val="2"/>
            <w:vMerge/>
          </w:tcPr>
          <w:p w:rsidR="00F02B56" w:rsidRPr="00A54277" w:rsidRDefault="00F02B56" w:rsidP="00F02B56">
            <w:pPr>
              <w:jc w:val="center"/>
              <w:rPr>
                <w:rFonts w:eastAsia="MS Mincho" w:cs="Times New Roman"/>
                <w:b/>
                <w:noProof/>
                <w:sz w:val="18"/>
                <w:szCs w:val="18"/>
                <w:lang w:val="fr-FR"/>
              </w:rPr>
            </w:pPr>
          </w:p>
        </w:tc>
        <w:tc>
          <w:tcPr>
            <w:tcW w:w="2126" w:type="dxa"/>
            <w:gridSpan w:val="2"/>
          </w:tcPr>
          <w:p w:rsidR="00F02B56" w:rsidRPr="00F02B56" w:rsidRDefault="00F02B56" w:rsidP="00F02B56">
            <w:pPr>
              <w:pStyle w:val="CommentText"/>
              <w:rPr>
                <w:rFonts w:eastAsia="MS Mincho" w:cs="Times New Roman"/>
                <w:b/>
                <w:noProof/>
                <w:sz w:val="18"/>
                <w:szCs w:val="18"/>
              </w:rPr>
            </w:pPr>
            <w:r w:rsidRPr="003422E2">
              <w:t xml:space="preserve">No market claim. </w:t>
            </w:r>
            <w:r w:rsidRPr="00F02B56">
              <w:t>Manual detection during the term of the securities financing transaction : regularization to be made bilaterally</w:t>
            </w:r>
            <w:r>
              <w:t xml:space="preserve"> between the parties</w:t>
            </w:r>
          </w:p>
          <w:p w:rsidR="00F02B56" w:rsidRPr="00F02B56" w:rsidRDefault="00F02B56" w:rsidP="00F02B56">
            <w:pPr>
              <w:jc w:val="both"/>
              <w:rPr>
                <w:rFonts w:eastAsia="MS Mincho" w:cs="Times New Roman"/>
                <w:b/>
                <w:noProof/>
                <w:sz w:val="18"/>
                <w:szCs w:val="18"/>
              </w:rPr>
            </w:pPr>
          </w:p>
        </w:tc>
        <w:tc>
          <w:tcPr>
            <w:tcW w:w="1985" w:type="dxa"/>
          </w:tcPr>
          <w:p w:rsidR="00F02B56" w:rsidRPr="00A54277" w:rsidRDefault="00F02B56" w:rsidP="00F02B56">
            <w:pPr>
              <w:jc w:val="both"/>
              <w:rPr>
                <w:rFonts w:eastAsia="MS Mincho" w:cs="Times New Roman"/>
                <w:b/>
                <w:noProof/>
                <w:sz w:val="18"/>
                <w:szCs w:val="18"/>
                <w:lang w:val="fr-FR"/>
              </w:rPr>
            </w:pPr>
            <w:r>
              <w:rPr>
                <w:rFonts w:eastAsia="MS Mincho" w:cs="Times New Roman"/>
                <w:b/>
                <w:noProof/>
                <w:sz w:val="18"/>
                <w:szCs w:val="18"/>
                <w:lang w:val="fr-FR"/>
              </w:rPr>
              <w:t xml:space="preserve">Whatever the </w:t>
            </w:r>
            <w:r w:rsidRPr="00A54277">
              <w:rPr>
                <w:rFonts w:eastAsia="MS Mincho" w:cs="Times New Roman"/>
                <w:b/>
                <w:noProof/>
                <w:sz w:val="18"/>
                <w:szCs w:val="18"/>
                <w:lang w:val="fr-FR"/>
              </w:rPr>
              <w:t>ISD/ASD</w:t>
            </w:r>
          </w:p>
        </w:tc>
      </w:tr>
      <w:tr w:rsidR="002606C1" w:rsidRPr="00F02B56" w:rsidTr="00F02B56">
        <w:tc>
          <w:tcPr>
            <w:tcW w:w="1666" w:type="dxa"/>
            <w:vMerge/>
          </w:tcPr>
          <w:p w:rsidR="00F02B56" w:rsidRPr="00A54277" w:rsidRDefault="00F02B56" w:rsidP="00F02B56">
            <w:pPr>
              <w:jc w:val="both"/>
              <w:rPr>
                <w:rFonts w:eastAsia="MS Mincho" w:cs="Times New Roman"/>
                <w:b/>
                <w:noProof/>
                <w:sz w:val="18"/>
                <w:szCs w:val="18"/>
                <w:lang w:val="fr-FR"/>
              </w:rPr>
            </w:pPr>
          </w:p>
        </w:tc>
        <w:tc>
          <w:tcPr>
            <w:tcW w:w="1277" w:type="dxa"/>
            <w:gridSpan w:val="2"/>
            <w:vMerge/>
            <w:vAlign w:val="center"/>
          </w:tcPr>
          <w:p w:rsidR="00F02B56" w:rsidRPr="00A54277" w:rsidRDefault="00F02B56" w:rsidP="00F02B56">
            <w:pPr>
              <w:jc w:val="center"/>
              <w:rPr>
                <w:rFonts w:eastAsia="MS Mincho" w:cs="Times New Roman"/>
                <w:b/>
                <w:noProof/>
                <w:sz w:val="18"/>
                <w:szCs w:val="18"/>
                <w:lang w:val="fr-FR"/>
              </w:rPr>
            </w:pPr>
          </w:p>
        </w:tc>
        <w:tc>
          <w:tcPr>
            <w:tcW w:w="1418" w:type="dxa"/>
            <w:gridSpan w:val="2"/>
            <w:vMerge w:val="restart"/>
            <w:vAlign w:val="center"/>
          </w:tcPr>
          <w:p w:rsidR="00F02B56" w:rsidRPr="00A54277" w:rsidRDefault="00F02B56" w:rsidP="00F02B56">
            <w:pPr>
              <w:jc w:val="center"/>
              <w:rPr>
                <w:rFonts w:eastAsia="MS Mincho" w:cs="Times New Roman"/>
                <w:b/>
                <w:noProof/>
                <w:sz w:val="18"/>
                <w:szCs w:val="18"/>
                <w:lang w:val="fr-FR"/>
              </w:rPr>
            </w:pPr>
            <w:r>
              <w:rPr>
                <w:rFonts w:eastAsia="MS Mincho" w:cs="Times New Roman"/>
                <w:b/>
                <w:noProof/>
                <w:sz w:val="18"/>
                <w:szCs w:val="18"/>
                <w:lang w:val="fr-FR"/>
              </w:rPr>
              <w:t>Capital securities</w:t>
            </w:r>
          </w:p>
        </w:tc>
        <w:tc>
          <w:tcPr>
            <w:tcW w:w="992" w:type="dxa"/>
            <w:gridSpan w:val="2"/>
            <w:vAlign w:val="center"/>
          </w:tcPr>
          <w:p w:rsidR="00F02B56" w:rsidRPr="00A54277" w:rsidRDefault="00F02B56" w:rsidP="00F02B56">
            <w:pPr>
              <w:jc w:val="center"/>
              <w:rPr>
                <w:rFonts w:eastAsia="MS Mincho" w:cs="Times New Roman"/>
                <w:b/>
                <w:noProof/>
                <w:sz w:val="18"/>
                <w:szCs w:val="18"/>
                <w:lang w:val="fr-FR"/>
              </w:rPr>
            </w:pPr>
            <w:r w:rsidRPr="00A54277">
              <w:rPr>
                <w:rFonts w:eastAsia="MS Mincho" w:cs="Times New Roman"/>
                <w:b/>
                <w:noProof/>
                <w:sz w:val="18"/>
                <w:szCs w:val="18"/>
                <w:lang w:val="fr-FR"/>
              </w:rPr>
              <w:t>Market claim</w:t>
            </w:r>
          </w:p>
        </w:tc>
        <w:tc>
          <w:tcPr>
            <w:tcW w:w="2126" w:type="dxa"/>
            <w:gridSpan w:val="2"/>
          </w:tcPr>
          <w:p w:rsidR="00F02B56" w:rsidRPr="003422E2" w:rsidRDefault="00F02B56" w:rsidP="00F02B56">
            <w:pPr>
              <w:jc w:val="both"/>
              <w:rPr>
                <w:rFonts w:eastAsia="MS Mincho" w:cs="Times New Roman"/>
                <w:b/>
                <w:noProof/>
                <w:sz w:val="18"/>
                <w:szCs w:val="18"/>
              </w:rPr>
            </w:pPr>
            <w:r w:rsidRPr="003422E2">
              <w:rPr>
                <w:rFonts w:eastAsia="MS Mincho" w:cs="Times New Roman"/>
                <w:b/>
                <w:noProof/>
                <w:sz w:val="18"/>
                <w:szCs w:val="18"/>
              </w:rPr>
              <w:t>Automatic detection over a period of 45 days limited by the 35-day restriction in the SLAB moduls.</w:t>
            </w:r>
          </w:p>
          <w:p w:rsidR="00F02B56" w:rsidRPr="003422E2" w:rsidRDefault="00F02B56" w:rsidP="00F02B56">
            <w:pPr>
              <w:jc w:val="both"/>
              <w:rPr>
                <w:rFonts w:eastAsia="MS Mincho" w:cs="Times New Roman"/>
                <w:b/>
                <w:noProof/>
                <w:sz w:val="18"/>
                <w:szCs w:val="18"/>
              </w:rPr>
            </w:pPr>
            <w:r w:rsidRPr="003422E2">
              <w:rPr>
                <w:rFonts w:eastAsia="MS Mincho" w:cs="Times New Roman"/>
                <w:b/>
                <w:noProof/>
                <w:sz w:val="18"/>
                <w:szCs w:val="18"/>
              </w:rPr>
              <w:t>After 35 days after RD, detection is manual and bilateral</w:t>
            </w:r>
          </w:p>
        </w:tc>
        <w:tc>
          <w:tcPr>
            <w:tcW w:w="1985" w:type="dxa"/>
          </w:tcPr>
          <w:p w:rsidR="00F02B56" w:rsidRPr="00F02B56" w:rsidRDefault="00F02B56" w:rsidP="00F02B56">
            <w:pPr>
              <w:jc w:val="both"/>
              <w:rPr>
                <w:rFonts w:eastAsia="MS Mincho" w:cs="Times New Roman"/>
                <w:b/>
                <w:noProof/>
                <w:sz w:val="18"/>
                <w:szCs w:val="18"/>
              </w:rPr>
            </w:pPr>
            <w:r w:rsidRPr="00F02B56">
              <w:rPr>
                <w:rFonts w:eastAsia="MS Mincho" w:cs="Times New Roman"/>
                <w:b/>
                <w:noProof/>
                <w:sz w:val="18"/>
                <w:szCs w:val="18"/>
              </w:rPr>
              <w:t>If TD &lt; EX date and ISD &gt; RD</w:t>
            </w:r>
          </w:p>
        </w:tc>
      </w:tr>
      <w:tr w:rsidR="002606C1" w:rsidRPr="00F02B56" w:rsidTr="00F02B56">
        <w:tc>
          <w:tcPr>
            <w:tcW w:w="1666" w:type="dxa"/>
            <w:vMerge/>
          </w:tcPr>
          <w:p w:rsidR="00F02B56" w:rsidRPr="00F02B56" w:rsidRDefault="00F02B56" w:rsidP="00F02B56">
            <w:pPr>
              <w:jc w:val="both"/>
              <w:rPr>
                <w:rFonts w:eastAsia="MS Mincho" w:cs="Times New Roman"/>
                <w:b/>
                <w:noProof/>
                <w:sz w:val="18"/>
                <w:szCs w:val="18"/>
              </w:rPr>
            </w:pPr>
          </w:p>
        </w:tc>
        <w:tc>
          <w:tcPr>
            <w:tcW w:w="1277" w:type="dxa"/>
            <w:gridSpan w:val="2"/>
            <w:vMerge/>
            <w:vAlign w:val="center"/>
          </w:tcPr>
          <w:p w:rsidR="00F02B56" w:rsidRPr="00F02B56" w:rsidRDefault="00F02B56" w:rsidP="00F02B56">
            <w:pPr>
              <w:jc w:val="center"/>
              <w:rPr>
                <w:rFonts w:eastAsia="MS Mincho" w:cs="Times New Roman"/>
                <w:b/>
                <w:noProof/>
                <w:sz w:val="18"/>
                <w:szCs w:val="18"/>
              </w:rPr>
            </w:pPr>
          </w:p>
        </w:tc>
        <w:tc>
          <w:tcPr>
            <w:tcW w:w="1418" w:type="dxa"/>
            <w:gridSpan w:val="2"/>
            <w:vMerge/>
            <w:vAlign w:val="center"/>
          </w:tcPr>
          <w:p w:rsidR="00F02B56" w:rsidRPr="00F02B56" w:rsidRDefault="00F02B56" w:rsidP="00F02B56">
            <w:pPr>
              <w:jc w:val="center"/>
              <w:rPr>
                <w:rFonts w:eastAsia="MS Mincho" w:cs="Times New Roman"/>
                <w:b/>
                <w:noProof/>
                <w:sz w:val="18"/>
                <w:szCs w:val="18"/>
              </w:rPr>
            </w:pPr>
          </w:p>
        </w:tc>
        <w:tc>
          <w:tcPr>
            <w:tcW w:w="992" w:type="dxa"/>
            <w:gridSpan w:val="2"/>
          </w:tcPr>
          <w:p w:rsidR="00F02B56" w:rsidRPr="00A54277" w:rsidRDefault="00F02B56" w:rsidP="00F02B56">
            <w:pPr>
              <w:jc w:val="center"/>
              <w:rPr>
                <w:rFonts w:eastAsia="MS Mincho" w:cs="Times New Roman"/>
                <w:b/>
                <w:noProof/>
                <w:sz w:val="18"/>
                <w:szCs w:val="18"/>
                <w:lang w:val="fr-FR"/>
              </w:rPr>
            </w:pPr>
            <w:r w:rsidRPr="00A54277">
              <w:rPr>
                <w:rFonts w:eastAsia="MS Mincho" w:cs="Times New Roman"/>
                <w:b/>
                <w:noProof/>
                <w:sz w:val="18"/>
                <w:szCs w:val="18"/>
                <w:lang w:val="fr-FR"/>
              </w:rPr>
              <w:t>Reverse Claim</w:t>
            </w:r>
          </w:p>
        </w:tc>
        <w:tc>
          <w:tcPr>
            <w:tcW w:w="2126" w:type="dxa"/>
            <w:gridSpan w:val="2"/>
          </w:tcPr>
          <w:p w:rsidR="00F02B56" w:rsidRPr="00F02B56" w:rsidRDefault="00F02B56" w:rsidP="00F02B56">
            <w:pPr>
              <w:jc w:val="both"/>
              <w:rPr>
                <w:rFonts w:eastAsia="MS Mincho" w:cs="Times New Roman"/>
                <w:b/>
                <w:noProof/>
                <w:sz w:val="18"/>
                <w:szCs w:val="18"/>
              </w:rPr>
            </w:pPr>
            <w:r w:rsidRPr="00F02B56">
              <w:rPr>
                <w:rFonts w:eastAsia="MS Mincho" w:cs="Times New Roman"/>
                <w:b/>
                <w:noProof/>
                <w:sz w:val="18"/>
                <w:szCs w:val="18"/>
              </w:rPr>
              <w:t xml:space="preserve">Market claim in favor of the </w:t>
            </w:r>
            <w:r>
              <w:rPr>
                <w:rFonts w:eastAsia="MS Mincho" w:cs="Times New Roman"/>
                <w:b/>
                <w:noProof/>
                <w:sz w:val="18"/>
                <w:szCs w:val="18"/>
              </w:rPr>
              <w:t>seller</w:t>
            </w:r>
          </w:p>
        </w:tc>
        <w:tc>
          <w:tcPr>
            <w:tcW w:w="1985" w:type="dxa"/>
          </w:tcPr>
          <w:p w:rsidR="00F02B56" w:rsidRPr="00F02B56" w:rsidRDefault="00F02B56" w:rsidP="00F02B56">
            <w:pPr>
              <w:jc w:val="both"/>
              <w:rPr>
                <w:rFonts w:eastAsia="MS Mincho" w:cs="Times New Roman"/>
                <w:b/>
                <w:noProof/>
                <w:sz w:val="18"/>
                <w:szCs w:val="18"/>
              </w:rPr>
            </w:pPr>
            <w:r w:rsidRPr="00F02B56">
              <w:rPr>
                <w:rFonts w:eastAsia="MS Mincho" w:cs="Times New Roman"/>
                <w:b/>
                <w:noProof/>
                <w:sz w:val="18"/>
                <w:szCs w:val="18"/>
              </w:rPr>
              <w:t xml:space="preserve">If TD &gt; Ex date and &lt;= Record date </w:t>
            </w:r>
          </w:p>
        </w:tc>
      </w:tr>
      <w:tr w:rsidR="002606C1" w:rsidRPr="00075696" w:rsidTr="00F02B56">
        <w:tc>
          <w:tcPr>
            <w:tcW w:w="1666" w:type="dxa"/>
          </w:tcPr>
          <w:p w:rsidR="00F02B56" w:rsidRPr="00A54277" w:rsidRDefault="002606C1" w:rsidP="002606C1">
            <w:pPr>
              <w:jc w:val="both"/>
              <w:rPr>
                <w:rFonts w:eastAsia="MS Mincho" w:cs="Times New Roman"/>
                <w:b/>
                <w:noProof/>
                <w:sz w:val="18"/>
                <w:szCs w:val="18"/>
                <w:lang w:val="fr-FR"/>
              </w:rPr>
            </w:pPr>
            <w:r>
              <w:rPr>
                <w:rFonts w:eastAsia="MS Mincho" w:cs="Times New Roman"/>
                <w:b/>
                <w:noProof/>
                <w:sz w:val="18"/>
                <w:szCs w:val="18"/>
                <w:lang w:val="fr-FR"/>
              </w:rPr>
              <w:t>Input in Euroclear’s’Pensions Livrées’ module</w:t>
            </w:r>
          </w:p>
        </w:tc>
        <w:tc>
          <w:tcPr>
            <w:tcW w:w="1277" w:type="dxa"/>
            <w:gridSpan w:val="2"/>
          </w:tcPr>
          <w:p w:rsidR="00F02B56" w:rsidRPr="003422E2" w:rsidRDefault="002606C1" w:rsidP="002606C1">
            <w:pPr>
              <w:jc w:val="both"/>
              <w:rPr>
                <w:rFonts w:eastAsia="MS Mincho" w:cs="Times New Roman"/>
                <w:b/>
                <w:noProof/>
                <w:sz w:val="18"/>
                <w:szCs w:val="18"/>
              </w:rPr>
            </w:pPr>
            <w:r w:rsidRPr="003422E2">
              <w:rPr>
                <w:rFonts w:eastAsia="MS Mincho" w:cs="Times New Roman"/>
                <w:b/>
                <w:noProof/>
                <w:sz w:val="18"/>
                <w:szCs w:val="18"/>
              </w:rPr>
              <w:t>Near leg and far leg</w:t>
            </w:r>
          </w:p>
        </w:tc>
        <w:tc>
          <w:tcPr>
            <w:tcW w:w="1418" w:type="dxa"/>
            <w:gridSpan w:val="2"/>
          </w:tcPr>
          <w:p w:rsidR="00F02B56" w:rsidRPr="00A54277" w:rsidRDefault="002606C1" w:rsidP="002606C1">
            <w:pPr>
              <w:jc w:val="both"/>
              <w:rPr>
                <w:rFonts w:eastAsia="MS Mincho" w:cs="Times New Roman"/>
                <w:b/>
                <w:noProof/>
                <w:sz w:val="18"/>
                <w:szCs w:val="18"/>
                <w:lang w:val="fr-FR"/>
              </w:rPr>
            </w:pPr>
            <w:r>
              <w:rPr>
                <w:rFonts w:eastAsia="MS Mincho" w:cs="Times New Roman"/>
                <w:b/>
                <w:noProof/>
                <w:sz w:val="18"/>
                <w:szCs w:val="18"/>
                <w:lang w:val="fr-FR"/>
              </w:rPr>
              <w:t>Debt and caspital securities</w:t>
            </w:r>
          </w:p>
        </w:tc>
        <w:tc>
          <w:tcPr>
            <w:tcW w:w="992" w:type="dxa"/>
            <w:gridSpan w:val="2"/>
          </w:tcPr>
          <w:p w:rsidR="00F02B56" w:rsidRDefault="00F02B56" w:rsidP="00F02B56">
            <w:pPr>
              <w:jc w:val="center"/>
              <w:rPr>
                <w:rFonts w:eastAsia="MS Mincho" w:cs="Times New Roman"/>
                <w:b/>
                <w:noProof/>
                <w:sz w:val="18"/>
                <w:szCs w:val="18"/>
                <w:lang w:val="fr-FR"/>
              </w:rPr>
            </w:pPr>
          </w:p>
          <w:p w:rsidR="00F02B56" w:rsidRPr="00A54277" w:rsidRDefault="00F02B56" w:rsidP="00F02B56">
            <w:pPr>
              <w:jc w:val="center"/>
              <w:rPr>
                <w:rFonts w:eastAsia="MS Mincho" w:cs="Times New Roman"/>
                <w:b/>
                <w:noProof/>
                <w:sz w:val="18"/>
                <w:szCs w:val="18"/>
                <w:lang w:val="fr-FR"/>
              </w:rPr>
            </w:pPr>
            <w:r w:rsidRPr="00A54277">
              <w:rPr>
                <w:rFonts w:eastAsia="MS Mincho" w:cs="Times New Roman"/>
                <w:b/>
                <w:noProof/>
                <w:sz w:val="18"/>
                <w:szCs w:val="18"/>
                <w:lang w:val="fr-FR"/>
              </w:rPr>
              <w:t>Market claim</w:t>
            </w:r>
          </w:p>
        </w:tc>
        <w:tc>
          <w:tcPr>
            <w:tcW w:w="4111" w:type="dxa"/>
            <w:gridSpan w:val="3"/>
          </w:tcPr>
          <w:p w:rsidR="00F02B56" w:rsidRPr="003422E2" w:rsidRDefault="002606C1" w:rsidP="002606C1">
            <w:pPr>
              <w:jc w:val="both"/>
              <w:rPr>
                <w:rFonts w:eastAsia="MS Mincho" w:cs="Times New Roman"/>
                <w:b/>
                <w:noProof/>
                <w:sz w:val="18"/>
                <w:szCs w:val="18"/>
              </w:rPr>
            </w:pPr>
            <w:r w:rsidRPr="003422E2">
              <w:rPr>
                <w:rFonts w:eastAsia="MS Mincho" w:cs="Times New Roman"/>
                <w:b/>
                <w:noProof/>
                <w:sz w:val="18"/>
                <w:szCs w:val="18"/>
              </w:rPr>
              <w:t>Automatic management by the module over the period, according to participants’ needs</w:t>
            </w:r>
          </w:p>
        </w:tc>
      </w:tr>
      <w:tr w:rsidR="00F02B56" w:rsidRPr="00075696" w:rsidTr="00F02B56">
        <w:tc>
          <w:tcPr>
            <w:tcW w:w="9464" w:type="dxa"/>
            <w:gridSpan w:val="10"/>
          </w:tcPr>
          <w:p w:rsidR="00F02B56" w:rsidRPr="003422E2" w:rsidRDefault="00F02B56" w:rsidP="00F02B56">
            <w:pPr>
              <w:jc w:val="center"/>
              <w:rPr>
                <w:rFonts w:eastAsia="MS Mincho" w:cs="Times New Roman"/>
                <w:b/>
                <w:noProof/>
                <w:sz w:val="18"/>
                <w:szCs w:val="18"/>
              </w:rPr>
            </w:pPr>
          </w:p>
        </w:tc>
      </w:tr>
      <w:tr w:rsidR="00F02B56" w:rsidRPr="002606C1" w:rsidTr="00F02B56">
        <w:tc>
          <w:tcPr>
            <w:tcW w:w="9464" w:type="dxa"/>
            <w:gridSpan w:val="10"/>
            <w:shd w:val="clear" w:color="auto" w:fill="C6D9F1" w:themeFill="text2" w:themeFillTint="33"/>
          </w:tcPr>
          <w:p w:rsidR="00F02B56" w:rsidRPr="003422E2" w:rsidRDefault="002606C1" w:rsidP="00F02B56">
            <w:pPr>
              <w:jc w:val="center"/>
              <w:rPr>
                <w:rFonts w:eastAsia="MS Mincho" w:cs="Times New Roman"/>
                <w:b/>
                <w:noProof/>
                <w:sz w:val="18"/>
                <w:szCs w:val="18"/>
              </w:rPr>
            </w:pPr>
            <w:r w:rsidRPr="003422E2">
              <w:rPr>
                <w:rFonts w:eastAsia="MS Mincho" w:cs="Times New Roman"/>
                <w:b/>
                <w:noProof/>
                <w:sz w:val="18"/>
                <w:szCs w:val="18"/>
              </w:rPr>
              <w:t>Securities financing transaction initiated before the migration to T2S and with a maturity after the migration to T2S</w:t>
            </w:r>
          </w:p>
          <w:p w:rsidR="00F02B56" w:rsidRPr="002606C1" w:rsidRDefault="002606C1" w:rsidP="002606C1">
            <w:pPr>
              <w:jc w:val="center"/>
              <w:rPr>
                <w:rFonts w:eastAsia="MS Mincho" w:cs="Times New Roman"/>
                <w:b/>
                <w:noProof/>
                <w:sz w:val="18"/>
                <w:szCs w:val="18"/>
              </w:rPr>
            </w:pPr>
            <w:r w:rsidRPr="002606C1">
              <w:rPr>
                <w:rFonts w:eastAsia="MS Mincho" w:cs="Times New Roman"/>
                <w:b/>
                <w:noProof/>
                <w:sz w:val="18"/>
                <w:szCs w:val="18"/>
              </w:rPr>
              <w:t xml:space="preserve">without </w:t>
            </w:r>
            <w:r w:rsidR="00F02B56" w:rsidRPr="002606C1">
              <w:rPr>
                <w:rFonts w:eastAsia="MS Mincho" w:cs="Times New Roman"/>
                <w:b/>
                <w:noProof/>
                <w:sz w:val="18"/>
                <w:szCs w:val="18"/>
              </w:rPr>
              <w:t>neutrali</w:t>
            </w:r>
            <w:r w:rsidRPr="002606C1">
              <w:rPr>
                <w:rFonts w:eastAsia="MS Mincho" w:cs="Times New Roman"/>
                <w:b/>
                <w:noProof/>
                <w:sz w:val="18"/>
                <w:szCs w:val="18"/>
              </w:rPr>
              <w:t>z</w:t>
            </w:r>
            <w:r w:rsidR="00F02B56" w:rsidRPr="002606C1">
              <w:rPr>
                <w:rFonts w:eastAsia="MS Mincho" w:cs="Times New Roman"/>
                <w:b/>
                <w:noProof/>
                <w:sz w:val="18"/>
                <w:szCs w:val="18"/>
              </w:rPr>
              <w:t xml:space="preserve">ation </w:t>
            </w:r>
            <w:r w:rsidRPr="002606C1">
              <w:rPr>
                <w:rFonts w:eastAsia="MS Mincho" w:cs="Times New Roman"/>
                <w:b/>
                <w:noProof/>
                <w:sz w:val="18"/>
                <w:szCs w:val="18"/>
              </w:rPr>
              <w:t>of market claims</w:t>
            </w:r>
          </w:p>
        </w:tc>
      </w:tr>
      <w:tr w:rsidR="00F02B56" w:rsidRPr="00075696" w:rsidTr="00F02B56">
        <w:tc>
          <w:tcPr>
            <w:tcW w:w="9464" w:type="dxa"/>
            <w:gridSpan w:val="10"/>
            <w:shd w:val="clear" w:color="auto" w:fill="C6D9F1" w:themeFill="text2" w:themeFillTint="33"/>
          </w:tcPr>
          <w:p w:rsidR="00F02B56" w:rsidRPr="003422E2" w:rsidRDefault="00F02B56" w:rsidP="002606C1">
            <w:pPr>
              <w:jc w:val="center"/>
              <w:rPr>
                <w:rFonts w:eastAsia="MS Mincho" w:cs="Times New Roman"/>
                <w:b/>
                <w:noProof/>
                <w:sz w:val="18"/>
                <w:szCs w:val="18"/>
              </w:rPr>
            </w:pPr>
            <w:r w:rsidRPr="003422E2">
              <w:rPr>
                <w:rFonts w:eastAsia="MS Mincho" w:cs="Times New Roman"/>
                <w:b/>
                <w:noProof/>
                <w:sz w:val="18"/>
                <w:szCs w:val="18"/>
              </w:rPr>
              <w:t xml:space="preserve">Instruction </w:t>
            </w:r>
            <w:r w:rsidR="002606C1" w:rsidRPr="003422E2">
              <w:rPr>
                <w:rFonts w:eastAsia="MS Mincho" w:cs="Times New Roman"/>
                <w:b/>
                <w:noProof/>
                <w:sz w:val="18"/>
                <w:szCs w:val="18"/>
              </w:rPr>
              <w:t>re-issued after the migration to T2S</w:t>
            </w:r>
          </w:p>
        </w:tc>
      </w:tr>
      <w:tr w:rsidR="00F02B56" w:rsidRPr="002606C1" w:rsidTr="00F02B56">
        <w:tc>
          <w:tcPr>
            <w:tcW w:w="9464" w:type="dxa"/>
            <w:gridSpan w:val="10"/>
          </w:tcPr>
          <w:p w:rsidR="00F02B56" w:rsidRPr="003422E2" w:rsidRDefault="002606C1" w:rsidP="00F02B56">
            <w:pPr>
              <w:jc w:val="both"/>
              <w:rPr>
                <w:rFonts w:eastAsia="MS Mincho" w:cs="Times New Roman"/>
                <w:b/>
                <w:noProof/>
                <w:sz w:val="18"/>
                <w:szCs w:val="18"/>
              </w:rPr>
            </w:pPr>
            <w:r w:rsidRPr="003422E2">
              <w:rPr>
                <w:rFonts w:eastAsia="MS Mincho" w:cs="Times New Roman"/>
                <w:b/>
                <w:noProof/>
                <w:sz w:val="18"/>
                <w:szCs w:val="18"/>
              </w:rPr>
              <w:t>Reminder</w:t>
            </w:r>
            <w:r w:rsidR="00F02B56" w:rsidRPr="003422E2">
              <w:rPr>
                <w:rFonts w:eastAsia="MS Mincho" w:cs="Times New Roman"/>
                <w:b/>
                <w:noProof/>
                <w:sz w:val="18"/>
                <w:szCs w:val="18"/>
              </w:rPr>
              <w:t xml:space="preserve">: </w:t>
            </w:r>
          </w:p>
          <w:p w:rsidR="00F02B56" w:rsidRPr="002606C1" w:rsidRDefault="002606C1" w:rsidP="00F02B56">
            <w:pPr>
              <w:jc w:val="both"/>
              <w:rPr>
                <w:rFonts w:eastAsia="MS Mincho" w:cs="Times New Roman"/>
                <w:b/>
                <w:noProof/>
                <w:sz w:val="18"/>
                <w:szCs w:val="18"/>
              </w:rPr>
            </w:pPr>
            <w:r w:rsidRPr="002606C1">
              <w:rPr>
                <w:rFonts w:eastAsia="MS Mincho" w:cs="Times New Roman"/>
                <w:b/>
                <w:noProof/>
                <w:sz w:val="18"/>
                <w:szCs w:val="18"/>
              </w:rPr>
              <w:t xml:space="preserve">After the first business day following the </w:t>
            </w:r>
            <w:r w:rsidR="00F02B56" w:rsidRPr="002606C1">
              <w:rPr>
                <w:rFonts w:eastAsia="MS Mincho" w:cs="Times New Roman"/>
                <w:b/>
                <w:noProof/>
                <w:sz w:val="18"/>
                <w:szCs w:val="18"/>
              </w:rPr>
              <w:t xml:space="preserve">migration </w:t>
            </w:r>
            <w:r>
              <w:rPr>
                <w:rFonts w:eastAsia="MS Mincho" w:cs="Times New Roman"/>
                <w:b/>
                <w:noProof/>
                <w:sz w:val="18"/>
                <w:szCs w:val="18"/>
              </w:rPr>
              <w:t xml:space="preserve">to </w:t>
            </w:r>
            <w:r w:rsidR="00F02B56" w:rsidRPr="002606C1">
              <w:rPr>
                <w:rFonts w:eastAsia="MS Mincho" w:cs="Times New Roman"/>
                <w:b/>
                <w:noProof/>
                <w:sz w:val="18"/>
                <w:szCs w:val="18"/>
              </w:rPr>
              <w:t>T2S</w:t>
            </w:r>
          </w:p>
          <w:p w:rsidR="00F02B56" w:rsidRPr="002606C1" w:rsidRDefault="002606C1" w:rsidP="00F02B56">
            <w:pPr>
              <w:pStyle w:val="ListParagraph"/>
              <w:numPr>
                <w:ilvl w:val="0"/>
                <w:numId w:val="17"/>
              </w:numPr>
              <w:jc w:val="both"/>
              <w:rPr>
                <w:rFonts w:eastAsia="MS Mincho" w:cs="Times New Roman"/>
                <w:b/>
                <w:noProof/>
                <w:sz w:val="18"/>
                <w:szCs w:val="18"/>
              </w:rPr>
            </w:pPr>
            <w:r w:rsidRPr="002606C1">
              <w:rPr>
                <w:rFonts w:eastAsia="MS Mincho" w:cs="Times New Roman"/>
                <w:b/>
                <w:noProof/>
                <w:sz w:val="18"/>
                <w:szCs w:val="18"/>
              </w:rPr>
              <w:t xml:space="preserve">There is no constraint between the </w:t>
            </w:r>
            <w:r w:rsidR="00F02B56" w:rsidRPr="002606C1">
              <w:rPr>
                <w:rFonts w:eastAsia="MS Mincho" w:cs="Times New Roman"/>
                <w:b/>
                <w:noProof/>
                <w:sz w:val="18"/>
                <w:szCs w:val="18"/>
              </w:rPr>
              <w:t xml:space="preserve">ISD </w:t>
            </w:r>
            <w:r>
              <w:rPr>
                <w:rFonts w:eastAsia="MS Mincho" w:cs="Times New Roman"/>
                <w:b/>
                <w:noProof/>
                <w:sz w:val="18"/>
                <w:szCs w:val="18"/>
              </w:rPr>
              <w:t xml:space="preserve">and the </w:t>
            </w:r>
            <w:r w:rsidR="00F02B56" w:rsidRPr="002606C1">
              <w:rPr>
                <w:rFonts w:eastAsia="MS Mincho" w:cs="Times New Roman"/>
                <w:b/>
                <w:noProof/>
                <w:sz w:val="18"/>
                <w:szCs w:val="18"/>
              </w:rPr>
              <w:t xml:space="preserve">Trade date </w:t>
            </w:r>
          </w:p>
          <w:p w:rsidR="00F02B56" w:rsidRPr="002606C1" w:rsidRDefault="002606C1" w:rsidP="00F02B56">
            <w:pPr>
              <w:pStyle w:val="ListParagraph"/>
              <w:numPr>
                <w:ilvl w:val="0"/>
                <w:numId w:val="17"/>
              </w:numPr>
              <w:jc w:val="both"/>
              <w:rPr>
                <w:rFonts w:eastAsia="MS Mincho" w:cs="Times New Roman"/>
                <w:b/>
                <w:noProof/>
                <w:sz w:val="18"/>
                <w:szCs w:val="18"/>
              </w:rPr>
            </w:pPr>
            <w:r w:rsidRPr="002606C1">
              <w:rPr>
                <w:rFonts w:eastAsia="MS Mincho" w:cs="Times New Roman"/>
                <w:b/>
                <w:noProof/>
                <w:sz w:val="18"/>
                <w:szCs w:val="18"/>
              </w:rPr>
              <w:t xml:space="preserve">No control by </w:t>
            </w:r>
            <w:r w:rsidR="00F02B56" w:rsidRPr="002606C1">
              <w:rPr>
                <w:rFonts w:eastAsia="MS Mincho" w:cs="Times New Roman"/>
                <w:b/>
                <w:noProof/>
                <w:sz w:val="18"/>
                <w:szCs w:val="18"/>
              </w:rPr>
              <w:t xml:space="preserve">ESES/T2S  </w:t>
            </w:r>
            <w:r w:rsidRPr="002606C1">
              <w:rPr>
                <w:rFonts w:eastAsia="MS Mincho" w:cs="Times New Roman"/>
                <w:b/>
                <w:noProof/>
                <w:sz w:val="18"/>
                <w:szCs w:val="18"/>
              </w:rPr>
              <w:t xml:space="preserve">on this delay between the </w:t>
            </w:r>
            <w:r w:rsidR="00F02B56" w:rsidRPr="002606C1">
              <w:rPr>
                <w:rFonts w:eastAsia="MS Mincho" w:cs="Times New Roman"/>
                <w:b/>
                <w:noProof/>
                <w:sz w:val="18"/>
                <w:szCs w:val="18"/>
              </w:rPr>
              <w:t xml:space="preserve">ISD </w:t>
            </w:r>
            <w:r>
              <w:rPr>
                <w:rFonts w:eastAsia="MS Mincho" w:cs="Times New Roman"/>
                <w:b/>
                <w:noProof/>
                <w:sz w:val="18"/>
                <w:szCs w:val="18"/>
              </w:rPr>
              <w:t xml:space="preserve">and the </w:t>
            </w:r>
            <w:r w:rsidR="00F02B56" w:rsidRPr="002606C1">
              <w:rPr>
                <w:rFonts w:eastAsia="MS Mincho" w:cs="Times New Roman"/>
                <w:b/>
                <w:noProof/>
                <w:sz w:val="18"/>
                <w:szCs w:val="18"/>
              </w:rPr>
              <w:t xml:space="preserve">Trade date </w:t>
            </w:r>
          </w:p>
          <w:p w:rsidR="00F02B56" w:rsidRPr="002606C1" w:rsidRDefault="002606C1" w:rsidP="002606C1">
            <w:pPr>
              <w:pStyle w:val="ListParagraph"/>
              <w:numPr>
                <w:ilvl w:val="0"/>
                <w:numId w:val="17"/>
              </w:numPr>
              <w:jc w:val="both"/>
              <w:rPr>
                <w:rFonts w:eastAsia="MS Mincho" w:cs="Times New Roman"/>
                <w:b/>
                <w:noProof/>
                <w:sz w:val="18"/>
                <w:szCs w:val="18"/>
              </w:rPr>
            </w:pPr>
            <w:r w:rsidRPr="002606C1">
              <w:rPr>
                <w:rFonts w:eastAsia="MS Mincho" w:cs="Times New Roman"/>
                <w:b/>
                <w:noProof/>
                <w:sz w:val="18"/>
                <w:szCs w:val="18"/>
              </w:rPr>
              <w:t>The detection of market claims occurs during 20 days after the RD</w:t>
            </w:r>
          </w:p>
        </w:tc>
      </w:tr>
      <w:tr w:rsidR="00F02B56" w:rsidRPr="00075696" w:rsidTr="00F02B56">
        <w:tc>
          <w:tcPr>
            <w:tcW w:w="9464" w:type="dxa"/>
            <w:gridSpan w:val="10"/>
          </w:tcPr>
          <w:p w:rsidR="00F02B56" w:rsidRPr="00A54277" w:rsidRDefault="002606C1" w:rsidP="00F02B56">
            <w:pPr>
              <w:jc w:val="both"/>
              <w:rPr>
                <w:rFonts w:eastAsia="MS Mincho" w:cs="Times New Roman"/>
                <w:b/>
                <w:noProof/>
                <w:sz w:val="18"/>
                <w:szCs w:val="18"/>
                <w:lang w:val="fr-FR"/>
              </w:rPr>
            </w:pPr>
            <w:r>
              <w:rPr>
                <w:rFonts w:eastAsia="MS Mincho" w:cs="Times New Roman"/>
                <w:b/>
                <w:noProof/>
                <w:sz w:val="18"/>
                <w:szCs w:val="18"/>
                <w:lang w:val="fr-FR"/>
              </w:rPr>
              <w:t>Important</w:t>
            </w:r>
            <w:r w:rsidR="00F02B56" w:rsidRPr="00A54277">
              <w:rPr>
                <w:rFonts w:eastAsia="MS Mincho" w:cs="Times New Roman"/>
                <w:b/>
                <w:noProof/>
                <w:sz w:val="18"/>
                <w:szCs w:val="18"/>
                <w:lang w:val="fr-FR"/>
              </w:rPr>
              <w:t xml:space="preserve">: </w:t>
            </w:r>
            <w:r>
              <w:rPr>
                <w:rFonts w:eastAsia="MS Mincho" w:cs="Times New Roman"/>
                <w:b/>
                <w:noProof/>
                <w:sz w:val="18"/>
                <w:szCs w:val="18"/>
                <w:lang w:val="fr-FR"/>
              </w:rPr>
              <w:t xml:space="preserve">Market practice on securities financing transactions </w:t>
            </w:r>
          </w:p>
          <w:p w:rsidR="00F02B56" w:rsidRPr="003422E2" w:rsidRDefault="00F02B56" w:rsidP="002606C1">
            <w:pPr>
              <w:pStyle w:val="ListParagraph"/>
              <w:numPr>
                <w:ilvl w:val="0"/>
                <w:numId w:val="18"/>
              </w:numPr>
              <w:jc w:val="both"/>
              <w:rPr>
                <w:rFonts w:eastAsia="MS Mincho" w:cs="Times New Roman"/>
                <w:b/>
                <w:noProof/>
                <w:sz w:val="18"/>
                <w:szCs w:val="18"/>
              </w:rPr>
            </w:pPr>
            <w:r w:rsidRPr="003422E2">
              <w:rPr>
                <w:rFonts w:eastAsia="MS Mincho" w:cs="Times New Roman"/>
                <w:b/>
                <w:noProof/>
                <w:sz w:val="18"/>
                <w:szCs w:val="18"/>
              </w:rPr>
              <w:t xml:space="preserve">Trade date </w:t>
            </w:r>
            <w:r w:rsidR="002606C1" w:rsidRPr="003422E2">
              <w:rPr>
                <w:rFonts w:eastAsia="MS Mincho" w:cs="Times New Roman"/>
                <w:b/>
                <w:noProof/>
                <w:sz w:val="18"/>
                <w:szCs w:val="18"/>
              </w:rPr>
              <w:t xml:space="preserve">is the original date of the contract </w:t>
            </w:r>
          </w:p>
        </w:tc>
      </w:tr>
      <w:tr w:rsidR="002606C1" w:rsidRPr="00A54277" w:rsidTr="00F02B56">
        <w:tc>
          <w:tcPr>
            <w:tcW w:w="1666" w:type="dxa"/>
            <w:vMerge w:val="restart"/>
            <w:vAlign w:val="center"/>
          </w:tcPr>
          <w:p w:rsidR="00F02B56" w:rsidRPr="002606C1" w:rsidRDefault="002606C1" w:rsidP="00F02B56">
            <w:pPr>
              <w:jc w:val="center"/>
              <w:rPr>
                <w:rFonts w:eastAsia="MS Mincho" w:cs="Times New Roman"/>
                <w:b/>
                <w:noProof/>
                <w:sz w:val="18"/>
                <w:szCs w:val="18"/>
              </w:rPr>
            </w:pPr>
            <w:r w:rsidRPr="00F02B56">
              <w:rPr>
                <w:rFonts w:eastAsia="MS Mincho" w:cs="Times New Roman"/>
                <w:b/>
                <w:noProof/>
                <w:sz w:val="18"/>
                <w:szCs w:val="18"/>
              </w:rPr>
              <w:t>Input in ‘Slab’ module Buy/Sell</w:t>
            </w:r>
          </w:p>
        </w:tc>
        <w:tc>
          <w:tcPr>
            <w:tcW w:w="1277" w:type="dxa"/>
            <w:gridSpan w:val="2"/>
            <w:vMerge w:val="restart"/>
            <w:vAlign w:val="center"/>
          </w:tcPr>
          <w:p w:rsidR="00F02B56" w:rsidRPr="00A54277" w:rsidRDefault="002606C1" w:rsidP="00F02B56">
            <w:pPr>
              <w:jc w:val="center"/>
              <w:rPr>
                <w:rFonts w:eastAsia="MS Mincho" w:cs="Times New Roman"/>
                <w:b/>
                <w:noProof/>
                <w:sz w:val="18"/>
                <w:szCs w:val="18"/>
                <w:lang w:val="fr-FR"/>
              </w:rPr>
            </w:pPr>
            <w:r>
              <w:rPr>
                <w:rFonts w:eastAsia="MS Mincho" w:cs="Times New Roman"/>
                <w:b/>
                <w:noProof/>
                <w:sz w:val="18"/>
                <w:szCs w:val="18"/>
                <w:lang w:val="fr-FR"/>
              </w:rPr>
              <w:t>Near leg</w:t>
            </w:r>
          </w:p>
        </w:tc>
        <w:tc>
          <w:tcPr>
            <w:tcW w:w="1418" w:type="dxa"/>
            <w:gridSpan w:val="2"/>
          </w:tcPr>
          <w:p w:rsidR="00F02B56" w:rsidRPr="00A54277" w:rsidRDefault="002606C1" w:rsidP="00F02B56">
            <w:pPr>
              <w:jc w:val="center"/>
              <w:rPr>
                <w:rFonts w:eastAsia="MS Mincho" w:cs="Times New Roman"/>
                <w:b/>
                <w:noProof/>
                <w:sz w:val="18"/>
                <w:szCs w:val="18"/>
                <w:lang w:val="fr-FR"/>
              </w:rPr>
            </w:pPr>
            <w:r>
              <w:rPr>
                <w:rFonts w:eastAsia="MS Mincho" w:cs="Times New Roman"/>
                <w:b/>
                <w:noProof/>
                <w:sz w:val="18"/>
                <w:szCs w:val="18"/>
                <w:lang w:val="fr-FR"/>
              </w:rPr>
              <w:t>Debt securities</w:t>
            </w:r>
          </w:p>
        </w:tc>
        <w:tc>
          <w:tcPr>
            <w:tcW w:w="992" w:type="dxa"/>
            <w:gridSpan w:val="2"/>
          </w:tcPr>
          <w:p w:rsidR="00F02B56" w:rsidRPr="00A54277" w:rsidRDefault="00F02B56" w:rsidP="00F02B56">
            <w:pPr>
              <w:jc w:val="center"/>
              <w:rPr>
                <w:rFonts w:eastAsia="MS Mincho" w:cs="Times New Roman"/>
                <w:b/>
                <w:noProof/>
                <w:sz w:val="18"/>
                <w:szCs w:val="18"/>
                <w:lang w:val="fr-FR"/>
              </w:rPr>
            </w:pPr>
            <w:r w:rsidRPr="00A54277">
              <w:rPr>
                <w:rFonts w:eastAsia="MS Mincho" w:cs="Times New Roman"/>
                <w:b/>
                <w:noProof/>
                <w:sz w:val="18"/>
                <w:szCs w:val="18"/>
                <w:lang w:val="fr-FR"/>
              </w:rPr>
              <w:t>Market claim</w:t>
            </w:r>
          </w:p>
        </w:tc>
        <w:tc>
          <w:tcPr>
            <w:tcW w:w="2126" w:type="dxa"/>
            <w:gridSpan w:val="2"/>
          </w:tcPr>
          <w:p w:rsidR="00F02B56" w:rsidRPr="002606C1" w:rsidRDefault="002606C1" w:rsidP="002606C1">
            <w:pPr>
              <w:jc w:val="center"/>
              <w:rPr>
                <w:rFonts w:eastAsia="MS Mincho" w:cs="Times New Roman"/>
                <w:b/>
                <w:noProof/>
                <w:sz w:val="18"/>
                <w:szCs w:val="18"/>
              </w:rPr>
            </w:pPr>
            <w:r w:rsidRPr="00F02B56">
              <w:rPr>
                <w:rFonts w:eastAsia="MS Mincho" w:cs="Times New Roman"/>
                <w:b/>
                <w:noProof/>
                <w:sz w:val="18"/>
                <w:szCs w:val="18"/>
              </w:rPr>
              <w:t xml:space="preserve">Market claim in favor of the </w:t>
            </w:r>
            <w:r>
              <w:rPr>
                <w:rFonts w:eastAsia="MS Mincho" w:cs="Times New Roman"/>
                <w:b/>
                <w:noProof/>
                <w:sz w:val="18"/>
                <w:szCs w:val="18"/>
              </w:rPr>
              <w:t>buyer</w:t>
            </w:r>
          </w:p>
        </w:tc>
        <w:tc>
          <w:tcPr>
            <w:tcW w:w="1985" w:type="dxa"/>
          </w:tcPr>
          <w:p w:rsidR="00F02B56" w:rsidRPr="00A54277" w:rsidRDefault="002606C1" w:rsidP="00F02B56">
            <w:pPr>
              <w:jc w:val="center"/>
              <w:rPr>
                <w:rFonts w:eastAsia="MS Mincho" w:cs="Times New Roman"/>
                <w:b/>
                <w:noProof/>
                <w:sz w:val="18"/>
                <w:szCs w:val="18"/>
                <w:lang w:val="fr-FR"/>
              </w:rPr>
            </w:pPr>
            <w:r>
              <w:rPr>
                <w:rFonts w:eastAsia="MS Mincho" w:cs="Times New Roman"/>
                <w:b/>
                <w:noProof/>
                <w:sz w:val="18"/>
                <w:szCs w:val="18"/>
                <w:lang w:val="fr-FR"/>
              </w:rPr>
              <w:t>If</w:t>
            </w:r>
            <w:r w:rsidR="00F02B56" w:rsidRPr="00A54277">
              <w:rPr>
                <w:rFonts w:eastAsia="MS Mincho" w:cs="Times New Roman"/>
                <w:b/>
                <w:noProof/>
                <w:sz w:val="18"/>
                <w:szCs w:val="18"/>
                <w:lang w:val="fr-FR"/>
              </w:rPr>
              <w:t xml:space="preserve"> ASD &gt; ISD</w:t>
            </w:r>
          </w:p>
        </w:tc>
      </w:tr>
      <w:tr w:rsidR="002606C1" w:rsidRPr="002606C1" w:rsidTr="00F02B56">
        <w:tc>
          <w:tcPr>
            <w:tcW w:w="1666" w:type="dxa"/>
            <w:vMerge/>
          </w:tcPr>
          <w:p w:rsidR="00F02B56" w:rsidRPr="00A54277" w:rsidRDefault="00F02B56" w:rsidP="00F02B56">
            <w:pPr>
              <w:jc w:val="center"/>
              <w:rPr>
                <w:rFonts w:eastAsia="MS Mincho" w:cs="Times New Roman"/>
                <w:b/>
                <w:noProof/>
                <w:sz w:val="18"/>
                <w:szCs w:val="18"/>
                <w:lang w:val="fr-FR"/>
              </w:rPr>
            </w:pPr>
          </w:p>
        </w:tc>
        <w:tc>
          <w:tcPr>
            <w:tcW w:w="1277" w:type="dxa"/>
            <w:gridSpan w:val="2"/>
            <w:vMerge/>
            <w:vAlign w:val="center"/>
          </w:tcPr>
          <w:p w:rsidR="00F02B56" w:rsidRPr="00A54277" w:rsidRDefault="00F02B56" w:rsidP="00F02B56">
            <w:pPr>
              <w:jc w:val="center"/>
              <w:rPr>
                <w:rFonts w:eastAsia="MS Mincho" w:cs="Times New Roman"/>
                <w:b/>
                <w:noProof/>
                <w:sz w:val="18"/>
                <w:szCs w:val="18"/>
                <w:lang w:val="fr-FR"/>
              </w:rPr>
            </w:pPr>
          </w:p>
        </w:tc>
        <w:tc>
          <w:tcPr>
            <w:tcW w:w="1418" w:type="dxa"/>
            <w:gridSpan w:val="2"/>
            <w:vMerge w:val="restart"/>
            <w:vAlign w:val="center"/>
          </w:tcPr>
          <w:p w:rsidR="00F02B56" w:rsidRPr="00A54277" w:rsidRDefault="002606C1" w:rsidP="00F02B56">
            <w:pPr>
              <w:jc w:val="center"/>
              <w:rPr>
                <w:rFonts w:eastAsia="MS Mincho" w:cs="Times New Roman"/>
                <w:b/>
                <w:noProof/>
                <w:sz w:val="18"/>
                <w:szCs w:val="18"/>
                <w:lang w:val="fr-FR"/>
              </w:rPr>
            </w:pPr>
            <w:r>
              <w:rPr>
                <w:rFonts w:eastAsia="MS Mincho" w:cs="Times New Roman"/>
                <w:b/>
                <w:noProof/>
                <w:sz w:val="18"/>
                <w:szCs w:val="18"/>
                <w:lang w:val="fr-FR"/>
              </w:rPr>
              <w:t>Capital securities</w:t>
            </w:r>
          </w:p>
        </w:tc>
        <w:tc>
          <w:tcPr>
            <w:tcW w:w="992" w:type="dxa"/>
            <w:gridSpan w:val="2"/>
          </w:tcPr>
          <w:p w:rsidR="00F02B56" w:rsidRPr="00A54277" w:rsidRDefault="00F02B56" w:rsidP="00F02B56">
            <w:pPr>
              <w:jc w:val="center"/>
              <w:rPr>
                <w:rFonts w:eastAsia="MS Mincho" w:cs="Times New Roman"/>
                <w:b/>
                <w:noProof/>
                <w:sz w:val="18"/>
                <w:szCs w:val="18"/>
                <w:lang w:val="fr-FR"/>
              </w:rPr>
            </w:pPr>
            <w:r w:rsidRPr="00A54277">
              <w:rPr>
                <w:rFonts w:eastAsia="MS Mincho" w:cs="Times New Roman"/>
                <w:b/>
                <w:noProof/>
                <w:sz w:val="18"/>
                <w:szCs w:val="18"/>
                <w:lang w:val="fr-FR"/>
              </w:rPr>
              <w:t>Market claim</w:t>
            </w:r>
          </w:p>
        </w:tc>
        <w:tc>
          <w:tcPr>
            <w:tcW w:w="2126" w:type="dxa"/>
            <w:gridSpan w:val="2"/>
          </w:tcPr>
          <w:p w:rsidR="00F02B56" w:rsidRPr="002606C1" w:rsidRDefault="002606C1" w:rsidP="00F02B56">
            <w:pPr>
              <w:jc w:val="center"/>
              <w:rPr>
                <w:rFonts w:eastAsia="MS Mincho" w:cs="Times New Roman"/>
                <w:b/>
                <w:noProof/>
                <w:sz w:val="18"/>
                <w:szCs w:val="18"/>
              </w:rPr>
            </w:pPr>
            <w:r w:rsidRPr="00F02B56">
              <w:rPr>
                <w:rFonts w:eastAsia="MS Mincho" w:cs="Times New Roman"/>
                <w:b/>
                <w:noProof/>
                <w:sz w:val="18"/>
                <w:szCs w:val="18"/>
              </w:rPr>
              <w:t xml:space="preserve">Market claim in favor of the </w:t>
            </w:r>
            <w:r>
              <w:rPr>
                <w:rFonts w:eastAsia="MS Mincho" w:cs="Times New Roman"/>
                <w:b/>
                <w:noProof/>
                <w:sz w:val="18"/>
                <w:szCs w:val="18"/>
              </w:rPr>
              <w:t>buyer</w:t>
            </w:r>
          </w:p>
        </w:tc>
        <w:tc>
          <w:tcPr>
            <w:tcW w:w="1985" w:type="dxa"/>
          </w:tcPr>
          <w:p w:rsidR="00F02B56" w:rsidRPr="002606C1" w:rsidRDefault="002606C1" w:rsidP="002606C1">
            <w:pPr>
              <w:jc w:val="center"/>
              <w:rPr>
                <w:rFonts w:eastAsia="MS Mincho" w:cs="Times New Roman"/>
                <w:b/>
                <w:noProof/>
                <w:sz w:val="18"/>
                <w:szCs w:val="18"/>
              </w:rPr>
            </w:pPr>
            <w:r w:rsidRPr="002606C1">
              <w:rPr>
                <w:rFonts w:eastAsia="MS Mincho" w:cs="Times New Roman"/>
                <w:b/>
                <w:noProof/>
                <w:sz w:val="18"/>
                <w:szCs w:val="18"/>
              </w:rPr>
              <w:t>If</w:t>
            </w:r>
            <w:r w:rsidR="00F02B56" w:rsidRPr="002606C1">
              <w:rPr>
                <w:rFonts w:eastAsia="MS Mincho" w:cs="Times New Roman"/>
                <w:b/>
                <w:noProof/>
                <w:sz w:val="18"/>
                <w:szCs w:val="18"/>
              </w:rPr>
              <w:t xml:space="preserve"> TD &lt; EX date </w:t>
            </w:r>
            <w:r w:rsidRPr="002606C1">
              <w:rPr>
                <w:rFonts w:eastAsia="MS Mincho" w:cs="Times New Roman"/>
                <w:b/>
                <w:noProof/>
                <w:sz w:val="18"/>
                <w:szCs w:val="18"/>
              </w:rPr>
              <w:t>and</w:t>
            </w:r>
            <w:r w:rsidR="00F02B56" w:rsidRPr="002606C1">
              <w:rPr>
                <w:rFonts w:eastAsia="MS Mincho" w:cs="Times New Roman"/>
                <w:b/>
                <w:noProof/>
                <w:sz w:val="18"/>
                <w:szCs w:val="18"/>
              </w:rPr>
              <w:t xml:space="preserve"> ISD &gt; Record date</w:t>
            </w:r>
          </w:p>
        </w:tc>
      </w:tr>
      <w:tr w:rsidR="002606C1" w:rsidRPr="002606C1" w:rsidTr="00F02B56">
        <w:tc>
          <w:tcPr>
            <w:tcW w:w="1666" w:type="dxa"/>
            <w:vMerge/>
          </w:tcPr>
          <w:p w:rsidR="00F02B56" w:rsidRPr="002606C1" w:rsidRDefault="00F02B56" w:rsidP="00F02B56">
            <w:pPr>
              <w:jc w:val="center"/>
              <w:rPr>
                <w:rFonts w:eastAsia="MS Mincho" w:cs="Times New Roman"/>
                <w:b/>
                <w:noProof/>
                <w:sz w:val="18"/>
                <w:szCs w:val="18"/>
              </w:rPr>
            </w:pPr>
          </w:p>
        </w:tc>
        <w:tc>
          <w:tcPr>
            <w:tcW w:w="1277" w:type="dxa"/>
            <w:gridSpan w:val="2"/>
            <w:vMerge/>
            <w:vAlign w:val="center"/>
          </w:tcPr>
          <w:p w:rsidR="00F02B56" w:rsidRPr="002606C1" w:rsidRDefault="00F02B56" w:rsidP="00F02B56">
            <w:pPr>
              <w:jc w:val="center"/>
              <w:rPr>
                <w:rFonts w:eastAsia="MS Mincho" w:cs="Times New Roman"/>
                <w:b/>
                <w:noProof/>
                <w:sz w:val="18"/>
                <w:szCs w:val="18"/>
              </w:rPr>
            </w:pPr>
          </w:p>
        </w:tc>
        <w:tc>
          <w:tcPr>
            <w:tcW w:w="1418" w:type="dxa"/>
            <w:gridSpan w:val="2"/>
            <w:vMerge/>
            <w:vAlign w:val="center"/>
          </w:tcPr>
          <w:p w:rsidR="00F02B56" w:rsidRPr="002606C1" w:rsidRDefault="00F02B56" w:rsidP="00F02B56">
            <w:pPr>
              <w:jc w:val="center"/>
              <w:rPr>
                <w:rFonts w:eastAsia="MS Mincho" w:cs="Times New Roman"/>
                <w:b/>
                <w:noProof/>
                <w:sz w:val="18"/>
                <w:szCs w:val="18"/>
              </w:rPr>
            </w:pPr>
          </w:p>
        </w:tc>
        <w:tc>
          <w:tcPr>
            <w:tcW w:w="992" w:type="dxa"/>
            <w:gridSpan w:val="2"/>
          </w:tcPr>
          <w:p w:rsidR="00F02B56" w:rsidRPr="00A54277" w:rsidRDefault="00F02B56" w:rsidP="00F02B56">
            <w:pPr>
              <w:jc w:val="center"/>
              <w:rPr>
                <w:rFonts w:eastAsia="MS Mincho" w:cs="Times New Roman"/>
                <w:b/>
                <w:noProof/>
                <w:sz w:val="18"/>
                <w:szCs w:val="18"/>
                <w:lang w:val="fr-FR"/>
              </w:rPr>
            </w:pPr>
            <w:r w:rsidRPr="00A54277">
              <w:rPr>
                <w:rFonts w:eastAsia="MS Mincho" w:cs="Times New Roman"/>
                <w:b/>
                <w:noProof/>
                <w:sz w:val="18"/>
                <w:szCs w:val="18"/>
                <w:lang w:val="fr-FR"/>
              </w:rPr>
              <w:t>Reverse Claim</w:t>
            </w:r>
          </w:p>
        </w:tc>
        <w:tc>
          <w:tcPr>
            <w:tcW w:w="2126" w:type="dxa"/>
            <w:gridSpan w:val="2"/>
          </w:tcPr>
          <w:p w:rsidR="00F02B56" w:rsidRPr="002606C1" w:rsidRDefault="002606C1" w:rsidP="002606C1">
            <w:pPr>
              <w:jc w:val="center"/>
              <w:rPr>
                <w:rFonts w:eastAsia="MS Mincho" w:cs="Times New Roman"/>
                <w:b/>
                <w:noProof/>
                <w:sz w:val="18"/>
                <w:szCs w:val="18"/>
              </w:rPr>
            </w:pPr>
            <w:r w:rsidRPr="00F02B56">
              <w:rPr>
                <w:rFonts w:eastAsia="MS Mincho" w:cs="Times New Roman"/>
                <w:b/>
                <w:noProof/>
                <w:sz w:val="18"/>
                <w:szCs w:val="18"/>
              </w:rPr>
              <w:t xml:space="preserve">Market claim in favor of the </w:t>
            </w:r>
            <w:r>
              <w:rPr>
                <w:rFonts w:eastAsia="MS Mincho" w:cs="Times New Roman"/>
                <w:b/>
                <w:noProof/>
                <w:sz w:val="18"/>
                <w:szCs w:val="18"/>
              </w:rPr>
              <w:t>seller</w:t>
            </w:r>
          </w:p>
        </w:tc>
        <w:tc>
          <w:tcPr>
            <w:tcW w:w="1985" w:type="dxa"/>
          </w:tcPr>
          <w:p w:rsidR="00F02B56" w:rsidRPr="002606C1" w:rsidRDefault="002606C1" w:rsidP="002606C1">
            <w:pPr>
              <w:jc w:val="center"/>
              <w:rPr>
                <w:rFonts w:eastAsia="MS Mincho" w:cs="Times New Roman"/>
                <w:b/>
                <w:noProof/>
                <w:sz w:val="18"/>
                <w:szCs w:val="18"/>
              </w:rPr>
            </w:pPr>
            <w:r w:rsidRPr="002606C1">
              <w:rPr>
                <w:rFonts w:eastAsia="MS Mincho" w:cs="Times New Roman"/>
                <w:b/>
                <w:noProof/>
                <w:sz w:val="18"/>
                <w:szCs w:val="18"/>
              </w:rPr>
              <w:t xml:space="preserve">If </w:t>
            </w:r>
            <w:r w:rsidR="00F02B56" w:rsidRPr="002606C1">
              <w:rPr>
                <w:rFonts w:eastAsia="MS Mincho" w:cs="Times New Roman"/>
                <w:b/>
                <w:noProof/>
                <w:sz w:val="18"/>
                <w:szCs w:val="18"/>
              </w:rPr>
              <w:t xml:space="preserve">TD &gt; Ex date </w:t>
            </w:r>
            <w:r w:rsidRPr="002606C1">
              <w:rPr>
                <w:rFonts w:eastAsia="MS Mincho" w:cs="Times New Roman"/>
                <w:b/>
                <w:noProof/>
                <w:sz w:val="18"/>
                <w:szCs w:val="18"/>
              </w:rPr>
              <w:t xml:space="preserve">and </w:t>
            </w:r>
            <w:r w:rsidR="00F02B56" w:rsidRPr="002606C1">
              <w:rPr>
                <w:rFonts w:eastAsia="MS Mincho" w:cs="Times New Roman"/>
                <w:b/>
                <w:noProof/>
                <w:sz w:val="18"/>
                <w:szCs w:val="18"/>
              </w:rPr>
              <w:t>&lt;= Record date</w:t>
            </w:r>
          </w:p>
        </w:tc>
      </w:tr>
      <w:tr w:rsidR="00F02B56" w:rsidRPr="002606C1" w:rsidTr="00F02B56">
        <w:tc>
          <w:tcPr>
            <w:tcW w:w="9464" w:type="dxa"/>
            <w:gridSpan w:val="10"/>
          </w:tcPr>
          <w:p w:rsidR="00F02B56" w:rsidRPr="002606C1" w:rsidRDefault="002606C1" w:rsidP="002606C1">
            <w:pPr>
              <w:jc w:val="both"/>
              <w:rPr>
                <w:rFonts w:eastAsia="MS Mincho" w:cs="Times New Roman"/>
                <w:b/>
                <w:noProof/>
                <w:sz w:val="18"/>
                <w:szCs w:val="18"/>
              </w:rPr>
            </w:pPr>
            <w:r w:rsidRPr="002606C1">
              <w:rPr>
                <w:rFonts w:eastAsia="MS Mincho" w:cs="Times New Roman"/>
                <w:b/>
                <w:noProof/>
                <w:sz w:val="18"/>
                <w:szCs w:val="18"/>
              </w:rPr>
              <w:t xml:space="preserve">The </w:t>
            </w:r>
            <w:r w:rsidR="00F02B56" w:rsidRPr="002606C1">
              <w:rPr>
                <w:rFonts w:eastAsia="MS Mincho" w:cs="Times New Roman"/>
                <w:b/>
                <w:noProof/>
                <w:sz w:val="18"/>
                <w:szCs w:val="18"/>
              </w:rPr>
              <w:t xml:space="preserve">trade date </w:t>
            </w:r>
            <w:r w:rsidRPr="002606C1">
              <w:rPr>
                <w:rFonts w:eastAsia="MS Mincho" w:cs="Times New Roman"/>
                <w:b/>
                <w:noProof/>
                <w:sz w:val="18"/>
                <w:szCs w:val="18"/>
              </w:rPr>
              <w:t>is sequal to the settlement date of the far leg of the securities financing transaction whatever the type of remuneration</w:t>
            </w:r>
            <w:r w:rsidR="00F02B56" w:rsidRPr="002606C1">
              <w:rPr>
                <w:rFonts w:eastAsia="MS Mincho" w:cs="Times New Roman"/>
                <w:b/>
                <w:noProof/>
                <w:sz w:val="18"/>
                <w:szCs w:val="18"/>
              </w:rPr>
              <w:t xml:space="preserve"> (variable EONIA, fixe</w:t>
            </w:r>
            <w:r>
              <w:rPr>
                <w:rFonts w:eastAsia="MS Mincho" w:cs="Times New Roman"/>
                <w:b/>
                <w:noProof/>
                <w:sz w:val="18"/>
                <w:szCs w:val="18"/>
              </w:rPr>
              <w:t>d</w:t>
            </w:r>
            <w:r w:rsidR="00F02B56" w:rsidRPr="002606C1">
              <w:rPr>
                <w:rFonts w:eastAsia="MS Mincho" w:cs="Times New Roman"/>
                <w:b/>
                <w:noProof/>
                <w:sz w:val="18"/>
                <w:szCs w:val="18"/>
              </w:rPr>
              <w:t xml:space="preserve"> , </w:t>
            </w:r>
            <w:r>
              <w:rPr>
                <w:rFonts w:eastAsia="MS Mincho" w:cs="Times New Roman"/>
                <w:b/>
                <w:noProof/>
                <w:sz w:val="18"/>
                <w:szCs w:val="18"/>
              </w:rPr>
              <w:t>or no remuneration</w:t>
            </w:r>
            <w:r w:rsidR="00F02B56" w:rsidRPr="002606C1">
              <w:rPr>
                <w:rFonts w:eastAsia="MS Mincho" w:cs="Times New Roman"/>
                <w:b/>
                <w:noProof/>
                <w:sz w:val="18"/>
                <w:szCs w:val="18"/>
              </w:rPr>
              <w:t xml:space="preserve">)  </w:t>
            </w:r>
          </w:p>
        </w:tc>
      </w:tr>
      <w:tr w:rsidR="002606C1" w:rsidRPr="00A54277" w:rsidTr="00F02B56">
        <w:tc>
          <w:tcPr>
            <w:tcW w:w="1666" w:type="dxa"/>
            <w:vMerge w:val="restart"/>
            <w:vAlign w:val="center"/>
          </w:tcPr>
          <w:p w:rsidR="00F02B56" w:rsidRPr="002606C1" w:rsidRDefault="002606C1" w:rsidP="00F02B56">
            <w:pPr>
              <w:jc w:val="center"/>
              <w:rPr>
                <w:rFonts w:eastAsia="MS Mincho" w:cs="Times New Roman"/>
                <w:b/>
                <w:noProof/>
                <w:sz w:val="18"/>
                <w:szCs w:val="18"/>
              </w:rPr>
            </w:pPr>
            <w:r w:rsidRPr="00F02B56">
              <w:rPr>
                <w:rFonts w:eastAsia="MS Mincho" w:cs="Times New Roman"/>
                <w:b/>
                <w:noProof/>
                <w:sz w:val="18"/>
                <w:szCs w:val="18"/>
              </w:rPr>
              <w:t>Input in ‘Slab’ module</w:t>
            </w:r>
            <w:bookmarkStart w:id="0" w:name="_GoBack"/>
            <w:bookmarkEnd w:id="0"/>
            <w:r w:rsidRPr="00F02B56">
              <w:rPr>
                <w:rFonts w:eastAsia="MS Mincho" w:cs="Times New Roman"/>
                <w:b/>
                <w:noProof/>
                <w:sz w:val="18"/>
                <w:szCs w:val="18"/>
              </w:rPr>
              <w:t xml:space="preserve"> Buy/Sell</w:t>
            </w:r>
          </w:p>
        </w:tc>
        <w:tc>
          <w:tcPr>
            <w:tcW w:w="1277" w:type="dxa"/>
            <w:gridSpan w:val="2"/>
            <w:vMerge w:val="restart"/>
            <w:vAlign w:val="center"/>
          </w:tcPr>
          <w:p w:rsidR="00F02B56" w:rsidRPr="00A54277" w:rsidRDefault="002606C1" w:rsidP="00F02B56">
            <w:pPr>
              <w:jc w:val="center"/>
              <w:rPr>
                <w:rFonts w:eastAsia="MS Mincho" w:cs="Times New Roman"/>
                <w:b/>
                <w:noProof/>
                <w:sz w:val="18"/>
                <w:szCs w:val="18"/>
                <w:lang w:val="fr-FR"/>
              </w:rPr>
            </w:pPr>
            <w:r>
              <w:rPr>
                <w:rFonts w:eastAsia="MS Mincho" w:cs="Times New Roman"/>
                <w:b/>
                <w:noProof/>
                <w:sz w:val="18"/>
                <w:szCs w:val="18"/>
                <w:lang w:val="fr-FR"/>
              </w:rPr>
              <w:t>Far leg</w:t>
            </w:r>
          </w:p>
        </w:tc>
        <w:tc>
          <w:tcPr>
            <w:tcW w:w="1418" w:type="dxa"/>
            <w:gridSpan w:val="2"/>
            <w:vMerge w:val="restart"/>
            <w:vAlign w:val="center"/>
          </w:tcPr>
          <w:p w:rsidR="00F02B56" w:rsidRPr="00A54277" w:rsidRDefault="002606C1" w:rsidP="00F02B56">
            <w:pPr>
              <w:jc w:val="center"/>
              <w:rPr>
                <w:rFonts w:eastAsia="MS Mincho" w:cs="Times New Roman"/>
                <w:b/>
                <w:noProof/>
                <w:sz w:val="18"/>
                <w:szCs w:val="18"/>
                <w:lang w:val="fr-FR"/>
              </w:rPr>
            </w:pPr>
            <w:r>
              <w:rPr>
                <w:rFonts w:eastAsia="MS Mincho" w:cs="Times New Roman"/>
                <w:b/>
                <w:noProof/>
                <w:sz w:val="18"/>
                <w:szCs w:val="18"/>
                <w:lang w:val="fr-FR"/>
              </w:rPr>
              <w:t>Debt securities</w:t>
            </w:r>
          </w:p>
        </w:tc>
        <w:tc>
          <w:tcPr>
            <w:tcW w:w="992" w:type="dxa"/>
            <w:gridSpan w:val="2"/>
            <w:vMerge w:val="restart"/>
            <w:vAlign w:val="center"/>
          </w:tcPr>
          <w:p w:rsidR="00F02B56" w:rsidRPr="00A54277" w:rsidRDefault="00F02B56" w:rsidP="00F02B56">
            <w:pPr>
              <w:jc w:val="center"/>
              <w:rPr>
                <w:rFonts w:eastAsia="MS Mincho" w:cs="Times New Roman"/>
                <w:b/>
                <w:noProof/>
                <w:sz w:val="18"/>
                <w:szCs w:val="18"/>
                <w:lang w:val="fr-FR"/>
              </w:rPr>
            </w:pPr>
            <w:r w:rsidRPr="00A54277">
              <w:rPr>
                <w:rFonts w:eastAsia="MS Mincho" w:cs="Times New Roman"/>
                <w:b/>
                <w:noProof/>
                <w:sz w:val="18"/>
                <w:szCs w:val="18"/>
                <w:lang w:val="fr-FR"/>
              </w:rPr>
              <w:t>Market claim</w:t>
            </w:r>
          </w:p>
        </w:tc>
        <w:tc>
          <w:tcPr>
            <w:tcW w:w="2126" w:type="dxa"/>
            <w:gridSpan w:val="2"/>
          </w:tcPr>
          <w:p w:rsidR="00F02B56" w:rsidRPr="002606C1" w:rsidRDefault="002606C1" w:rsidP="00F02B56">
            <w:pPr>
              <w:jc w:val="center"/>
              <w:rPr>
                <w:rFonts w:eastAsia="MS Mincho" w:cs="Times New Roman"/>
                <w:b/>
                <w:noProof/>
                <w:sz w:val="18"/>
                <w:szCs w:val="18"/>
              </w:rPr>
            </w:pPr>
            <w:r w:rsidRPr="00F02B56">
              <w:rPr>
                <w:rFonts w:eastAsia="MS Mincho" w:cs="Times New Roman"/>
                <w:b/>
                <w:noProof/>
                <w:sz w:val="18"/>
                <w:szCs w:val="18"/>
              </w:rPr>
              <w:t xml:space="preserve">Market claim in favor of the </w:t>
            </w:r>
            <w:r>
              <w:rPr>
                <w:rFonts w:eastAsia="MS Mincho" w:cs="Times New Roman"/>
                <w:b/>
                <w:noProof/>
                <w:sz w:val="18"/>
                <w:szCs w:val="18"/>
              </w:rPr>
              <w:t>buyer</w:t>
            </w:r>
          </w:p>
        </w:tc>
        <w:tc>
          <w:tcPr>
            <w:tcW w:w="1985" w:type="dxa"/>
          </w:tcPr>
          <w:p w:rsidR="00F02B56" w:rsidRPr="00A54277" w:rsidRDefault="002606C1" w:rsidP="00F02B56">
            <w:pPr>
              <w:jc w:val="center"/>
              <w:rPr>
                <w:rFonts w:eastAsia="MS Mincho" w:cs="Times New Roman"/>
                <w:b/>
                <w:noProof/>
                <w:sz w:val="18"/>
                <w:szCs w:val="18"/>
                <w:lang w:val="fr-FR"/>
              </w:rPr>
            </w:pPr>
            <w:r>
              <w:rPr>
                <w:rFonts w:eastAsia="MS Mincho" w:cs="Times New Roman"/>
                <w:b/>
                <w:noProof/>
                <w:sz w:val="18"/>
                <w:szCs w:val="18"/>
                <w:lang w:val="fr-FR"/>
              </w:rPr>
              <w:t>If</w:t>
            </w:r>
            <w:r w:rsidR="00F02B56" w:rsidRPr="00A54277">
              <w:rPr>
                <w:rFonts w:eastAsia="MS Mincho" w:cs="Times New Roman"/>
                <w:b/>
                <w:noProof/>
                <w:sz w:val="18"/>
                <w:szCs w:val="18"/>
                <w:lang w:val="fr-FR"/>
              </w:rPr>
              <w:t xml:space="preserve"> ASD &gt; ISD</w:t>
            </w:r>
          </w:p>
        </w:tc>
      </w:tr>
      <w:tr w:rsidR="002606C1" w:rsidRPr="00A54277" w:rsidTr="00F02B56">
        <w:tc>
          <w:tcPr>
            <w:tcW w:w="1666" w:type="dxa"/>
            <w:vMerge/>
          </w:tcPr>
          <w:p w:rsidR="00F02B56" w:rsidRPr="00A54277" w:rsidRDefault="00F02B56" w:rsidP="00F02B56">
            <w:pPr>
              <w:jc w:val="center"/>
              <w:rPr>
                <w:rFonts w:eastAsia="MS Mincho" w:cs="Times New Roman"/>
                <w:b/>
                <w:noProof/>
                <w:sz w:val="18"/>
                <w:szCs w:val="18"/>
                <w:lang w:val="fr-FR"/>
              </w:rPr>
            </w:pPr>
          </w:p>
        </w:tc>
        <w:tc>
          <w:tcPr>
            <w:tcW w:w="1277" w:type="dxa"/>
            <w:gridSpan w:val="2"/>
            <w:vMerge/>
          </w:tcPr>
          <w:p w:rsidR="00F02B56" w:rsidRPr="00A54277" w:rsidRDefault="00F02B56" w:rsidP="00F02B56">
            <w:pPr>
              <w:jc w:val="center"/>
              <w:rPr>
                <w:rFonts w:eastAsia="MS Mincho" w:cs="Times New Roman"/>
                <w:b/>
                <w:noProof/>
                <w:sz w:val="18"/>
                <w:szCs w:val="18"/>
                <w:lang w:val="fr-FR"/>
              </w:rPr>
            </w:pPr>
          </w:p>
        </w:tc>
        <w:tc>
          <w:tcPr>
            <w:tcW w:w="1418" w:type="dxa"/>
            <w:gridSpan w:val="2"/>
            <w:vMerge/>
          </w:tcPr>
          <w:p w:rsidR="00F02B56" w:rsidRPr="00A54277" w:rsidRDefault="00F02B56" w:rsidP="00F02B56">
            <w:pPr>
              <w:jc w:val="center"/>
              <w:rPr>
                <w:rFonts w:eastAsia="MS Mincho" w:cs="Times New Roman"/>
                <w:b/>
                <w:noProof/>
                <w:sz w:val="18"/>
                <w:szCs w:val="18"/>
                <w:lang w:val="fr-FR"/>
              </w:rPr>
            </w:pPr>
          </w:p>
        </w:tc>
        <w:tc>
          <w:tcPr>
            <w:tcW w:w="992" w:type="dxa"/>
            <w:gridSpan w:val="2"/>
            <w:vMerge/>
          </w:tcPr>
          <w:p w:rsidR="00F02B56" w:rsidRPr="00A54277" w:rsidRDefault="00F02B56" w:rsidP="00F02B56">
            <w:pPr>
              <w:jc w:val="center"/>
              <w:rPr>
                <w:rFonts w:eastAsia="MS Mincho" w:cs="Times New Roman"/>
                <w:b/>
                <w:noProof/>
                <w:sz w:val="18"/>
                <w:szCs w:val="18"/>
                <w:lang w:val="fr-FR"/>
              </w:rPr>
            </w:pPr>
          </w:p>
        </w:tc>
        <w:tc>
          <w:tcPr>
            <w:tcW w:w="2126" w:type="dxa"/>
            <w:gridSpan w:val="2"/>
          </w:tcPr>
          <w:p w:rsidR="00F02B56" w:rsidRPr="003422E2" w:rsidRDefault="002606C1" w:rsidP="00F02B56">
            <w:pPr>
              <w:jc w:val="both"/>
              <w:rPr>
                <w:rFonts w:eastAsia="MS Mincho" w:cs="Times New Roman"/>
                <w:b/>
                <w:noProof/>
                <w:sz w:val="18"/>
                <w:szCs w:val="18"/>
              </w:rPr>
            </w:pPr>
            <w:r w:rsidRPr="003422E2">
              <w:rPr>
                <w:rFonts w:eastAsia="MS Mincho" w:cs="Times New Roman"/>
                <w:b/>
                <w:noProof/>
                <w:sz w:val="18"/>
                <w:szCs w:val="18"/>
              </w:rPr>
              <w:t>Automatic detection over a period of 20 days after the RD.</w:t>
            </w:r>
          </w:p>
          <w:p w:rsidR="00F02B56" w:rsidRPr="003422E2" w:rsidRDefault="002606C1" w:rsidP="002606C1">
            <w:pPr>
              <w:jc w:val="center"/>
              <w:rPr>
                <w:rFonts w:eastAsia="MS Mincho" w:cs="Times New Roman"/>
                <w:b/>
                <w:noProof/>
                <w:sz w:val="18"/>
                <w:szCs w:val="18"/>
              </w:rPr>
            </w:pPr>
            <w:r w:rsidRPr="003422E2">
              <w:rPr>
                <w:rFonts w:eastAsia="MS Mincho" w:cs="Times New Roman"/>
                <w:b/>
                <w:noProof/>
                <w:sz w:val="18"/>
                <w:szCs w:val="18"/>
              </w:rPr>
              <w:t xml:space="preserve">After 20 days after the RD, the detection is manual and bilateral </w:t>
            </w:r>
          </w:p>
        </w:tc>
        <w:tc>
          <w:tcPr>
            <w:tcW w:w="1985" w:type="dxa"/>
          </w:tcPr>
          <w:p w:rsidR="00F02B56" w:rsidRPr="00A54277" w:rsidRDefault="002606C1" w:rsidP="00F02B56">
            <w:pPr>
              <w:jc w:val="center"/>
              <w:rPr>
                <w:rFonts w:eastAsia="MS Mincho" w:cs="Times New Roman"/>
                <w:b/>
                <w:noProof/>
                <w:sz w:val="18"/>
                <w:szCs w:val="18"/>
                <w:lang w:val="fr-FR"/>
              </w:rPr>
            </w:pPr>
            <w:r>
              <w:rPr>
                <w:rFonts w:eastAsia="MS Mincho" w:cs="Times New Roman"/>
                <w:b/>
                <w:noProof/>
                <w:sz w:val="18"/>
                <w:szCs w:val="18"/>
                <w:lang w:val="fr-FR"/>
              </w:rPr>
              <w:t xml:space="preserve">Whatever the </w:t>
            </w:r>
            <w:r w:rsidR="00F02B56" w:rsidRPr="00A54277">
              <w:rPr>
                <w:rFonts w:eastAsia="MS Mincho" w:cs="Times New Roman"/>
                <w:b/>
                <w:noProof/>
                <w:sz w:val="18"/>
                <w:szCs w:val="18"/>
                <w:lang w:val="fr-FR"/>
              </w:rPr>
              <w:t>ISD/ASD</w:t>
            </w:r>
          </w:p>
        </w:tc>
      </w:tr>
      <w:tr w:rsidR="002606C1" w:rsidRPr="002606C1" w:rsidTr="00F02B56">
        <w:tc>
          <w:tcPr>
            <w:tcW w:w="1666" w:type="dxa"/>
            <w:vMerge/>
          </w:tcPr>
          <w:p w:rsidR="00F02B56" w:rsidRPr="00A54277" w:rsidRDefault="00F02B56" w:rsidP="00F02B56">
            <w:pPr>
              <w:jc w:val="center"/>
              <w:rPr>
                <w:rFonts w:eastAsia="MS Mincho" w:cs="Times New Roman"/>
                <w:b/>
                <w:noProof/>
                <w:sz w:val="18"/>
                <w:szCs w:val="18"/>
                <w:lang w:val="fr-FR"/>
              </w:rPr>
            </w:pPr>
          </w:p>
        </w:tc>
        <w:tc>
          <w:tcPr>
            <w:tcW w:w="1277" w:type="dxa"/>
            <w:gridSpan w:val="2"/>
            <w:vMerge/>
          </w:tcPr>
          <w:p w:rsidR="00F02B56" w:rsidRPr="00A54277" w:rsidRDefault="00F02B56" w:rsidP="00F02B56">
            <w:pPr>
              <w:jc w:val="center"/>
              <w:rPr>
                <w:rFonts w:eastAsia="MS Mincho" w:cs="Times New Roman"/>
                <w:b/>
                <w:noProof/>
                <w:sz w:val="18"/>
                <w:szCs w:val="18"/>
                <w:lang w:val="fr-FR"/>
              </w:rPr>
            </w:pPr>
          </w:p>
        </w:tc>
        <w:tc>
          <w:tcPr>
            <w:tcW w:w="1418" w:type="dxa"/>
            <w:gridSpan w:val="2"/>
            <w:vMerge w:val="restart"/>
            <w:vAlign w:val="center"/>
          </w:tcPr>
          <w:p w:rsidR="00F02B56" w:rsidRPr="00A54277" w:rsidRDefault="00F02B56" w:rsidP="00F02B56">
            <w:pPr>
              <w:jc w:val="center"/>
              <w:rPr>
                <w:rFonts w:eastAsia="MS Mincho" w:cs="Times New Roman"/>
                <w:b/>
                <w:noProof/>
                <w:sz w:val="18"/>
                <w:szCs w:val="18"/>
                <w:lang w:val="fr-FR"/>
              </w:rPr>
            </w:pPr>
            <w:r w:rsidRPr="00A54277">
              <w:rPr>
                <w:rFonts w:eastAsia="MS Mincho" w:cs="Times New Roman"/>
                <w:b/>
                <w:noProof/>
                <w:sz w:val="18"/>
                <w:szCs w:val="18"/>
                <w:lang w:val="fr-FR"/>
              </w:rPr>
              <w:t>Titres de capital</w:t>
            </w:r>
          </w:p>
        </w:tc>
        <w:tc>
          <w:tcPr>
            <w:tcW w:w="992" w:type="dxa"/>
            <w:gridSpan w:val="2"/>
            <w:vAlign w:val="center"/>
          </w:tcPr>
          <w:p w:rsidR="00F02B56" w:rsidRPr="00A54277" w:rsidRDefault="00F02B56" w:rsidP="00F02B56">
            <w:pPr>
              <w:jc w:val="center"/>
              <w:rPr>
                <w:rFonts w:eastAsia="MS Mincho" w:cs="Times New Roman"/>
                <w:b/>
                <w:noProof/>
                <w:sz w:val="18"/>
                <w:szCs w:val="18"/>
                <w:lang w:val="fr-FR"/>
              </w:rPr>
            </w:pPr>
            <w:r w:rsidRPr="00A54277">
              <w:rPr>
                <w:rFonts w:eastAsia="MS Mincho" w:cs="Times New Roman"/>
                <w:b/>
                <w:noProof/>
                <w:sz w:val="18"/>
                <w:szCs w:val="18"/>
                <w:lang w:val="fr-FR"/>
              </w:rPr>
              <w:t xml:space="preserve">Market </w:t>
            </w:r>
            <w:r w:rsidRPr="00A54277">
              <w:rPr>
                <w:rFonts w:eastAsia="MS Mincho" w:cs="Times New Roman"/>
                <w:b/>
                <w:noProof/>
                <w:sz w:val="18"/>
                <w:szCs w:val="18"/>
                <w:lang w:val="fr-FR"/>
              </w:rPr>
              <w:lastRenderedPageBreak/>
              <w:t>claim</w:t>
            </w:r>
          </w:p>
        </w:tc>
        <w:tc>
          <w:tcPr>
            <w:tcW w:w="2126" w:type="dxa"/>
            <w:gridSpan w:val="2"/>
          </w:tcPr>
          <w:p w:rsidR="002606C1" w:rsidRPr="002606C1" w:rsidRDefault="002606C1" w:rsidP="00F02B56">
            <w:pPr>
              <w:jc w:val="center"/>
              <w:rPr>
                <w:rFonts w:eastAsia="MS Mincho" w:cs="Times New Roman"/>
                <w:b/>
                <w:noProof/>
                <w:sz w:val="18"/>
                <w:szCs w:val="18"/>
              </w:rPr>
            </w:pPr>
            <w:r w:rsidRPr="002606C1">
              <w:rPr>
                <w:rFonts w:eastAsia="MS Mincho" w:cs="Times New Roman"/>
                <w:b/>
                <w:noProof/>
                <w:sz w:val="18"/>
                <w:szCs w:val="18"/>
              </w:rPr>
              <w:lastRenderedPageBreak/>
              <w:t xml:space="preserve">Market claim in favor of </w:t>
            </w:r>
            <w:r w:rsidRPr="002606C1">
              <w:rPr>
                <w:rFonts w:eastAsia="MS Mincho" w:cs="Times New Roman"/>
                <w:b/>
                <w:noProof/>
                <w:sz w:val="18"/>
                <w:szCs w:val="18"/>
              </w:rPr>
              <w:lastRenderedPageBreak/>
              <w:t>the buyer</w:t>
            </w:r>
          </w:p>
          <w:p w:rsidR="002606C1" w:rsidRPr="003422E2" w:rsidRDefault="002606C1" w:rsidP="002606C1">
            <w:pPr>
              <w:jc w:val="center"/>
              <w:rPr>
                <w:rFonts w:eastAsia="MS Mincho" w:cs="Times New Roman"/>
                <w:b/>
                <w:noProof/>
                <w:sz w:val="18"/>
                <w:szCs w:val="18"/>
              </w:rPr>
            </w:pPr>
            <w:r w:rsidRPr="002606C1">
              <w:rPr>
                <w:rFonts w:eastAsia="MS Mincho" w:cs="Times New Roman"/>
                <w:b/>
                <w:noProof/>
                <w:sz w:val="18"/>
                <w:szCs w:val="18"/>
              </w:rPr>
              <w:t>Automatic detection over a period of 20 days after the RD / manual and bilateral after RD</w:t>
            </w:r>
          </w:p>
          <w:p w:rsidR="00F02B56" w:rsidRPr="003422E2" w:rsidRDefault="00F02B56" w:rsidP="00F02B56">
            <w:pPr>
              <w:jc w:val="center"/>
              <w:rPr>
                <w:rFonts w:eastAsia="MS Mincho" w:cs="Times New Roman"/>
                <w:b/>
                <w:noProof/>
                <w:sz w:val="18"/>
                <w:szCs w:val="18"/>
              </w:rPr>
            </w:pPr>
          </w:p>
        </w:tc>
        <w:tc>
          <w:tcPr>
            <w:tcW w:w="1985" w:type="dxa"/>
          </w:tcPr>
          <w:p w:rsidR="00F02B56" w:rsidRPr="002606C1" w:rsidRDefault="002606C1" w:rsidP="002606C1">
            <w:pPr>
              <w:jc w:val="center"/>
              <w:rPr>
                <w:rFonts w:eastAsia="MS Mincho" w:cs="Times New Roman"/>
                <w:b/>
                <w:noProof/>
                <w:sz w:val="18"/>
                <w:szCs w:val="18"/>
              </w:rPr>
            </w:pPr>
            <w:r w:rsidRPr="002606C1">
              <w:rPr>
                <w:rFonts w:eastAsia="MS Mincho" w:cs="Times New Roman"/>
                <w:b/>
                <w:noProof/>
                <w:sz w:val="18"/>
                <w:szCs w:val="18"/>
              </w:rPr>
              <w:lastRenderedPageBreak/>
              <w:t>If</w:t>
            </w:r>
            <w:r w:rsidR="00F02B56" w:rsidRPr="002606C1">
              <w:rPr>
                <w:rFonts w:eastAsia="MS Mincho" w:cs="Times New Roman"/>
                <w:b/>
                <w:noProof/>
                <w:sz w:val="18"/>
                <w:szCs w:val="18"/>
              </w:rPr>
              <w:t xml:space="preserve"> TD &lt; EX date </w:t>
            </w:r>
            <w:r w:rsidRPr="002606C1">
              <w:rPr>
                <w:rFonts w:eastAsia="MS Mincho" w:cs="Times New Roman"/>
                <w:b/>
                <w:noProof/>
                <w:sz w:val="18"/>
                <w:szCs w:val="18"/>
              </w:rPr>
              <w:t>and</w:t>
            </w:r>
            <w:r w:rsidR="00F02B56" w:rsidRPr="002606C1">
              <w:rPr>
                <w:rFonts w:eastAsia="MS Mincho" w:cs="Times New Roman"/>
                <w:b/>
                <w:noProof/>
                <w:sz w:val="18"/>
                <w:szCs w:val="18"/>
              </w:rPr>
              <w:t xml:space="preserve"> ISD </w:t>
            </w:r>
            <w:r w:rsidR="00F02B56" w:rsidRPr="002606C1">
              <w:rPr>
                <w:rFonts w:eastAsia="MS Mincho" w:cs="Times New Roman"/>
                <w:b/>
                <w:noProof/>
                <w:sz w:val="18"/>
                <w:szCs w:val="18"/>
              </w:rPr>
              <w:lastRenderedPageBreak/>
              <w:t>&gt; Record date</w:t>
            </w:r>
          </w:p>
        </w:tc>
      </w:tr>
      <w:tr w:rsidR="002606C1" w:rsidRPr="002606C1" w:rsidTr="00F02B56">
        <w:tc>
          <w:tcPr>
            <w:tcW w:w="1666" w:type="dxa"/>
            <w:vMerge/>
          </w:tcPr>
          <w:p w:rsidR="00F02B56" w:rsidRPr="002606C1" w:rsidRDefault="00F02B56" w:rsidP="00F02B56">
            <w:pPr>
              <w:jc w:val="center"/>
              <w:rPr>
                <w:rFonts w:eastAsia="MS Mincho" w:cs="Times New Roman"/>
                <w:b/>
                <w:noProof/>
                <w:sz w:val="18"/>
                <w:szCs w:val="18"/>
              </w:rPr>
            </w:pPr>
          </w:p>
        </w:tc>
        <w:tc>
          <w:tcPr>
            <w:tcW w:w="1277" w:type="dxa"/>
            <w:gridSpan w:val="2"/>
            <w:vMerge/>
          </w:tcPr>
          <w:p w:rsidR="00F02B56" w:rsidRPr="002606C1" w:rsidRDefault="00F02B56" w:rsidP="00F02B56">
            <w:pPr>
              <w:jc w:val="center"/>
              <w:rPr>
                <w:rFonts w:eastAsia="MS Mincho" w:cs="Times New Roman"/>
                <w:b/>
                <w:noProof/>
                <w:sz w:val="18"/>
                <w:szCs w:val="18"/>
              </w:rPr>
            </w:pPr>
          </w:p>
        </w:tc>
        <w:tc>
          <w:tcPr>
            <w:tcW w:w="1418" w:type="dxa"/>
            <w:gridSpan w:val="2"/>
            <w:vMerge/>
            <w:vAlign w:val="center"/>
          </w:tcPr>
          <w:p w:rsidR="00F02B56" w:rsidRPr="002606C1" w:rsidRDefault="00F02B56" w:rsidP="00F02B56">
            <w:pPr>
              <w:jc w:val="center"/>
              <w:rPr>
                <w:rFonts w:eastAsia="MS Mincho" w:cs="Times New Roman"/>
                <w:b/>
                <w:noProof/>
                <w:sz w:val="18"/>
                <w:szCs w:val="18"/>
              </w:rPr>
            </w:pPr>
          </w:p>
        </w:tc>
        <w:tc>
          <w:tcPr>
            <w:tcW w:w="992" w:type="dxa"/>
            <w:gridSpan w:val="2"/>
          </w:tcPr>
          <w:p w:rsidR="00F02B56" w:rsidRPr="00A54277" w:rsidRDefault="00F02B56" w:rsidP="00F02B56">
            <w:pPr>
              <w:jc w:val="center"/>
              <w:rPr>
                <w:rFonts w:eastAsia="MS Mincho" w:cs="Times New Roman"/>
                <w:b/>
                <w:noProof/>
                <w:sz w:val="18"/>
                <w:szCs w:val="18"/>
                <w:lang w:val="fr-FR"/>
              </w:rPr>
            </w:pPr>
            <w:r w:rsidRPr="00A54277">
              <w:rPr>
                <w:rFonts w:eastAsia="MS Mincho" w:cs="Times New Roman"/>
                <w:b/>
                <w:noProof/>
                <w:sz w:val="18"/>
                <w:szCs w:val="18"/>
                <w:lang w:val="fr-FR"/>
              </w:rPr>
              <w:t>Reverse Claim</w:t>
            </w:r>
          </w:p>
        </w:tc>
        <w:tc>
          <w:tcPr>
            <w:tcW w:w="2126" w:type="dxa"/>
            <w:gridSpan w:val="2"/>
          </w:tcPr>
          <w:p w:rsidR="002606C1" w:rsidRPr="002606C1" w:rsidRDefault="002606C1" w:rsidP="002606C1">
            <w:pPr>
              <w:jc w:val="center"/>
              <w:rPr>
                <w:rFonts w:eastAsia="MS Mincho" w:cs="Times New Roman"/>
                <w:b/>
                <w:noProof/>
                <w:sz w:val="18"/>
                <w:szCs w:val="18"/>
              </w:rPr>
            </w:pPr>
            <w:r w:rsidRPr="002606C1">
              <w:rPr>
                <w:rFonts w:eastAsia="MS Mincho" w:cs="Times New Roman"/>
                <w:b/>
                <w:noProof/>
                <w:sz w:val="18"/>
                <w:szCs w:val="18"/>
              </w:rPr>
              <w:t xml:space="preserve">Market claim in favor of the </w:t>
            </w:r>
            <w:r>
              <w:rPr>
                <w:rFonts w:eastAsia="MS Mincho" w:cs="Times New Roman"/>
                <w:b/>
                <w:noProof/>
                <w:sz w:val="18"/>
                <w:szCs w:val="18"/>
              </w:rPr>
              <w:t>seller</w:t>
            </w:r>
          </w:p>
          <w:p w:rsidR="00F02B56" w:rsidRPr="002606C1" w:rsidRDefault="002606C1" w:rsidP="002606C1">
            <w:pPr>
              <w:jc w:val="center"/>
              <w:rPr>
                <w:rFonts w:eastAsia="MS Mincho" w:cs="Times New Roman"/>
                <w:b/>
                <w:noProof/>
                <w:sz w:val="18"/>
                <w:szCs w:val="18"/>
              </w:rPr>
            </w:pPr>
            <w:r w:rsidRPr="002606C1">
              <w:rPr>
                <w:rFonts w:eastAsia="MS Mincho" w:cs="Times New Roman"/>
                <w:b/>
                <w:noProof/>
                <w:sz w:val="18"/>
                <w:szCs w:val="18"/>
              </w:rPr>
              <w:t xml:space="preserve">Automatic detection over a period of 20 days after the RD </w:t>
            </w:r>
          </w:p>
        </w:tc>
        <w:tc>
          <w:tcPr>
            <w:tcW w:w="1985" w:type="dxa"/>
          </w:tcPr>
          <w:p w:rsidR="00F02B56" w:rsidRPr="002606C1" w:rsidRDefault="002606C1" w:rsidP="002606C1">
            <w:pPr>
              <w:jc w:val="center"/>
              <w:rPr>
                <w:rFonts w:eastAsia="MS Mincho" w:cs="Times New Roman"/>
                <w:b/>
                <w:noProof/>
                <w:sz w:val="18"/>
                <w:szCs w:val="18"/>
              </w:rPr>
            </w:pPr>
            <w:r w:rsidRPr="002606C1">
              <w:rPr>
                <w:rFonts w:eastAsia="MS Mincho" w:cs="Times New Roman"/>
                <w:b/>
                <w:noProof/>
                <w:sz w:val="18"/>
                <w:szCs w:val="18"/>
              </w:rPr>
              <w:t>If</w:t>
            </w:r>
            <w:r w:rsidR="00F02B56" w:rsidRPr="002606C1">
              <w:rPr>
                <w:rFonts w:eastAsia="MS Mincho" w:cs="Times New Roman"/>
                <w:b/>
                <w:noProof/>
                <w:sz w:val="18"/>
                <w:szCs w:val="18"/>
              </w:rPr>
              <w:t xml:space="preserve"> TD &gt; Ex date </w:t>
            </w:r>
            <w:r w:rsidRPr="002606C1">
              <w:rPr>
                <w:rFonts w:eastAsia="MS Mincho" w:cs="Times New Roman"/>
                <w:b/>
                <w:noProof/>
                <w:sz w:val="18"/>
                <w:szCs w:val="18"/>
              </w:rPr>
              <w:t>and</w:t>
            </w:r>
            <w:r w:rsidR="00F02B56" w:rsidRPr="002606C1">
              <w:rPr>
                <w:rFonts w:eastAsia="MS Mincho" w:cs="Times New Roman"/>
                <w:b/>
                <w:noProof/>
                <w:sz w:val="18"/>
                <w:szCs w:val="18"/>
              </w:rPr>
              <w:t xml:space="preserve"> &lt;= Record date</w:t>
            </w:r>
          </w:p>
        </w:tc>
      </w:tr>
    </w:tbl>
    <w:p w:rsidR="00F02B56" w:rsidRPr="002606C1" w:rsidRDefault="00F02B56" w:rsidP="00F02B56">
      <w:pPr>
        <w:spacing w:before="120" w:after="0" w:line="240" w:lineRule="auto"/>
        <w:jc w:val="both"/>
        <w:rPr>
          <w:rFonts w:eastAsia="MS Mincho" w:cs="Times New Roman"/>
          <w:noProof/>
          <w:szCs w:val="32"/>
        </w:rPr>
      </w:pPr>
    </w:p>
    <w:p w:rsidR="00DD4496" w:rsidRPr="002606C1" w:rsidRDefault="00DD4496" w:rsidP="00DD4496">
      <w:pPr>
        <w:spacing w:before="120" w:after="0" w:line="240" w:lineRule="auto"/>
        <w:jc w:val="both"/>
        <w:rPr>
          <w:rFonts w:eastAsia="MS Mincho" w:cs="Times New Roman"/>
          <w:noProof/>
          <w:szCs w:val="32"/>
        </w:rPr>
      </w:pPr>
    </w:p>
    <w:sectPr w:rsidR="00DD4496" w:rsidRPr="002606C1" w:rsidSect="006D6846">
      <w:headerReference w:type="default" r:id="rId8"/>
      <w:footerReference w:type="default" r:id="rId9"/>
      <w:pgSz w:w="12240" w:h="15840"/>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3D4" w:rsidRDefault="008503D4" w:rsidP="006D6846">
      <w:pPr>
        <w:spacing w:after="0" w:line="240" w:lineRule="auto"/>
      </w:pPr>
      <w:r>
        <w:separator/>
      </w:r>
    </w:p>
  </w:endnote>
  <w:endnote w:type="continuationSeparator" w:id="0">
    <w:p w:rsidR="008503D4" w:rsidRDefault="008503D4"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9825659"/>
      <w:docPartObj>
        <w:docPartGallery w:val="Page Numbers (Bottom of Page)"/>
        <w:docPartUnique/>
      </w:docPartObj>
    </w:sdtPr>
    <w:sdtEndPr>
      <w:rPr>
        <w:noProof/>
      </w:rPr>
    </w:sdtEndPr>
    <w:sdtContent>
      <w:p w:rsidR="00F02B56" w:rsidRDefault="00F02B56">
        <w:pPr>
          <w:pStyle w:val="Footer"/>
          <w:jc w:val="right"/>
        </w:pPr>
        <w:r>
          <w:fldChar w:fldCharType="begin"/>
        </w:r>
        <w:r>
          <w:instrText xml:space="preserve"> PAGE   \* MERGEFORMAT </w:instrText>
        </w:r>
        <w:r>
          <w:fldChar w:fldCharType="separate"/>
        </w:r>
        <w:r w:rsidR="00C84E90">
          <w:rPr>
            <w:noProof/>
          </w:rPr>
          <w:t>8</w:t>
        </w:r>
        <w:r>
          <w:rPr>
            <w:noProof/>
          </w:rPr>
          <w:fldChar w:fldCharType="end"/>
        </w:r>
      </w:p>
    </w:sdtContent>
  </w:sdt>
  <w:p w:rsidR="00F02B56" w:rsidRDefault="00F02B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3D4" w:rsidRDefault="008503D4" w:rsidP="006D6846">
      <w:pPr>
        <w:spacing w:after="0" w:line="240" w:lineRule="auto"/>
      </w:pPr>
      <w:r>
        <w:separator/>
      </w:r>
    </w:p>
  </w:footnote>
  <w:footnote w:type="continuationSeparator" w:id="0">
    <w:p w:rsidR="008503D4" w:rsidRDefault="008503D4"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8"/>
    </w:tblGrid>
    <w:tr w:rsidR="00F02B56" w:rsidTr="00EC776F">
      <w:tc>
        <w:tcPr>
          <w:tcW w:w="5778" w:type="dxa"/>
          <w:vAlign w:val="center"/>
        </w:tcPr>
        <w:p w:rsidR="00F02B56" w:rsidRPr="005B1C9D" w:rsidRDefault="00F02B56" w:rsidP="007B216A">
          <w:pPr>
            <w:pStyle w:val="Header"/>
            <w:jc w:val="center"/>
            <w:rPr>
              <w:b/>
            </w:rPr>
          </w:pPr>
          <w:r w:rsidRPr="005B1C9D">
            <w:rPr>
              <w:b/>
            </w:rPr>
            <w:t>T2S Market Practice Adaptation Workgroup</w:t>
          </w:r>
        </w:p>
        <w:p w:rsidR="00F02B56" w:rsidRPr="007B216A" w:rsidRDefault="00F02B56" w:rsidP="007B216A">
          <w:pPr>
            <w:pStyle w:val="Header"/>
            <w:jc w:val="center"/>
            <w:rPr>
              <w:b/>
            </w:rPr>
          </w:pPr>
          <w:r w:rsidRPr="005B1C9D">
            <w:rPr>
              <w:b/>
            </w:rPr>
            <w:t xml:space="preserve">Market Practice </w:t>
          </w:r>
          <w:r>
            <w:rPr>
              <w:b/>
            </w:rPr>
            <w:t>Sheet</w:t>
          </w:r>
        </w:p>
      </w:tc>
      <w:tc>
        <w:tcPr>
          <w:tcW w:w="3798" w:type="dxa"/>
          <w:vAlign w:val="center"/>
        </w:tcPr>
        <w:p w:rsidR="00F02B56" w:rsidRDefault="00F02B56" w:rsidP="00EC776F">
          <w:pPr>
            <w:pStyle w:val="Header"/>
            <w:jc w:val="center"/>
            <w:rPr>
              <w:b/>
              <w:lang w:val="fr-FR"/>
            </w:rPr>
          </w:pPr>
          <w:r>
            <w:rPr>
              <w:noProof/>
            </w:rPr>
            <w:drawing>
              <wp:inline distT="0" distB="0" distL="0" distR="0" wp14:anchorId="634A4C11" wp14:editId="34550FA7">
                <wp:extent cx="1032931" cy="516467"/>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228" cy="517116"/>
                        </a:xfrm>
                        <a:prstGeom prst="rect">
                          <a:avLst/>
                        </a:prstGeom>
                      </pic:spPr>
                    </pic:pic>
                  </a:graphicData>
                </a:graphic>
              </wp:inline>
            </w:drawing>
          </w:r>
        </w:p>
      </w:tc>
    </w:tr>
    <w:tr w:rsidR="00F02B56" w:rsidRPr="00C06869" w:rsidTr="00EC776F">
      <w:tc>
        <w:tcPr>
          <w:tcW w:w="5778" w:type="dxa"/>
          <w:vAlign w:val="center"/>
        </w:tcPr>
        <w:p w:rsidR="00F02B56" w:rsidRPr="007B216A" w:rsidRDefault="00F02B56" w:rsidP="004543FE">
          <w:pPr>
            <w:pStyle w:val="Header"/>
            <w:rPr>
              <w:i/>
            </w:rPr>
          </w:pPr>
          <w:r>
            <w:rPr>
              <w:i/>
            </w:rPr>
            <w:t>Practice</w:t>
          </w:r>
          <w:r w:rsidRPr="0033411F">
            <w:rPr>
              <w:i/>
            </w:rPr>
            <w:t xml:space="preserve"> reference</w:t>
          </w:r>
          <w:r w:rsidRPr="007B216A">
            <w:rPr>
              <w:i/>
            </w:rPr>
            <w:t xml:space="preserve">: </w:t>
          </w:r>
          <w:r w:rsidRPr="00FA4417">
            <w:rPr>
              <w:i/>
              <w:lang w:val="fr-FR"/>
            </w:rPr>
            <w:t>OF-FLUX-CESSIONSTEMPORAIRES-0</w:t>
          </w:r>
          <w:r>
            <w:rPr>
              <w:i/>
              <w:lang w:val="fr-FR"/>
            </w:rPr>
            <w:t>2</w:t>
          </w:r>
        </w:p>
      </w:tc>
      <w:tc>
        <w:tcPr>
          <w:tcW w:w="3798" w:type="dxa"/>
          <w:vAlign w:val="center"/>
        </w:tcPr>
        <w:p w:rsidR="00F02B56" w:rsidRPr="007B216A" w:rsidRDefault="00F02B56" w:rsidP="00EC776F">
          <w:pPr>
            <w:pStyle w:val="Header"/>
            <w:jc w:val="center"/>
            <w:rPr>
              <w:noProof/>
            </w:rPr>
          </w:pPr>
        </w:p>
      </w:tc>
    </w:tr>
  </w:tbl>
  <w:p w:rsidR="00F02B56" w:rsidRPr="007B216A" w:rsidRDefault="00F02B56">
    <w:pPr>
      <w:pStyle w:val="Header"/>
      <w:rPr>
        <w:b/>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nsid w:val="02A51889"/>
    <w:multiLevelType w:val="hybridMultilevel"/>
    <w:tmpl w:val="E3E0B20A"/>
    <w:lvl w:ilvl="0" w:tplc="9E080B8A">
      <w:start w:val="1"/>
      <w:numFmt w:val="bullet"/>
      <w:lvlText w:val=""/>
      <w:lvlJc w:val="left"/>
      <w:pPr>
        <w:ind w:left="720" w:hanging="360"/>
      </w:pPr>
      <w:rPr>
        <w:rFonts w:ascii="Symbol" w:hAnsi="Symbol" w:hint="default"/>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24E79DC"/>
    <w:multiLevelType w:val="hybridMultilevel"/>
    <w:tmpl w:val="FF563AE0"/>
    <w:lvl w:ilvl="0" w:tplc="040C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D7101850">
      <w:start w:val="30"/>
      <w:numFmt w:val="bullet"/>
      <w:lvlText w:val=""/>
      <w:lvlJc w:val="left"/>
      <w:pPr>
        <w:ind w:left="2520" w:hanging="360"/>
      </w:pPr>
      <w:rPr>
        <w:rFonts w:ascii="Wingdings" w:eastAsia="MS Mincho" w:hAnsi="Wingdings" w:cs="Tahoma"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A3E0530"/>
    <w:multiLevelType w:val="hybridMultilevel"/>
    <w:tmpl w:val="5404B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8D7B9F"/>
    <w:multiLevelType w:val="hybridMultilevel"/>
    <w:tmpl w:val="90741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D1B029E"/>
    <w:multiLevelType w:val="hybridMultilevel"/>
    <w:tmpl w:val="DFD0EA76"/>
    <w:lvl w:ilvl="0" w:tplc="980A614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2685906"/>
    <w:multiLevelType w:val="hybridMultilevel"/>
    <w:tmpl w:val="B170918E"/>
    <w:lvl w:ilvl="0" w:tplc="1546A4E6">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5B73F30"/>
    <w:multiLevelType w:val="hybridMultilevel"/>
    <w:tmpl w:val="AF28FF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ACB12B1"/>
    <w:multiLevelType w:val="hybridMultilevel"/>
    <w:tmpl w:val="0F688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F63463"/>
    <w:multiLevelType w:val="hybridMultilevel"/>
    <w:tmpl w:val="C9B253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1D23D7"/>
    <w:multiLevelType w:val="hybridMultilevel"/>
    <w:tmpl w:val="2BF6F8D8"/>
    <w:lvl w:ilvl="0" w:tplc="57FA741E">
      <w:start w:val="1"/>
      <w:numFmt w:val="bullet"/>
      <w:lvlText w:val=""/>
      <w:lvlJc w:val="left"/>
      <w:pPr>
        <w:ind w:left="360" w:hanging="360"/>
      </w:pPr>
      <w:rPr>
        <w:rFonts w:ascii="Wingdings" w:hAnsi="Wingding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nsid w:val="6C001547"/>
    <w:multiLevelType w:val="hybridMultilevel"/>
    <w:tmpl w:val="D32607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D8479E7"/>
    <w:multiLevelType w:val="hybridMultilevel"/>
    <w:tmpl w:val="E1226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16"/>
  </w:num>
  <w:num w:numId="4">
    <w:abstractNumId w:val="15"/>
  </w:num>
  <w:num w:numId="5">
    <w:abstractNumId w:val="2"/>
  </w:num>
  <w:num w:numId="6">
    <w:abstractNumId w:val="0"/>
  </w:num>
  <w:num w:numId="7">
    <w:abstractNumId w:val="4"/>
  </w:num>
  <w:num w:numId="8">
    <w:abstractNumId w:val="3"/>
  </w:num>
  <w:num w:numId="9">
    <w:abstractNumId w:val="5"/>
  </w:num>
  <w:num w:numId="10">
    <w:abstractNumId w:val="9"/>
  </w:num>
  <w:num w:numId="11">
    <w:abstractNumId w:val="13"/>
  </w:num>
  <w:num w:numId="12">
    <w:abstractNumId w:val="1"/>
  </w:num>
  <w:num w:numId="13">
    <w:abstractNumId w:val="11"/>
  </w:num>
  <w:num w:numId="14">
    <w:abstractNumId w:val="8"/>
  </w:num>
  <w:num w:numId="15">
    <w:abstractNumId w:val="12"/>
  </w:num>
  <w:num w:numId="16">
    <w:abstractNumId w:val="10"/>
  </w:num>
  <w:num w:numId="17">
    <w:abstractNumId w:val="14"/>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46"/>
    <w:rsid w:val="00020084"/>
    <w:rsid w:val="000706A3"/>
    <w:rsid w:val="000A6C94"/>
    <w:rsid w:val="000C1C9B"/>
    <w:rsid w:val="000C457B"/>
    <w:rsid w:val="000D6F4D"/>
    <w:rsid w:val="000F3C24"/>
    <w:rsid w:val="00113071"/>
    <w:rsid w:val="0011664E"/>
    <w:rsid w:val="00124240"/>
    <w:rsid w:val="001346CF"/>
    <w:rsid w:val="00140482"/>
    <w:rsid w:val="00145ADA"/>
    <w:rsid w:val="001522A5"/>
    <w:rsid w:val="00162BBA"/>
    <w:rsid w:val="00183F7A"/>
    <w:rsid w:val="001A26CA"/>
    <w:rsid w:val="001A6D1F"/>
    <w:rsid w:val="001B0416"/>
    <w:rsid w:val="001B1E38"/>
    <w:rsid w:val="001C4C4C"/>
    <w:rsid w:val="001C7BAF"/>
    <w:rsid w:val="001D7830"/>
    <w:rsid w:val="001E0D83"/>
    <w:rsid w:val="00211814"/>
    <w:rsid w:val="00217510"/>
    <w:rsid w:val="002304BF"/>
    <w:rsid w:val="002606C1"/>
    <w:rsid w:val="00283DDE"/>
    <w:rsid w:val="0028538B"/>
    <w:rsid w:val="002F1986"/>
    <w:rsid w:val="003422E2"/>
    <w:rsid w:val="00343829"/>
    <w:rsid w:val="00343B9E"/>
    <w:rsid w:val="003631EA"/>
    <w:rsid w:val="00363E89"/>
    <w:rsid w:val="003929BA"/>
    <w:rsid w:val="003A4E76"/>
    <w:rsid w:val="003B3DA4"/>
    <w:rsid w:val="003D5E9F"/>
    <w:rsid w:val="003D7060"/>
    <w:rsid w:val="004113EB"/>
    <w:rsid w:val="004543FE"/>
    <w:rsid w:val="00464015"/>
    <w:rsid w:val="004818D8"/>
    <w:rsid w:val="00482296"/>
    <w:rsid w:val="00487A07"/>
    <w:rsid w:val="004D7252"/>
    <w:rsid w:val="004F6025"/>
    <w:rsid w:val="005061BA"/>
    <w:rsid w:val="005067E0"/>
    <w:rsid w:val="0051485E"/>
    <w:rsid w:val="00540A70"/>
    <w:rsid w:val="00567B1D"/>
    <w:rsid w:val="00575F36"/>
    <w:rsid w:val="005C2ACA"/>
    <w:rsid w:val="005F33E4"/>
    <w:rsid w:val="005F65C3"/>
    <w:rsid w:val="00622E8A"/>
    <w:rsid w:val="00625541"/>
    <w:rsid w:val="00652C13"/>
    <w:rsid w:val="00694503"/>
    <w:rsid w:val="0069580E"/>
    <w:rsid w:val="006D6846"/>
    <w:rsid w:val="00701AE2"/>
    <w:rsid w:val="00714CE6"/>
    <w:rsid w:val="00727BF7"/>
    <w:rsid w:val="0074709E"/>
    <w:rsid w:val="00765664"/>
    <w:rsid w:val="00776CD9"/>
    <w:rsid w:val="007B216A"/>
    <w:rsid w:val="007B7B10"/>
    <w:rsid w:val="007C7303"/>
    <w:rsid w:val="007D71BE"/>
    <w:rsid w:val="007F6CFC"/>
    <w:rsid w:val="0080446B"/>
    <w:rsid w:val="0081511D"/>
    <w:rsid w:val="00830B7B"/>
    <w:rsid w:val="00837334"/>
    <w:rsid w:val="00841E84"/>
    <w:rsid w:val="008503D4"/>
    <w:rsid w:val="0085743B"/>
    <w:rsid w:val="00862D25"/>
    <w:rsid w:val="008800A4"/>
    <w:rsid w:val="00893912"/>
    <w:rsid w:val="008A30A6"/>
    <w:rsid w:val="008C734C"/>
    <w:rsid w:val="008F0F0B"/>
    <w:rsid w:val="0091257E"/>
    <w:rsid w:val="0092276F"/>
    <w:rsid w:val="00922A8E"/>
    <w:rsid w:val="00922B9C"/>
    <w:rsid w:val="00933237"/>
    <w:rsid w:val="009606C4"/>
    <w:rsid w:val="009635E0"/>
    <w:rsid w:val="00982218"/>
    <w:rsid w:val="00995F65"/>
    <w:rsid w:val="009978DE"/>
    <w:rsid w:val="009A24A6"/>
    <w:rsid w:val="009A2F1A"/>
    <w:rsid w:val="009A64D1"/>
    <w:rsid w:val="00A133A7"/>
    <w:rsid w:val="00A20577"/>
    <w:rsid w:val="00A21489"/>
    <w:rsid w:val="00A40ED4"/>
    <w:rsid w:val="00A45A45"/>
    <w:rsid w:val="00A45B97"/>
    <w:rsid w:val="00A678C0"/>
    <w:rsid w:val="00A746A0"/>
    <w:rsid w:val="00A90EEC"/>
    <w:rsid w:val="00AA1FDB"/>
    <w:rsid w:val="00AA62D7"/>
    <w:rsid w:val="00AB02BC"/>
    <w:rsid w:val="00AC134F"/>
    <w:rsid w:val="00B26098"/>
    <w:rsid w:val="00B31057"/>
    <w:rsid w:val="00B44E11"/>
    <w:rsid w:val="00B540C8"/>
    <w:rsid w:val="00B62B1E"/>
    <w:rsid w:val="00B727D8"/>
    <w:rsid w:val="00B9491F"/>
    <w:rsid w:val="00BA66D3"/>
    <w:rsid w:val="00BA6B0A"/>
    <w:rsid w:val="00BC7577"/>
    <w:rsid w:val="00BE4C60"/>
    <w:rsid w:val="00BF5A36"/>
    <w:rsid w:val="00C02B2C"/>
    <w:rsid w:val="00C06869"/>
    <w:rsid w:val="00C070B0"/>
    <w:rsid w:val="00C1000A"/>
    <w:rsid w:val="00C221EA"/>
    <w:rsid w:val="00C33595"/>
    <w:rsid w:val="00C3423B"/>
    <w:rsid w:val="00C41782"/>
    <w:rsid w:val="00C43D15"/>
    <w:rsid w:val="00C57689"/>
    <w:rsid w:val="00C60EC8"/>
    <w:rsid w:val="00C65EB2"/>
    <w:rsid w:val="00C77C0A"/>
    <w:rsid w:val="00C84E90"/>
    <w:rsid w:val="00CB0F41"/>
    <w:rsid w:val="00CC7462"/>
    <w:rsid w:val="00CD3755"/>
    <w:rsid w:val="00CE6DA3"/>
    <w:rsid w:val="00CF605A"/>
    <w:rsid w:val="00D103DA"/>
    <w:rsid w:val="00D12DE8"/>
    <w:rsid w:val="00D252A7"/>
    <w:rsid w:val="00D50DB6"/>
    <w:rsid w:val="00D529B3"/>
    <w:rsid w:val="00D53037"/>
    <w:rsid w:val="00D5515F"/>
    <w:rsid w:val="00DB106F"/>
    <w:rsid w:val="00DB7B9A"/>
    <w:rsid w:val="00DD071C"/>
    <w:rsid w:val="00DD4496"/>
    <w:rsid w:val="00DE1483"/>
    <w:rsid w:val="00E34D84"/>
    <w:rsid w:val="00E351C1"/>
    <w:rsid w:val="00E35B86"/>
    <w:rsid w:val="00E438E3"/>
    <w:rsid w:val="00E52109"/>
    <w:rsid w:val="00E62EAE"/>
    <w:rsid w:val="00EA5560"/>
    <w:rsid w:val="00EB2F9C"/>
    <w:rsid w:val="00EB44AB"/>
    <w:rsid w:val="00EC7272"/>
    <w:rsid w:val="00EC776F"/>
    <w:rsid w:val="00F00BF4"/>
    <w:rsid w:val="00F02B56"/>
    <w:rsid w:val="00F358FF"/>
    <w:rsid w:val="00F35CCA"/>
    <w:rsid w:val="00F84B2D"/>
    <w:rsid w:val="00F904C9"/>
    <w:rsid w:val="00FC06B7"/>
    <w:rsid w:val="00FC4F18"/>
    <w:rsid w:val="00FE19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paragraph" w:styleId="CommentText">
    <w:name w:val="annotation text"/>
    <w:basedOn w:val="Normal"/>
    <w:link w:val="CommentTextChar"/>
    <w:uiPriority w:val="99"/>
    <w:unhideWhenUsed/>
    <w:rsid w:val="00F02B56"/>
    <w:pPr>
      <w:spacing w:line="240" w:lineRule="auto"/>
    </w:pPr>
    <w:rPr>
      <w:sz w:val="20"/>
      <w:szCs w:val="20"/>
    </w:rPr>
  </w:style>
  <w:style w:type="character" w:customStyle="1" w:styleId="CommentTextChar">
    <w:name w:val="Comment Text Char"/>
    <w:basedOn w:val="DefaultParagraphFont"/>
    <w:link w:val="CommentText"/>
    <w:uiPriority w:val="99"/>
    <w:rsid w:val="00F02B56"/>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paragraph" w:styleId="CommentText">
    <w:name w:val="annotation text"/>
    <w:basedOn w:val="Normal"/>
    <w:link w:val="CommentTextChar"/>
    <w:uiPriority w:val="99"/>
    <w:unhideWhenUsed/>
    <w:rsid w:val="00F02B56"/>
    <w:pPr>
      <w:spacing w:line="240" w:lineRule="auto"/>
    </w:pPr>
    <w:rPr>
      <w:sz w:val="20"/>
      <w:szCs w:val="20"/>
    </w:rPr>
  </w:style>
  <w:style w:type="character" w:customStyle="1" w:styleId="CommentTextChar">
    <w:name w:val="Comment Text Char"/>
    <w:basedOn w:val="DefaultParagraphFont"/>
    <w:link w:val="CommentText"/>
    <w:uiPriority w:val="99"/>
    <w:rsid w:val="00F02B5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9</Pages>
  <Words>2230</Words>
  <Characters>12713</Characters>
  <Application>Microsoft Office Word</Application>
  <DocSecurity>0</DocSecurity>
  <Lines>105</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Cognizant Technology Solutions</Company>
  <LinksUpToDate>false</LinksUpToDate>
  <CharactersWithSpaces>14914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Cognizant Technology Solutions</dc:creator>
  <cp:lastModifiedBy>François DUBRAU</cp:lastModifiedBy>
  <cp:revision>35</cp:revision>
  <cp:lastPrinted>2015-10-09T10:36:00Z</cp:lastPrinted>
  <dcterms:created xsi:type="dcterms:W3CDTF">2016-01-07T06:52:00Z</dcterms:created>
  <dcterms:modified xsi:type="dcterms:W3CDTF">2016-10-10T06:42:00Z</dcterms:modified>
</cp:coreProperties>
</file>