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  <w:bookmarkStart w:id="0" w:name="_GoBack"/>
    </w:p>
    <w:p w:rsidR="00575F36" w:rsidRPr="00E33BFB" w:rsidRDefault="00E33BFB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</w:rPr>
      </w:pPr>
      <w:r w:rsidRPr="00E33BFB">
        <w:rPr>
          <w:b/>
          <w:noProof/>
          <w:sz w:val="36"/>
        </w:rPr>
        <w:t>Migration of instructions set at ICPG3 by both counterparties</w:t>
      </w:r>
    </w:p>
    <w:p w:rsidR="001B1E38" w:rsidRPr="00E33BFB" w:rsidRDefault="001B1E38" w:rsidP="006D6846">
      <w:pPr>
        <w:tabs>
          <w:tab w:val="left" w:pos="9356"/>
        </w:tabs>
        <w:ind w:right="-279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4932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proofErr w:type="spellStart"/>
            <w:r w:rsidRPr="004F6025">
              <w:rPr>
                <w:b/>
                <w:lang w:val="fr-FR"/>
              </w:rPr>
              <w:t>Versioning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113071" w:rsidP="0079140C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="00140482">
              <w:rPr>
                <w:lang w:val="fr-FR"/>
              </w:rPr>
              <w:t>.</w:t>
            </w:r>
            <w:r w:rsidR="0079140C">
              <w:rPr>
                <w:lang w:val="fr-FR"/>
              </w:rPr>
              <w:t>2</w:t>
            </w:r>
          </w:p>
        </w:tc>
      </w:tr>
      <w:tr w:rsidR="00E33BFB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E33BFB" w:rsidRPr="004F6025" w:rsidRDefault="00E33BFB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E33BFB" w:rsidRDefault="00E33BFB" w:rsidP="00221F48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Publication date</w:t>
            </w:r>
          </w:p>
        </w:tc>
        <w:tc>
          <w:tcPr>
            <w:tcW w:w="4932" w:type="dxa"/>
          </w:tcPr>
          <w:p w:rsidR="00E33BFB" w:rsidRDefault="0079140C" w:rsidP="0079140C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August 29</w:t>
            </w:r>
            <w:r w:rsidRPr="00F60A03">
              <w:rPr>
                <w:vertAlign w:val="superscript"/>
                <w:lang w:val="fr-FR"/>
              </w:rPr>
              <w:t>th</w:t>
            </w:r>
            <w:r w:rsidR="00E33BFB">
              <w:rPr>
                <w:lang w:val="fr-FR"/>
              </w:rPr>
              <w:t>, 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33BFB" w:rsidRPr="000C4CA6" w:rsidRDefault="00E33BFB" w:rsidP="00E33BFB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</w:rPr>
      </w:pPr>
      <w:r w:rsidRPr="003348A6">
        <w:rPr>
          <w:rFonts w:eastAsia="MS Mincho" w:cs="Times New Roman"/>
          <w:b/>
          <w:caps/>
          <w:noProof/>
          <w:sz w:val="32"/>
          <w:szCs w:val="32"/>
        </w:rPr>
        <w:t>Description of the existing practice &amp; of the Impacts</w:t>
      </w:r>
    </w:p>
    <w:p w:rsidR="0081511D" w:rsidRPr="00E33BFB" w:rsidRDefault="0081511D" w:rsidP="00B26098">
      <w:pPr>
        <w:spacing w:after="0" w:line="240" w:lineRule="auto"/>
        <w:rPr>
          <w:rFonts w:eastAsia="MS Mincho" w:cs="Times New Roman"/>
          <w:noProof/>
          <w:szCs w:val="32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E33BFB" w:rsidRPr="00EB2A7B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3BFB" w:rsidRPr="000C4CA6" w:rsidRDefault="00E33BFB" w:rsidP="00221F48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5B1C9D">
              <w:rPr>
                <w:rFonts w:eastAsia="MS Mincho" w:cs="Times New Roman"/>
                <w:b/>
                <w:noProof/>
                <w:szCs w:val="32"/>
              </w:rPr>
              <w:t>Description of the existing practice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E33BFB" w:rsidRDefault="00EB2A7B" w:rsidP="00EB2A7B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i/>
                <w:noProof/>
                <w:szCs w:val="32"/>
                <w:lang w:val="fr-FR"/>
              </w:rPr>
              <w:t>No existing practice</w:t>
            </w:r>
            <w:r w:rsidR="00E33BFB">
              <w:rPr>
                <w:rFonts w:eastAsia="MS Mincho" w:cs="Times New Roman"/>
                <w:i/>
                <w:noProof/>
                <w:szCs w:val="32"/>
                <w:lang w:val="fr-FR"/>
              </w:rPr>
              <w:t>.</w:t>
            </w:r>
          </w:p>
        </w:tc>
      </w:tr>
      <w:tr w:rsidR="00E33BFB" w:rsidRPr="00EB2A7B" w:rsidTr="0091257E">
        <w:tc>
          <w:tcPr>
            <w:tcW w:w="2093" w:type="dxa"/>
            <w:tcBorders>
              <w:left w:val="nil"/>
              <w:right w:val="nil"/>
            </w:tcBorders>
          </w:tcPr>
          <w:p w:rsidR="00E33BFB" w:rsidRPr="00EB2A7B" w:rsidRDefault="00E33BFB" w:rsidP="00221F4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</w:tcPr>
          <w:p w:rsidR="00E33BFB" w:rsidRDefault="00E33BFB" w:rsidP="00B2609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E33BFB" w:rsidRPr="003E64D3" w:rsidTr="0081511D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3BFB" w:rsidRPr="000C4CA6" w:rsidRDefault="00E33BFB" w:rsidP="00221F48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5B1C9D">
              <w:rPr>
                <w:rFonts w:eastAsia="MS Mincho" w:cs="Times New Roman"/>
                <w:b/>
                <w:noProof/>
                <w:szCs w:val="32"/>
              </w:rPr>
              <w:t xml:space="preserve">Description of the T2S </w:t>
            </w:r>
            <w:r>
              <w:rPr>
                <w:rFonts w:eastAsia="MS Mincho" w:cs="Times New Roman"/>
                <w:b/>
                <w:noProof/>
                <w:szCs w:val="32"/>
              </w:rPr>
              <w:t>impact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EB2A7B" w:rsidRPr="003E64D3" w:rsidRDefault="00EB2A7B" w:rsidP="00113071">
            <w:pPr>
              <w:spacing w:before="120"/>
              <w:jc w:val="both"/>
              <w:rPr>
                <w:rFonts w:eastAsia="MS Mincho" w:cs="Times New Roman"/>
                <w:noProof/>
              </w:rPr>
            </w:pPr>
            <w:r w:rsidRPr="003E64D3">
              <w:rPr>
                <w:rFonts w:eastAsia="MS Mincho" w:cs="Times New Roman"/>
                <w:noProof/>
              </w:rPr>
              <w:t xml:space="preserve">In the process defined by Euroclear France for the migration of instructions to T2S, as regards </w:t>
            </w:r>
            <w:r w:rsidR="003E64D3" w:rsidRPr="003E64D3">
              <w:rPr>
                <w:rFonts w:eastAsia="MS Mincho" w:cs="Times New Roman"/>
                <w:noProof/>
              </w:rPr>
              <w:t>the indic</w:t>
            </w:r>
            <w:r w:rsidR="00AC76D1">
              <w:rPr>
                <w:rFonts w:eastAsia="MS Mincho" w:cs="Times New Roman"/>
                <w:noProof/>
              </w:rPr>
              <w:t xml:space="preserve">ator ICPG reflecting the </w:t>
            </w:r>
            <w:r w:rsidR="00221F48" w:rsidRPr="00221F48">
              <w:rPr>
                <w:rFonts w:eastAsia="MS Mincho" w:cs="Times New Roman"/>
                <w:noProof/>
              </w:rPr>
              <w:t>availability</w:t>
            </w:r>
            <w:r w:rsidR="003E64D3" w:rsidRPr="003E64D3">
              <w:rPr>
                <w:rFonts w:eastAsia="MS Mincho" w:cs="Times New Roman"/>
                <w:noProof/>
              </w:rPr>
              <w:t xml:space="preserve"> of securities for auto-collateralization on flows:</w:t>
            </w:r>
          </w:p>
          <w:p w:rsidR="003E64D3" w:rsidRPr="003E64D3" w:rsidRDefault="003E64D3" w:rsidP="00113071">
            <w:pPr>
              <w:numPr>
                <w:ilvl w:val="0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</w:rPr>
            </w:pPr>
            <w:r w:rsidRPr="003E64D3">
              <w:rPr>
                <w:rFonts w:eastAsia="MS Mincho" w:cs="Times New Roman"/>
                <w:noProof/>
              </w:rPr>
              <w:t>Instructions not matched on migration date will be migrated by Euroclear</w:t>
            </w:r>
            <w:r w:rsidR="00221F48">
              <w:rPr>
                <w:rFonts w:eastAsia="MS Mincho" w:cs="Times New Roman"/>
                <w:noProof/>
              </w:rPr>
              <w:t xml:space="preserve"> France</w:t>
            </w:r>
            <w:r w:rsidRPr="003E64D3">
              <w:rPr>
                <w:rFonts w:eastAsia="MS Mincho" w:cs="Times New Roman"/>
                <w:noProof/>
              </w:rPr>
              <w:t xml:space="preserve"> to T2S;</w:t>
            </w:r>
          </w:p>
          <w:p w:rsidR="00E33BFB" w:rsidRPr="003E64D3" w:rsidRDefault="003E64D3" w:rsidP="00113071">
            <w:pPr>
              <w:numPr>
                <w:ilvl w:val="0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</w:rPr>
            </w:pPr>
            <w:r w:rsidRPr="003E64D3">
              <w:rPr>
                <w:rFonts w:eastAsia="MS Mincho" w:cs="Times New Roman"/>
                <w:noProof/>
              </w:rPr>
              <w:t>As regards instructions matched but not settled:</w:t>
            </w:r>
          </w:p>
          <w:p w:rsidR="003E64D3" w:rsidRPr="003E64D3" w:rsidRDefault="003E64D3" w:rsidP="00113071">
            <w:pPr>
              <w:numPr>
                <w:ilvl w:val="1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</w:rPr>
            </w:pPr>
            <w:r w:rsidRPr="003E64D3">
              <w:rPr>
                <w:rFonts w:eastAsia="MS Mincho" w:cs="Times New Roman"/>
                <w:noProof/>
              </w:rPr>
              <w:t>Instructions set at ICPG0 (securities not available for aut-collateralization on flow) will be migrated by Euroclear to T2S;</w:t>
            </w:r>
          </w:p>
          <w:p w:rsidR="00E33BFB" w:rsidRPr="003E64D3" w:rsidRDefault="003E64D3" w:rsidP="00113071">
            <w:pPr>
              <w:numPr>
                <w:ilvl w:val="1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</w:rPr>
            </w:pPr>
            <w:r w:rsidRPr="003E64D3">
              <w:rPr>
                <w:rFonts w:eastAsia="MS Mincho" w:cs="Times New Roman"/>
                <w:noProof/>
              </w:rPr>
              <w:t>Instructions set at ICPG3 (securities available for aut-collateralization on flow) by one counterparty only will be migrated by Euroclear to T2S</w:t>
            </w:r>
            <w:r w:rsidR="00E33BFB" w:rsidRPr="003E64D3">
              <w:rPr>
                <w:rFonts w:eastAsia="MS Mincho" w:cs="Times New Roman"/>
                <w:noProof/>
              </w:rPr>
              <w:t>;</w:t>
            </w:r>
          </w:p>
          <w:p w:rsidR="00E33BFB" w:rsidRPr="003E64D3" w:rsidRDefault="003E64D3" w:rsidP="003E64D3">
            <w:pPr>
              <w:numPr>
                <w:ilvl w:val="1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</w:rPr>
            </w:pPr>
            <w:r w:rsidRPr="003E64D3">
              <w:rPr>
                <w:rFonts w:eastAsia="MS Mincho" w:cs="Times New Roman"/>
                <w:noProof/>
              </w:rPr>
              <w:t xml:space="preserve">Instructions set at ICPG3 (securities available for aut-collateralization on flow) by both counterparties will not be migrated by Euroclear to T2S, as </w:t>
            </w:r>
            <w:r>
              <w:rPr>
                <w:rFonts w:eastAsia="MS Mincho" w:cs="Times New Roman"/>
                <w:noProof/>
              </w:rPr>
              <w:t>sese.023 messages do not allow the indication that the counterparty also wishes that securities are available for auto-collateralization on flow.</w:t>
            </w:r>
          </w:p>
        </w:tc>
      </w:tr>
      <w:tr w:rsidR="0081511D" w:rsidRPr="003E64D3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Pr="003E64D3" w:rsidRDefault="0081511D" w:rsidP="00EC776F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3E64D3" w:rsidRDefault="0081511D" w:rsidP="0081511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E33BFB" w:rsidRPr="00E33BFB" w:rsidTr="0081511D">
        <w:tc>
          <w:tcPr>
            <w:tcW w:w="2093" w:type="dxa"/>
            <w:shd w:val="clear" w:color="auto" w:fill="BFBFBF" w:themeFill="background1" w:themeFillShade="BF"/>
          </w:tcPr>
          <w:p w:rsidR="00E33BFB" w:rsidRPr="000C4CA6" w:rsidRDefault="00E33BFB" w:rsidP="00221F48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major issue</w:t>
            </w:r>
          </w:p>
        </w:tc>
        <w:tc>
          <w:tcPr>
            <w:tcW w:w="7513" w:type="dxa"/>
          </w:tcPr>
          <w:p w:rsidR="003E64D3" w:rsidRPr="003E64D3" w:rsidRDefault="003E64D3" w:rsidP="00113071">
            <w:pPr>
              <w:spacing w:beforeLines="60" w:before="144"/>
              <w:jc w:val="both"/>
              <w:rPr>
                <w:rFonts w:cs="Tahoma"/>
                <w:lang w:eastAsia="fr-FR"/>
              </w:rPr>
            </w:pPr>
            <w:r w:rsidRPr="003E64D3">
              <w:rPr>
                <w:rFonts w:cs="Tahoma"/>
                <w:lang w:eastAsia="fr-FR"/>
              </w:rPr>
              <w:t>I</w:t>
            </w:r>
            <w:r w:rsidR="00E33BFB" w:rsidRPr="003E64D3">
              <w:rPr>
                <w:rFonts w:cs="Tahoma"/>
                <w:lang w:eastAsia="fr-FR"/>
              </w:rPr>
              <w:t xml:space="preserve">nstructions </w:t>
            </w:r>
            <w:r w:rsidRPr="003E64D3">
              <w:rPr>
                <w:rFonts w:cs="Tahoma"/>
                <w:lang w:eastAsia="fr-FR"/>
              </w:rPr>
              <w:t>matched but not settled for which both counterparties have set the indicator at ICPG3, thus indicating that securities are available for auto-collateralization on flow</w:t>
            </w:r>
            <w:r w:rsidR="00AC76D1">
              <w:rPr>
                <w:rFonts w:cs="Tahoma"/>
                <w:lang w:eastAsia="fr-FR"/>
              </w:rPr>
              <w:t>,</w:t>
            </w:r>
            <w:r w:rsidRPr="003E64D3">
              <w:rPr>
                <w:rFonts w:cs="Tahoma"/>
                <w:lang w:eastAsia="fr-FR"/>
              </w:rPr>
              <w:t xml:space="preserve"> cannot be </w:t>
            </w:r>
            <w:r>
              <w:rPr>
                <w:rFonts w:cs="Tahoma"/>
                <w:lang w:eastAsia="fr-FR"/>
              </w:rPr>
              <w:t xml:space="preserve">automatically </w:t>
            </w:r>
            <w:r w:rsidRPr="003E64D3">
              <w:rPr>
                <w:rFonts w:cs="Tahoma"/>
                <w:lang w:eastAsia="fr-FR"/>
              </w:rPr>
              <w:t xml:space="preserve">migrated </w:t>
            </w:r>
            <w:r>
              <w:rPr>
                <w:rFonts w:cs="Tahoma"/>
                <w:lang w:eastAsia="fr-FR"/>
              </w:rPr>
              <w:t xml:space="preserve">by Euroclear </w:t>
            </w:r>
            <w:r w:rsidR="00221F48">
              <w:rPr>
                <w:rFonts w:cs="Tahoma"/>
                <w:lang w:eastAsia="fr-FR"/>
              </w:rPr>
              <w:t xml:space="preserve">France </w:t>
            </w:r>
            <w:r>
              <w:rPr>
                <w:rFonts w:cs="Tahoma"/>
                <w:lang w:eastAsia="fr-FR"/>
              </w:rPr>
              <w:t>(two cases to be considered: matched instructions failing during the  migration, instructions to be settlement post-migration).</w:t>
            </w:r>
          </w:p>
          <w:p w:rsidR="003E64D3" w:rsidRPr="003E64D3" w:rsidRDefault="003E64D3" w:rsidP="00113071">
            <w:pPr>
              <w:spacing w:beforeLines="60" w:before="144" w:after="60"/>
              <w:jc w:val="both"/>
              <w:rPr>
                <w:rFonts w:cs="Tahoma"/>
                <w:lang w:eastAsia="fr-FR"/>
              </w:rPr>
            </w:pPr>
            <w:r w:rsidRPr="003E64D3">
              <w:rPr>
                <w:rFonts w:cs="Tahoma"/>
                <w:lang w:eastAsia="fr-FR"/>
              </w:rPr>
              <w:t xml:space="preserve">Euroclear </w:t>
            </w:r>
            <w:r w:rsidR="003D5122">
              <w:rPr>
                <w:rFonts w:cs="Tahoma"/>
                <w:lang w:eastAsia="fr-FR"/>
              </w:rPr>
              <w:t xml:space="preserve">France </w:t>
            </w:r>
            <w:r w:rsidRPr="003E64D3">
              <w:rPr>
                <w:rFonts w:cs="Tahoma"/>
                <w:lang w:eastAsia="fr-FR"/>
              </w:rPr>
              <w:t xml:space="preserve">cannot send these instructions in already matched mode as they are, sese.023 messages </w:t>
            </w:r>
            <w:r>
              <w:rPr>
                <w:rFonts w:cs="Tahoma"/>
                <w:lang w:eastAsia="fr-FR"/>
              </w:rPr>
              <w:t xml:space="preserve">not allowing for the indication </w:t>
            </w:r>
            <w:r>
              <w:rPr>
                <w:rFonts w:eastAsia="MS Mincho" w:cs="Times New Roman"/>
                <w:noProof/>
              </w:rPr>
              <w:t xml:space="preserve">that the counterparty </w:t>
            </w:r>
            <w:r>
              <w:rPr>
                <w:rFonts w:eastAsia="MS Mincho" w:cs="Times New Roman"/>
                <w:noProof/>
              </w:rPr>
              <w:lastRenderedPageBreak/>
              <w:t>also wishes that securities are available for auto-collateralization on flow.</w:t>
            </w:r>
          </w:p>
          <w:p w:rsidR="00E33BFB" w:rsidRPr="00AC76D1" w:rsidRDefault="003E64D3" w:rsidP="003E64D3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AC76D1">
              <w:rPr>
                <w:rFonts w:cs="Tahoma"/>
              </w:rPr>
              <w:t xml:space="preserve">Euroclear </w:t>
            </w:r>
            <w:r w:rsidR="003D5122">
              <w:rPr>
                <w:rFonts w:cs="Tahoma"/>
              </w:rPr>
              <w:t xml:space="preserve">France </w:t>
            </w:r>
            <w:r w:rsidRPr="00AC76D1">
              <w:rPr>
                <w:rFonts w:cs="Tahoma"/>
              </w:rPr>
              <w:t>chose to purge these instructions.</w:t>
            </w:r>
          </w:p>
        </w:tc>
      </w:tr>
      <w:tr w:rsidR="00E33BFB" w:rsidRPr="00E33BFB" w:rsidTr="00221F48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E33BFB" w:rsidRPr="00AC76D1" w:rsidRDefault="00E33BFB" w:rsidP="00221F48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E33BFB" w:rsidRPr="00AC76D1" w:rsidRDefault="00E33BFB" w:rsidP="00221F48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E33BFB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E33BFB" w:rsidRPr="003348A6" w:rsidRDefault="00E33BFB" w:rsidP="00221F48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E33BFB" w:rsidRPr="00D103DA" w:rsidRDefault="00E33BFB" w:rsidP="00221F4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</w:tcPr>
          <w:p w:rsidR="00E33BFB" w:rsidRDefault="00E33BFB" w:rsidP="00221F4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E33BFB" w:rsidRDefault="00E33BFB" w:rsidP="00221F4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E33BFB" w:rsidRDefault="00E33BFB" w:rsidP="00221F4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E33BFB" w:rsidRPr="0081511D" w:rsidTr="00221F48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E33BFB" w:rsidRDefault="00E33BFB" w:rsidP="00221F4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E33BFB" w:rsidRPr="0081511D" w:rsidRDefault="00E33BFB" w:rsidP="00221F4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E33BFB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E33BFB" w:rsidRDefault="00E33BFB" w:rsidP="00221F4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Workflows</w:t>
            </w:r>
          </w:p>
          <w:p w:rsidR="00E33BFB" w:rsidRDefault="00E33BFB" w:rsidP="00221F4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</w:tcPr>
          <w:p w:rsidR="00E33BFB" w:rsidRPr="00FD2FD6" w:rsidRDefault="00E33BFB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E33BFB" w:rsidRPr="0081511D" w:rsidTr="00221F48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E33BFB" w:rsidRDefault="00E33BFB" w:rsidP="00221F4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E33BFB" w:rsidRPr="0081511D" w:rsidRDefault="00E33BFB" w:rsidP="00221F4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E33BFB" w:rsidRPr="00113071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3BFB" w:rsidRPr="003348A6" w:rsidRDefault="00E33BFB" w:rsidP="00221F48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Links with other market practices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E33BFB" w:rsidRPr="00922B9C" w:rsidRDefault="00E33BFB" w:rsidP="00922B9C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-</w:t>
            </w:r>
          </w:p>
        </w:tc>
      </w:tr>
    </w:tbl>
    <w:p w:rsidR="001E0D83" w:rsidRDefault="001E0D83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33BFB" w:rsidRPr="004F6025" w:rsidRDefault="00E33BFB" w:rsidP="00E33BFB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Recommended market practice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093"/>
        <w:gridCol w:w="7513"/>
      </w:tblGrid>
      <w:tr w:rsidR="001E0D83" w:rsidRPr="00E74725" w:rsidTr="003F01B1">
        <w:tc>
          <w:tcPr>
            <w:tcW w:w="2093" w:type="dxa"/>
            <w:shd w:val="clear" w:color="auto" w:fill="BFBFBF" w:themeFill="background1" w:themeFillShade="BF"/>
          </w:tcPr>
          <w:p w:rsidR="001E0D83" w:rsidRPr="00D103DA" w:rsidRDefault="00E33BFB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Recommended practice</w:t>
            </w:r>
          </w:p>
        </w:tc>
        <w:tc>
          <w:tcPr>
            <w:tcW w:w="7513" w:type="dxa"/>
          </w:tcPr>
          <w:p w:rsidR="003E64D3" w:rsidRPr="003E64D3" w:rsidRDefault="003E64D3" w:rsidP="00113071">
            <w:pPr>
              <w:spacing w:before="60"/>
              <w:jc w:val="both"/>
              <w:rPr>
                <w:rFonts w:eastAsia="MS Mincho" w:cs="Times New Roman"/>
                <w:noProof/>
                <w:szCs w:val="32"/>
              </w:rPr>
            </w:pPr>
            <w:r>
              <w:rPr>
                <w:rFonts w:eastAsia="MS Mincho" w:cs="Times New Roman"/>
                <w:noProof/>
                <w:szCs w:val="32"/>
              </w:rPr>
              <w:t>As i</w:t>
            </w:r>
            <w:r w:rsidRPr="003E64D3">
              <w:rPr>
                <w:rFonts w:eastAsia="MS Mincho" w:cs="Times New Roman"/>
                <w:noProof/>
                <w:szCs w:val="32"/>
              </w:rPr>
              <w:t xml:space="preserve">nstructions for which both counterparties have </w:t>
            </w:r>
            <w:r>
              <w:rPr>
                <w:rFonts w:eastAsia="MS Mincho" w:cs="Times New Roman"/>
                <w:noProof/>
                <w:szCs w:val="32"/>
              </w:rPr>
              <w:t>set the indicator at ICPG3 (securities available for auto-collateralization on flow) cannot be migrated to T2S, the following market practice is recommended:</w:t>
            </w:r>
          </w:p>
          <w:p w:rsidR="003E64D3" w:rsidRPr="003E64D3" w:rsidRDefault="003E64D3" w:rsidP="00113071">
            <w:pPr>
              <w:spacing w:before="60"/>
              <w:jc w:val="both"/>
              <w:rPr>
                <w:rFonts w:eastAsia="MS Mincho" w:cs="Times New Roman"/>
                <w:noProof/>
                <w:szCs w:val="32"/>
              </w:rPr>
            </w:pPr>
            <w:r w:rsidRPr="003E64D3">
              <w:rPr>
                <w:rFonts w:eastAsia="MS Mincho" w:cs="Times New Roman"/>
                <w:noProof/>
                <w:szCs w:val="32"/>
              </w:rPr>
              <w:t xml:space="preserve">For this type of instruction, </w:t>
            </w:r>
            <w:r>
              <w:rPr>
                <w:rFonts w:eastAsia="MS Mincho" w:cs="Times New Roman"/>
                <w:noProof/>
                <w:szCs w:val="32"/>
              </w:rPr>
              <w:t>to be settle</w:t>
            </w:r>
            <w:r w:rsidR="00AC76D1">
              <w:rPr>
                <w:rFonts w:eastAsia="MS Mincho" w:cs="Times New Roman"/>
                <w:noProof/>
                <w:szCs w:val="32"/>
              </w:rPr>
              <w:t>d</w:t>
            </w:r>
            <w:r>
              <w:rPr>
                <w:rFonts w:eastAsia="MS Mincho" w:cs="Times New Roman"/>
                <w:noProof/>
                <w:szCs w:val="32"/>
              </w:rPr>
              <w:t xml:space="preserve"> from </w:t>
            </w:r>
            <w:r w:rsidR="000D5789">
              <w:rPr>
                <w:rFonts w:eastAsia="MS Mincho" w:cs="Times New Roman"/>
                <w:noProof/>
                <w:szCs w:val="32"/>
              </w:rPr>
              <w:t xml:space="preserve">the first settlement day in T2S, institutions are invited to modify the indicator from ICPG3 to ICPG0 prior </w:t>
            </w:r>
            <w:r w:rsidR="00AC76D1">
              <w:rPr>
                <w:rFonts w:eastAsia="MS Mincho" w:cs="Times New Roman"/>
                <w:noProof/>
                <w:szCs w:val="32"/>
              </w:rPr>
              <w:t>to the migration to T2S. It sho</w:t>
            </w:r>
            <w:r w:rsidR="000D5789">
              <w:rPr>
                <w:rFonts w:eastAsia="MS Mincho" w:cs="Times New Roman"/>
                <w:noProof/>
                <w:szCs w:val="32"/>
              </w:rPr>
              <w:t>uld be noted that this only applies to non-cleared OTC transactions.</w:t>
            </w:r>
          </w:p>
          <w:p w:rsidR="00113071" w:rsidRPr="000D5789" w:rsidRDefault="00113071" w:rsidP="00113071">
            <w:pPr>
              <w:spacing w:before="60"/>
              <w:jc w:val="both"/>
              <w:rPr>
                <w:rFonts w:eastAsia="MS Mincho" w:cs="Times New Roman"/>
                <w:noProof/>
                <w:szCs w:val="32"/>
              </w:rPr>
            </w:pPr>
            <w:r w:rsidRPr="000D5789">
              <w:rPr>
                <w:rFonts w:eastAsia="MS Mincho" w:cs="Times New Roman"/>
                <w:noProof/>
                <w:szCs w:val="32"/>
              </w:rPr>
              <w:t xml:space="preserve">2 types </w:t>
            </w:r>
            <w:r w:rsidR="000D5789" w:rsidRPr="000D5789">
              <w:rPr>
                <w:rFonts w:eastAsia="MS Mincho" w:cs="Times New Roman"/>
                <w:noProof/>
                <w:szCs w:val="32"/>
              </w:rPr>
              <w:t xml:space="preserve">of </w:t>
            </w:r>
            <w:r w:rsidRPr="000D5789">
              <w:rPr>
                <w:rFonts w:eastAsia="MS Mincho" w:cs="Times New Roman"/>
                <w:noProof/>
                <w:szCs w:val="32"/>
              </w:rPr>
              <w:t xml:space="preserve">instructions </w:t>
            </w:r>
            <w:r w:rsidR="000D5789" w:rsidRPr="000D5789">
              <w:rPr>
                <w:rFonts w:eastAsia="MS Mincho" w:cs="Times New Roman"/>
                <w:noProof/>
                <w:szCs w:val="32"/>
              </w:rPr>
              <w:t xml:space="preserve">are </w:t>
            </w:r>
            <w:r w:rsidR="003D5122">
              <w:rPr>
                <w:rFonts w:eastAsia="MS Mincho" w:cs="Times New Roman"/>
                <w:noProof/>
                <w:szCs w:val="32"/>
              </w:rPr>
              <w:t xml:space="preserve">concerned </w:t>
            </w:r>
            <w:r w:rsidR="000D5789" w:rsidRPr="000D5789">
              <w:rPr>
                <w:rFonts w:eastAsia="MS Mincho" w:cs="Times New Roman"/>
                <w:noProof/>
                <w:szCs w:val="32"/>
              </w:rPr>
              <w:t>in this case</w:t>
            </w:r>
            <w:r w:rsidRPr="000D5789">
              <w:rPr>
                <w:rFonts w:eastAsia="MS Mincho" w:cs="Times New Roman"/>
                <w:noProof/>
                <w:szCs w:val="32"/>
              </w:rPr>
              <w:t>:</w:t>
            </w:r>
          </w:p>
          <w:p w:rsidR="00113071" w:rsidRPr="000D5789" w:rsidRDefault="000D5789" w:rsidP="00113071">
            <w:pPr>
              <w:pStyle w:val="ListParagraph"/>
              <w:numPr>
                <w:ilvl w:val="0"/>
                <w:numId w:val="9"/>
              </w:numPr>
              <w:spacing w:before="60"/>
              <w:ind w:left="459" w:hanging="425"/>
              <w:jc w:val="both"/>
              <w:rPr>
                <w:rFonts w:eastAsia="MS Mincho" w:cs="Times New Roman"/>
                <w:noProof/>
                <w:szCs w:val="32"/>
              </w:rPr>
            </w:pPr>
            <w:r w:rsidRPr="000D5789">
              <w:rPr>
                <w:rFonts w:eastAsia="MS Mincho" w:cs="Times New Roman"/>
                <w:noProof/>
                <w:szCs w:val="32"/>
              </w:rPr>
              <w:t xml:space="preserve">instructions matched but failing during the </w:t>
            </w:r>
            <w:r w:rsidR="00113071" w:rsidRPr="000D5789">
              <w:rPr>
                <w:rFonts w:eastAsia="MS Mincho" w:cs="Times New Roman"/>
                <w:noProof/>
                <w:szCs w:val="32"/>
              </w:rPr>
              <w:t>m</w:t>
            </w:r>
            <w:r w:rsidRPr="000D5789">
              <w:rPr>
                <w:rFonts w:eastAsia="MS Mincho" w:cs="Times New Roman"/>
                <w:noProof/>
                <w:szCs w:val="32"/>
              </w:rPr>
              <w:t>igration</w:t>
            </w:r>
            <w:r w:rsidR="00113071" w:rsidRPr="000D5789">
              <w:rPr>
                <w:rFonts w:eastAsia="MS Mincho" w:cs="Times New Roman"/>
                <w:noProof/>
                <w:szCs w:val="32"/>
              </w:rPr>
              <w:t>;</w:t>
            </w:r>
          </w:p>
          <w:p w:rsidR="00113071" w:rsidRPr="000D5789" w:rsidRDefault="00113071" w:rsidP="00113071">
            <w:pPr>
              <w:pStyle w:val="ListParagraph"/>
              <w:numPr>
                <w:ilvl w:val="0"/>
                <w:numId w:val="9"/>
              </w:numPr>
              <w:spacing w:before="60"/>
              <w:ind w:left="459" w:hanging="425"/>
              <w:jc w:val="both"/>
              <w:rPr>
                <w:rFonts w:eastAsia="MS Mincho" w:cs="Times New Roman"/>
                <w:noProof/>
                <w:szCs w:val="32"/>
              </w:rPr>
            </w:pPr>
            <w:r w:rsidRPr="000D5789">
              <w:rPr>
                <w:rFonts w:eastAsia="MS Mincho" w:cs="Times New Roman"/>
                <w:noProof/>
                <w:szCs w:val="32"/>
              </w:rPr>
              <w:t xml:space="preserve">instructions </w:t>
            </w:r>
            <w:r w:rsidR="000D5789" w:rsidRPr="000D5789">
              <w:rPr>
                <w:rFonts w:eastAsia="MS Mincho" w:cs="Times New Roman"/>
                <w:noProof/>
                <w:szCs w:val="32"/>
              </w:rPr>
              <w:t xml:space="preserve">to be settled </w:t>
            </w:r>
            <w:r w:rsidRPr="000D5789">
              <w:rPr>
                <w:rFonts w:eastAsia="MS Mincho" w:cs="Times New Roman"/>
                <w:noProof/>
                <w:szCs w:val="32"/>
              </w:rPr>
              <w:t>post-</w:t>
            </w:r>
            <w:r w:rsidR="000D5789">
              <w:rPr>
                <w:rFonts w:eastAsia="MS Mincho" w:cs="Times New Roman"/>
                <w:noProof/>
                <w:szCs w:val="32"/>
              </w:rPr>
              <w:t>migration</w:t>
            </w:r>
            <w:r w:rsidRPr="000D5789">
              <w:rPr>
                <w:rFonts w:eastAsia="MS Mincho" w:cs="Times New Roman"/>
                <w:noProof/>
                <w:szCs w:val="32"/>
              </w:rPr>
              <w:t>.</w:t>
            </w:r>
          </w:p>
          <w:p w:rsidR="000D5789" w:rsidRPr="000D5789" w:rsidRDefault="000D5789" w:rsidP="00113071">
            <w:pPr>
              <w:spacing w:before="120"/>
              <w:ind w:left="34"/>
              <w:jc w:val="both"/>
              <w:rPr>
                <w:rFonts w:eastAsia="MS Mincho" w:cs="Times New Roman"/>
                <w:i/>
                <w:noProof/>
                <w:szCs w:val="32"/>
              </w:rPr>
            </w:pPr>
            <w:r w:rsidRPr="000D5789">
              <w:rPr>
                <w:rFonts w:eastAsia="MS Mincho" w:cs="Times New Roman"/>
                <w:i/>
                <w:noProof/>
                <w:szCs w:val="32"/>
              </w:rPr>
              <w:t xml:space="preserve">It should be noted that some controls will be necessary several days before </w:t>
            </w:r>
            <w:r>
              <w:rPr>
                <w:rFonts w:eastAsia="MS Mincho" w:cs="Times New Roman"/>
                <w:i/>
                <w:noProof/>
                <w:szCs w:val="32"/>
              </w:rPr>
              <w:t xml:space="preserve">and up to </w:t>
            </w:r>
            <w:r w:rsidRPr="000D5789">
              <w:rPr>
                <w:rFonts w:eastAsia="MS Mincho" w:cs="Times New Roman"/>
                <w:i/>
                <w:noProof/>
                <w:szCs w:val="32"/>
              </w:rPr>
              <w:t xml:space="preserve">the migration </w:t>
            </w:r>
            <w:r>
              <w:rPr>
                <w:rFonts w:eastAsia="MS Mincho" w:cs="Times New Roman"/>
                <w:i/>
                <w:noProof/>
                <w:szCs w:val="32"/>
              </w:rPr>
              <w:t xml:space="preserve">to modify the instructions before they are matched. </w:t>
            </w:r>
            <w:r w:rsidR="000729C0">
              <w:rPr>
                <w:rFonts w:eastAsia="MS Mincho" w:cs="Times New Roman"/>
                <w:i/>
                <w:noProof/>
                <w:szCs w:val="32"/>
              </w:rPr>
              <w:t>If they are</w:t>
            </w:r>
            <w:r>
              <w:rPr>
                <w:rFonts w:eastAsia="MS Mincho" w:cs="Times New Roman"/>
                <w:i/>
                <w:noProof/>
                <w:szCs w:val="32"/>
              </w:rPr>
              <w:t>, the cancellation will need to be made bilaterally.</w:t>
            </w:r>
          </w:p>
          <w:p w:rsidR="00113071" w:rsidRPr="000729C0" w:rsidRDefault="00113071" w:rsidP="00113071">
            <w:pPr>
              <w:spacing w:before="120"/>
              <w:ind w:left="34"/>
              <w:jc w:val="both"/>
              <w:rPr>
                <w:rFonts w:eastAsia="MS Mincho" w:cs="Times New Roman"/>
                <w:noProof/>
                <w:szCs w:val="32"/>
              </w:rPr>
            </w:pPr>
          </w:p>
          <w:p w:rsidR="00113071" w:rsidRPr="000D5789" w:rsidRDefault="000D5789" w:rsidP="00113071">
            <w:pPr>
              <w:spacing w:before="120"/>
              <w:ind w:left="34"/>
              <w:jc w:val="both"/>
              <w:rPr>
                <w:rFonts w:eastAsia="MS Mincho" w:cs="Times New Roman"/>
                <w:noProof/>
                <w:szCs w:val="32"/>
              </w:rPr>
            </w:pPr>
            <w:r w:rsidRPr="000D5789">
              <w:rPr>
                <w:rFonts w:eastAsia="MS Mincho" w:cs="Times New Roman"/>
                <w:noProof/>
                <w:szCs w:val="32"/>
              </w:rPr>
              <w:t xml:space="preserve">As regards settlement instructions cleared by </w:t>
            </w:r>
            <w:r w:rsidR="00113071" w:rsidRPr="000D5789">
              <w:rPr>
                <w:rFonts w:eastAsia="MS Mincho" w:cs="Times New Roman"/>
                <w:noProof/>
                <w:szCs w:val="32"/>
              </w:rPr>
              <w:t xml:space="preserve">LCH.Clearnet </w:t>
            </w:r>
            <w:r w:rsidRPr="000D5789">
              <w:rPr>
                <w:rFonts w:eastAsia="MS Mincho" w:cs="Times New Roman"/>
                <w:noProof/>
                <w:szCs w:val="32"/>
              </w:rPr>
              <w:t>on French fixed income securities negotiated OTC, excluding transactions negotiated at Euronext Paris, the approach chosen is as follows:</w:t>
            </w:r>
          </w:p>
          <w:p w:rsidR="00AA1FDB" w:rsidRDefault="000D5789" w:rsidP="00113071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0D5789">
              <w:rPr>
                <w:rFonts w:eastAsia="MS Mincho" w:cs="Times New Roman"/>
                <w:noProof/>
                <w:szCs w:val="32"/>
              </w:rPr>
              <w:t>The</w:t>
            </w:r>
            <w:r w:rsidR="00113071" w:rsidRPr="000D5789">
              <w:rPr>
                <w:rFonts w:eastAsia="MS Mincho" w:cs="Times New Roman"/>
                <w:noProof/>
                <w:szCs w:val="32"/>
              </w:rPr>
              <w:t xml:space="preserve"> clearing member </w:t>
            </w:r>
            <w:r>
              <w:rPr>
                <w:rFonts w:eastAsia="MS Mincho" w:cs="Times New Roman"/>
                <w:noProof/>
                <w:szCs w:val="32"/>
              </w:rPr>
              <w:t>with a</w:t>
            </w:r>
            <w:r w:rsidRPr="000D5789">
              <w:rPr>
                <w:rFonts w:eastAsia="MS Mincho" w:cs="Times New Roman"/>
                <w:noProof/>
                <w:szCs w:val="32"/>
              </w:rPr>
              <w:t xml:space="preserve"> </w:t>
            </w:r>
            <w:r>
              <w:rPr>
                <w:rFonts w:eastAsia="MS Mincho" w:cs="Times New Roman"/>
                <w:noProof/>
                <w:szCs w:val="32"/>
              </w:rPr>
              <w:t xml:space="preserve">set-up </w:t>
            </w:r>
            <w:r w:rsidRPr="000D5789">
              <w:rPr>
                <w:rFonts w:eastAsia="MS Mincho" w:cs="Times New Roman"/>
                <w:noProof/>
                <w:szCs w:val="32"/>
              </w:rPr>
              <w:t>at ICPG3 will be able to keep it (</w:t>
            </w:r>
            <w:r>
              <w:rPr>
                <w:rFonts w:eastAsia="MS Mincho" w:cs="Times New Roman"/>
                <w:noProof/>
                <w:szCs w:val="32"/>
              </w:rPr>
              <w:t>during and after the migration); he must not intervene on related fails nor instructions after the migration. LCH.</w:t>
            </w:r>
            <w:r w:rsidR="0079140C">
              <w:rPr>
                <w:rFonts w:eastAsia="MS Mincho" w:cs="Times New Roman"/>
                <w:noProof/>
                <w:szCs w:val="32"/>
              </w:rPr>
              <w:t>C</w:t>
            </w:r>
            <w:r w:rsidR="0079140C">
              <w:rPr>
                <w:rFonts w:eastAsia="MS Mincho" w:cs="Times New Roman"/>
                <w:noProof/>
                <w:szCs w:val="32"/>
              </w:rPr>
              <w:t>l</w:t>
            </w:r>
            <w:r w:rsidR="0079140C">
              <w:rPr>
                <w:rFonts w:eastAsia="MS Mincho" w:cs="Times New Roman"/>
                <w:noProof/>
                <w:szCs w:val="32"/>
              </w:rPr>
              <w:t xml:space="preserve">earnet </w:t>
            </w:r>
            <w:r>
              <w:rPr>
                <w:rFonts w:eastAsia="MS Mincho" w:cs="Times New Roman"/>
                <w:noProof/>
                <w:szCs w:val="32"/>
              </w:rPr>
              <w:t>will re-instruct the fails and ensure that instructions post-migration are input in T2S for the first settlement day without any intervention from its client.</w:t>
            </w:r>
          </w:p>
          <w:p w:rsidR="00E74725" w:rsidRDefault="00E74725" w:rsidP="00113071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E74725">
              <w:rPr>
                <w:rFonts w:eastAsia="MS Mincho" w:cs="Times New Roman"/>
                <w:noProof/>
                <w:szCs w:val="32"/>
              </w:rPr>
              <w:t xml:space="preserve">It is also recommended to participants not </w:t>
            </w:r>
            <w:r>
              <w:rPr>
                <w:rFonts w:eastAsia="MS Mincho" w:cs="Times New Roman"/>
                <w:noProof/>
                <w:szCs w:val="32"/>
              </w:rPr>
              <w:t xml:space="preserve">to </w:t>
            </w:r>
            <w:r w:rsidRPr="00E74725">
              <w:rPr>
                <w:rFonts w:eastAsia="MS Mincho" w:cs="Times New Roman"/>
                <w:noProof/>
                <w:szCs w:val="32"/>
              </w:rPr>
              <w:t xml:space="preserve">send settlement instructions </w:t>
            </w:r>
            <w:r>
              <w:rPr>
                <w:rFonts w:eastAsia="MS Mincho" w:cs="Times New Roman"/>
                <w:noProof/>
                <w:szCs w:val="32"/>
              </w:rPr>
              <w:t>with:</w:t>
            </w:r>
          </w:p>
          <w:p w:rsidR="00E74725" w:rsidRDefault="00E74725" w:rsidP="00E74725">
            <w:pPr>
              <w:pStyle w:val="ListParagraph"/>
              <w:numPr>
                <w:ilvl w:val="0"/>
                <w:numId w:val="9"/>
              </w:numPr>
              <w:spacing w:before="60"/>
              <w:ind w:left="459" w:hanging="425"/>
              <w:jc w:val="both"/>
              <w:rPr>
                <w:rFonts w:eastAsia="MS Mincho" w:cs="Times New Roman"/>
                <w:noProof/>
                <w:szCs w:val="32"/>
              </w:rPr>
            </w:pPr>
            <w:r>
              <w:rPr>
                <w:rFonts w:eastAsia="MS Mincho" w:cs="Times New Roman"/>
                <w:noProof/>
                <w:szCs w:val="32"/>
              </w:rPr>
              <w:lastRenderedPageBreak/>
              <w:t>an indicator set at ICPG</w:t>
            </w:r>
            <w:r w:rsidR="0079140C">
              <w:rPr>
                <w:rFonts w:eastAsia="MS Mincho" w:cs="Times New Roman"/>
                <w:noProof/>
                <w:szCs w:val="32"/>
              </w:rPr>
              <w:t>3</w:t>
            </w:r>
            <w:r>
              <w:rPr>
                <w:rFonts w:eastAsia="MS Mincho" w:cs="Times New Roman"/>
                <w:noProof/>
                <w:szCs w:val="32"/>
              </w:rPr>
              <w:t>, and</w:t>
            </w:r>
          </w:p>
          <w:p w:rsidR="00E74725" w:rsidRDefault="00E74725" w:rsidP="0079140C">
            <w:pPr>
              <w:pStyle w:val="ListParagraph"/>
              <w:numPr>
                <w:ilvl w:val="0"/>
                <w:numId w:val="9"/>
              </w:numPr>
              <w:spacing w:before="60"/>
              <w:ind w:left="459" w:hanging="425"/>
              <w:jc w:val="both"/>
              <w:rPr>
                <w:rFonts w:eastAsia="MS Mincho" w:cs="Times New Roman"/>
                <w:noProof/>
                <w:szCs w:val="32"/>
              </w:rPr>
            </w:pPr>
            <w:r>
              <w:rPr>
                <w:rFonts w:eastAsia="MS Mincho" w:cs="Times New Roman"/>
                <w:noProof/>
                <w:szCs w:val="32"/>
              </w:rPr>
              <w:t>an intended settlement date after September 12</w:t>
            </w:r>
            <w:r w:rsidRPr="00E74725">
              <w:rPr>
                <w:rFonts w:eastAsia="MS Mincho" w:cs="Times New Roman"/>
                <w:noProof/>
                <w:szCs w:val="32"/>
              </w:rPr>
              <w:t>th</w:t>
            </w:r>
            <w:r>
              <w:rPr>
                <w:rFonts w:eastAsia="MS Mincho" w:cs="Times New Roman"/>
                <w:noProof/>
                <w:szCs w:val="32"/>
              </w:rPr>
              <w:t>, 2016.</w:t>
            </w:r>
          </w:p>
          <w:p w:rsidR="0079140C" w:rsidRPr="0079140C" w:rsidRDefault="0079140C" w:rsidP="0079140C">
            <w:pPr>
              <w:spacing w:before="60"/>
              <w:ind w:left="34"/>
              <w:jc w:val="both"/>
              <w:rPr>
                <w:rFonts w:eastAsia="MS Mincho" w:cs="Times New Roman"/>
                <w:noProof/>
                <w:szCs w:val="32"/>
              </w:rPr>
            </w:pPr>
            <w:r>
              <w:rPr>
                <w:rFonts w:eastAsia="MS Mincho" w:cs="Times New Roman"/>
                <w:noProof/>
                <w:szCs w:val="32"/>
              </w:rPr>
              <w:t>These instructions should be re-issued (to Euroclear France or T2S) after the point of no-return during the migration week-end.</w:t>
            </w:r>
          </w:p>
        </w:tc>
      </w:tr>
      <w:tr w:rsidR="003F01B1" w:rsidRPr="000729C0" w:rsidTr="003F01B1">
        <w:tc>
          <w:tcPr>
            <w:tcW w:w="2093" w:type="dxa"/>
            <w:shd w:val="clear" w:color="auto" w:fill="BFBFBF" w:themeFill="background1" w:themeFillShade="BF"/>
          </w:tcPr>
          <w:p w:rsidR="003F01B1" w:rsidRDefault="003F01B1" w:rsidP="00221F4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lastRenderedPageBreak/>
              <w:t>Reasons for the choice</w:t>
            </w:r>
          </w:p>
        </w:tc>
        <w:tc>
          <w:tcPr>
            <w:tcW w:w="7513" w:type="dxa"/>
          </w:tcPr>
          <w:p w:rsidR="003F01B1" w:rsidRPr="007E4992" w:rsidRDefault="007E4992" w:rsidP="00221F48">
            <w:pPr>
              <w:spacing w:before="120"/>
              <w:ind w:left="34"/>
              <w:jc w:val="both"/>
              <w:rPr>
                <w:rFonts w:eastAsia="MS Mincho" w:cs="Times New Roman"/>
                <w:noProof/>
                <w:szCs w:val="32"/>
              </w:rPr>
            </w:pPr>
            <w:r w:rsidRPr="007E4992">
              <w:rPr>
                <w:rFonts w:eastAsia="MS Mincho" w:cs="Times New Roman"/>
                <w:noProof/>
                <w:szCs w:val="32"/>
              </w:rPr>
              <w:t>As these i</w:t>
            </w:r>
            <w:r w:rsidR="003F01B1" w:rsidRPr="007E4992">
              <w:rPr>
                <w:rFonts w:eastAsia="MS Mincho" w:cs="Times New Roman"/>
                <w:noProof/>
                <w:szCs w:val="32"/>
              </w:rPr>
              <w:t xml:space="preserve">nstructions </w:t>
            </w:r>
            <w:r w:rsidRPr="007E4992">
              <w:rPr>
                <w:rFonts w:eastAsia="MS Mincho" w:cs="Times New Roman"/>
                <w:noProof/>
                <w:szCs w:val="32"/>
              </w:rPr>
              <w:t xml:space="preserve">cannot be migrated by </w:t>
            </w:r>
            <w:r w:rsidR="003F01B1" w:rsidRPr="007E4992">
              <w:rPr>
                <w:rFonts w:eastAsia="MS Mincho" w:cs="Times New Roman"/>
                <w:noProof/>
                <w:szCs w:val="32"/>
              </w:rPr>
              <w:t xml:space="preserve">Euroclear France, participants </w:t>
            </w:r>
            <w:r w:rsidRPr="007E4992">
              <w:rPr>
                <w:rFonts w:eastAsia="MS Mincho" w:cs="Times New Roman"/>
                <w:noProof/>
                <w:szCs w:val="32"/>
              </w:rPr>
              <w:t>have several possible solutions:</w:t>
            </w:r>
          </w:p>
          <w:p w:rsidR="003F01B1" w:rsidRPr="000729C0" w:rsidRDefault="007E4992" w:rsidP="00221F48">
            <w:pPr>
              <w:numPr>
                <w:ilvl w:val="0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</w:rPr>
            </w:pPr>
            <w:r w:rsidRPr="000729C0">
              <w:rPr>
                <w:rFonts w:eastAsia="MS Mincho" w:cs="Times New Roman"/>
                <w:noProof/>
              </w:rPr>
              <w:t>They can cancel their instructions prior to the migration and re-instruc</w:t>
            </w:r>
            <w:r w:rsidR="00AC76D1">
              <w:rPr>
                <w:rFonts w:eastAsia="MS Mincho" w:cs="Times New Roman"/>
                <w:noProof/>
              </w:rPr>
              <w:t>t</w:t>
            </w:r>
            <w:r w:rsidRPr="000729C0">
              <w:rPr>
                <w:rFonts w:eastAsia="MS Mincho" w:cs="Times New Roman"/>
                <w:noProof/>
              </w:rPr>
              <w:t xml:space="preserve"> them post-migration, which requires both counterparties </w:t>
            </w:r>
            <w:r w:rsidR="000729C0" w:rsidRPr="000729C0">
              <w:rPr>
                <w:rFonts w:eastAsia="MS Mincho" w:cs="Times New Roman"/>
                <w:noProof/>
              </w:rPr>
              <w:t xml:space="preserve">to modify the instruction during the  migration </w:t>
            </w:r>
            <w:r w:rsidR="003F01B1" w:rsidRPr="000729C0">
              <w:rPr>
                <w:rFonts w:eastAsia="MS Mincho" w:cs="Times New Roman"/>
                <w:noProof/>
              </w:rPr>
              <w:t>week-end.</w:t>
            </w:r>
          </w:p>
          <w:p w:rsidR="003F01B1" w:rsidRPr="000729C0" w:rsidRDefault="00AC76D1" w:rsidP="00AC76D1">
            <w:pPr>
              <w:numPr>
                <w:ilvl w:val="0"/>
                <w:numId w:val="3"/>
              </w:numPr>
              <w:spacing w:before="120"/>
              <w:jc w:val="both"/>
              <w:rPr>
                <w:rFonts w:eastAsia="MS Mincho" w:cs="Times New Roman"/>
                <w:noProof/>
              </w:rPr>
            </w:pPr>
            <w:r>
              <w:rPr>
                <w:rFonts w:eastAsia="MS Mincho" w:cs="Times New Roman"/>
                <w:noProof/>
              </w:rPr>
              <w:t>They can c</w:t>
            </w:r>
            <w:r w:rsidR="000729C0" w:rsidRPr="000729C0">
              <w:rPr>
                <w:rFonts w:eastAsia="MS Mincho" w:cs="Times New Roman"/>
                <w:noProof/>
              </w:rPr>
              <w:t xml:space="preserve">hange the indicator to </w:t>
            </w:r>
            <w:r w:rsidR="003F01B1" w:rsidRPr="000729C0">
              <w:rPr>
                <w:rFonts w:eastAsia="MS Mincho" w:cs="Times New Roman"/>
                <w:noProof/>
              </w:rPr>
              <w:t xml:space="preserve">ICPG0 </w:t>
            </w:r>
            <w:r w:rsidR="000729C0" w:rsidRPr="000729C0">
              <w:rPr>
                <w:rFonts w:eastAsia="MS Mincho" w:cs="Times New Roman"/>
                <w:noProof/>
              </w:rPr>
              <w:t xml:space="preserve">prior to the </w:t>
            </w:r>
            <w:r w:rsidR="003F01B1" w:rsidRPr="000729C0">
              <w:rPr>
                <w:rFonts w:eastAsia="MS Mincho" w:cs="Times New Roman"/>
                <w:noProof/>
              </w:rPr>
              <w:t xml:space="preserve">migration. </w:t>
            </w:r>
            <w:r w:rsidR="000729C0" w:rsidRPr="000729C0">
              <w:rPr>
                <w:rFonts w:eastAsia="MS Mincho" w:cs="Times New Roman"/>
                <w:noProof/>
              </w:rPr>
              <w:t xml:space="preserve">This solution simplifies the tasks to be carried out during the migration </w:t>
            </w:r>
            <w:r w:rsidR="003F01B1" w:rsidRPr="000729C0">
              <w:rPr>
                <w:rFonts w:eastAsia="MS Mincho" w:cs="Times New Roman"/>
                <w:noProof/>
              </w:rPr>
              <w:t xml:space="preserve">week-end. </w:t>
            </w:r>
            <w:r w:rsidR="000729C0" w:rsidRPr="000729C0">
              <w:rPr>
                <w:rFonts w:eastAsia="MS Mincho" w:cs="Times New Roman"/>
                <w:noProof/>
              </w:rPr>
              <w:t xml:space="preserve">Yet it will require higher cash available to ensure settlement on </w:t>
            </w:r>
            <w:r w:rsidR="000729C0">
              <w:rPr>
                <w:rFonts w:eastAsia="MS Mincho" w:cs="Times New Roman"/>
                <w:noProof/>
              </w:rPr>
              <w:t>the first settlem</w:t>
            </w:r>
            <w:r w:rsidR="000729C0" w:rsidRPr="000729C0">
              <w:rPr>
                <w:rFonts w:eastAsia="MS Mincho" w:cs="Times New Roman"/>
                <w:noProof/>
              </w:rPr>
              <w:t>e</w:t>
            </w:r>
            <w:r w:rsidR="000729C0">
              <w:rPr>
                <w:rFonts w:eastAsia="MS Mincho" w:cs="Times New Roman"/>
                <w:noProof/>
              </w:rPr>
              <w:t>n</w:t>
            </w:r>
            <w:r w:rsidR="000729C0" w:rsidRPr="000729C0">
              <w:rPr>
                <w:rFonts w:eastAsia="MS Mincho" w:cs="Times New Roman"/>
                <w:noProof/>
              </w:rPr>
              <w:t>t day in T2S.</w:t>
            </w:r>
          </w:p>
        </w:tc>
      </w:tr>
      <w:tr w:rsidR="0081511D" w:rsidRPr="000729C0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Pr="000729C0" w:rsidRDefault="0081511D" w:rsidP="00221F48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0729C0" w:rsidRDefault="0081511D" w:rsidP="00221F48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E33BFB" w:rsidTr="003F01B1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3BFB" w:rsidRPr="003348A6" w:rsidRDefault="00E33BFB" w:rsidP="00E33BF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E33BFB" w:rsidRPr="00D103DA" w:rsidRDefault="00E33BFB" w:rsidP="00E33BF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E33BFB" w:rsidRDefault="00E33BFB" w:rsidP="00E33BF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E33BFB" w:rsidRDefault="00E33BFB" w:rsidP="00E33BF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E33BFB" w:rsidRDefault="00E33BFB" w:rsidP="00E33BF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E33BFB" w:rsidRDefault="00E33BFB" w:rsidP="00E33BF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E33BFB" w:rsidTr="003F01B1">
        <w:tc>
          <w:tcPr>
            <w:tcW w:w="2093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E33BFB" w:rsidRDefault="00E33BFB" w:rsidP="00E33BF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33BFB" w:rsidRDefault="00E33BFB" w:rsidP="00E33BF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E33BFB" w:rsidTr="003F01B1">
        <w:tc>
          <w:tcPr>
            <w:tcW w:w="2093" w:type="dxa"/>
            <w:shd w:val="clear" w:color="auto" w:fill="BFBFBF" w:themeFill="background1" w:themeFillShade="BF"/>
          </w:tcPr>
          <w:p w:rsidR="00E33BFB" w:rsidRDefault="00E33BFB" w:rsidP="00E33BF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Workflows</w:t>
            </w:r>
          </w:p>
          <w:p w:rsidR="00E33BFB" w:rsidRDefault="00E33BFB" w:rsidP="00E33BF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E33BFB" w:rsidRDefault="00E33BFB" w:rsidP="00E33BF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E33BFB" w:rsidRDefault="00E33BFB" w:rsidP="00E33BF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363E89" w:rsidRDefault="00363E89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140482" w:rsidRDefault="00140482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:rsidR="00E33BFB" w:rsidRPr="004F6025" w:rsidRDefault="00E33BFB" w:rsidP="00E33BFB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IMPLEMENTATION</w:t>
      </w:r>
    </w:p>
    <w:p w:rsidR="00140482" w:rsidRDefault="00140482" w:rsidP="00140482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E33BFB" w:rsidRPr="00E33BFB" w:rsidTr="00221F48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E33BFB" w:rsidRPr="00D103DA" w:rsidRDefault="00E33BFB" w:rsidP="00221F4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Implementation timeline</w:t>
            </w:r>
          </w:p>
        </w:tc>
        <w:tc>
          <w:tcPr>
            <w:tcW w:w="2438" w:type="dxa"/>
            <w:gridSpan w:val="2"/>
          </w:tcPr>
          <w:p w:rsidR="00E33BFB" w:rsidRPr="003348A6" w:rsidRDefault="00E33BFB" w:rsidP="00221F48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Before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  <w:tc>
          <w:tcPr>
            <w:tcW w:w="2438" w:type="dxa"/>
            <w:gridSpan w:val="2"/>
          </w:tcPr>
          <w:p w:rsidR="00E33BFB" w:rsidRPr="003348A6" w:rsidRDefault="00E33BFB" w:rsidP="00221F48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Upon go live on T2S</w:t>
            </w:r>
          </w:p>
        </w:tc>
        <w:tc>
          <w:tcPr>
            <w:tcW w:w="2438" w:type="dxa"/>
            <w:gridSpan w:val="3"/>
          </w:tcPr>
          <w:p w:rsidR="00E33BFB" w:rsidRPr="003348A6" w:rsidRDefault="00E33BFB" w:rsidP="00221F48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After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</w:tr>
      <w:tr w:rsidR="00140482" w:rsidTr="00221F48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Pr="00E33BFB" w:rsidRDefault="00140482" w:rsidP="00221F48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40482" w:rsidRDefault="00140482" w:rsidP="00221F48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221F48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140482" w:rsidRDefault="00140482" w:rsidP="00221F4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40482" w:rsidRDefault="00922B9C" w:rsidP="00221F48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</w:t>
            </w:r>
          </w:p>
          <w:p w:rsidR="00140482" w:rsidRPr="00785264" w:rsidRDefault="00140482" w:rsidP="00221F48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221F48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221F48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140482" w:rsidTr="00221F48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221F4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221F4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221F4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221F48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221F4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E33BFB" w:rsidTr="00221F48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3BFB" w:rsidRPr="000C4CA6" w:rsidRDefault="00E33BFB" w:rsidP="00221F48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0D33A6">
              <w:rPr>
                <w:rFonts w:eastAsia="MS Mincho" w:cs="Times New Roman"/>
                <w:b/>
                <w:noProof/>
                <w:szCs w:val="32"/>
              </w:rPr>
              <w:t>Requirement for a specific test set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E33BFB" w:rsidRPr="00922B9C" w:rsidRDefault="00E33BFB" w:rsidP="00922B9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proofErr w:type="spellStart"/>
            <w:r>
              <w:rPr>
                <w:lang w:val="fr-FR"/>
              </w:rPr>
              <w:t>Yes</w:t>
            </w:r>
            <w:proofErr w:type="spellEnd"/>
            <w:r>
              <w:rPr>
                <w:lang w:val="fr-FR"/>
              </w:rPr>
              <w:t xml:space="preserve">  </w:t>
            </w:r>
            <w:r>
              <w:rPr>
                <w:rFonts w:ascii="Wingdings" w:hAnsi="Wingdings" w:cs="Wingdings"/>
                <w:sz w:val="26"/>
                <w:szCs w:val="26"/>
              </w:rPr>
              <w:t></w:t>
            </w:r>
          </w:p>
          <w:p w:rsidR="00E33BFB" w:rsidRPr="00E35B86" w:rsidRDefault="00E33BFB" w:rsidP="00221F48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E33BFB" w:rsidRDefault="00E33BFB" w:rsidP="00221F48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No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</w:tc>
      </w:tr>
      <w:bookmarkEnd w:id="0"/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default" r:id="rId8"/>
      <w:footerReference w:type="default" r:id="rId9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E9D" w:rsidRDefault="00B43E9D" w:rsidP="006D6846">
      <w:pPr>
        <w:spacing w:after="0" w:line="240" w:lineRule="auto"/>
      </w:pPr>
      <w:r>
        <w:separator/>
      </w:r>
    </w:p>
  </w:endnote>
  <w:endnote w:type="continuationSeparator" w:id="0">
    <w:p w:rsidR="00B43E9D" w:rsidRDefault="00B43E9D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9762607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21F48" w:rsidRPr="00221F48" w:rsidRDefault="00221F48">
            <w:pPr>
              <w:pStyle w:val="Footer"/>
              <w:jc w:val="right"/>
              <w:rPr>
                <w:sz w:val="20"/>
                <w:szCs w:val="20"/>
              </w:rPr>
            </w:pPr>
            <w:r w:rsidRPr="00221F48">
              <w:rPr>
                <w:sz w:val="20"/>
                <w:szCs w:val="20"/>
                <w:lang w:val="fr-FR"/>
              </w:rPr>
              <w:t xml:space="preserve">Page </w:t>
            </w:r>
            <w:r w:rsidRPr="00221F48">
              <w:rPr>
                <w:b/>
                <w:bCs/>
                <w:sz w:val="20"/>
                <w:szCs w:val="20"/>
              </w:rPr>
              <w:fldChar w:fldCharType="begin"/>
            </w:r>
            <w:r w:rsidRPr="00221F48">
              <w:rPr>
                <w:b/>
                <w:bCs/>
                <w:sz w:val="20"/>
                <w:szCs w:val="20"/>
              </w:rPr>
              <w:instrText>PAGE</w:instrText>
            </w:r>
            <w:r w:rsidRPr="00221F48">
              <w:rPr>
                <w:b/>
                <w:bCs/>
                <w:sz w:val="20"/>
                <w:szCs w:val="20"/>
              </w:rPr>
              <w:fldChar w:fldCharType="separate"/>
            </w:r>
            <w:r w:rsidR="00F60A03">
              <w:rPr>
                <w:b/>
                <w:bCs/>
                <w:noProof/>
                <w:sz w:val="20"/>
                <w:szCs w:val="20"/>
              </w:rPr>
              <w:t>1</w:t>
            </w:r>
            <w:r w:rsidRPr="00221F48">
              <w:rPr>
                <w:b/>
                <w:bCs/>
                <w:sz w:val="20"/>
                <w:szCs w:val="20"/>
              </w:rPr>
              <w:fldChar w:fldCharType="end"/>
            </w:r>
            <w:r w:rsidRPr="00221F48">
              <w:rPr>
                <w:sz w:val="20"/>
                <w:szCs w:val="20"/>
                <w:lang w:val="fr-FR"/>
              </w:rPr>
              <w:t xml:space="preserve"> sur </w:t>
            </w:r>
            <w:r w:rsidRPr="00221F48">
              <w:rPr>
                <w:b/>
                <w:bCs/>
                <w:sz w:val="20"/>
                <w:szCs w:val="20"/>
              </w:rPr>
              <w:fldChar w:fldCharType="begin"/>
            </w:r>
            <w:r w:rsidRPr="00221F48">
              <w:rPr>
                <w:b/>
                <w:bCs/>
                <w:sz w:val="20"/>
                <w:szCs w:val="20"/>
              </w:rPr>
              <w:instrText>NUMPAGES</w:instrText>
            </w:r>
            <w:r w:rsidRPr="00221F48">
              <w:rPr>
                <w:b/>
                <w:bCs/>
                <w:sz w:val="20"/>
                <w:szCs w:val="20"/>
              </w:rPr>
              <w:fldChar w:fldCharType="separate"/>
            </w:r>
            <w:r w:rsidR="00F60A03">
              <w:rPr>
                <w:b/>
                <w:bCs/>
                <w:noProof/>
                <w:sz w:val="20"/>
                <w:szCs w:val="20"/>
              </w:rPr>
              <w:t>3</w:t>
            </w:r>
            <w:r w:rsidRPr="00221F4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21F48" w:rsidRDefault="00221F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E9D" w:rsidRDefault="00B43E9D" w:rsidP="006D6846">
      <w:pPr>
        <w:spacing w:after="0" w:line="240" w:lineRule="auto"/>
      </w:pPr>
      <w:r>
        <w:separator/>
      </w:r>
    </w:p>
  </w:footnote>
  <w:footnote w:type="continuationSeparator" w:id="0">
    <w:p w:rsidR="00B43E9D" w:rsidRDefault="00B43E9D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59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94"/>
      <w:gridCol w:w="4203"/>
    </w:tblGrid>
    <w:tr w:rsidR="00221F48" w:rsidTr="00DB7463">
      <w:trPr>
        <w:trHeight w:val="882"/>
      </w:trPr>
      <w:tc>
        <w:tcPr>
          <w:tcW w:w="6394" w:type="dxa"/>
          <w:vAlign w:val="center"/>
        </w:tcPr>
        <w:p w:rsidR="00221F48" w:rsidRPr="005B1C9D" w:rsidRDefault="00221F48" w:rsidP="00E33BFB">
          <w:pPr>
            <w:pStyle w:val="Header"/>
            <w:jc w:val="center"/>
            <w:rPr>
              <w:b/>
            </w:rPr>
          </w:pPr>
          <w:r w:rsidRPr="005B1C9D">
            <w:rPr>
              <w:b/>
            </w:rPr>
            <w:t>T2S Market Practice Adaptation Workgroup</w:t>
          </w:r>
        </w:p>
        <w:p w:rsidR="00221F48" w:rsidRPr="00E33BFB" w:rsidRDefault="00221F48" w:rsidP="00E33BFB">
          <w:pPr>
            <w:pStyle w:val="Header"/>
            <w:jc w:val="center"/>
            <w:rPr>
              <w:b/>
            </w:rPr>
          </w:pPr>
          <w:r w:rsidRPr="005B1C9D">
            <w:rPr>
              <w:b/>
            </w:rPr>
            <w:t xml:space="preserve">Market Practice </w:t>
          </w:r>
          <w:r>
            <w:rPr>
              <w:b/>
            </w:rPr>
            <w:t>Sheet</w:t>
          </w:r>
        </w:p>
      </w:tc>
      <w:tc>
        <w:tcPr>
          <w:tcW w:w="4203" w:type="dxa"/>
          <w:vAlign w:val="center"/>
        </w:tcPr>
        <w:p w:rsidR="00221F48" w:rsidRDefault="00221F48" w:rsidP="00DB7463">
          <w:pPr>
            <w:pStyle w:val="Header"/>
            <w:rPr>
              <w:b/>
              <w:lang w:val="fr-FR"/>
            </w:rPr>
          </w:pPr>
          <w:r>
            <w:rPr>
              <w:noProof/>
            </w:rPr>
            <w:drawing>
              <wp:inline distT="0" distB="0" distL="0" distR="0" wp14:anchorId="0611F1A9" wp14:editId="79709957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object w:dxaOrig="7200" w:dyaOrig="4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pt;height:43.2pt" o:ole="">
                <v:imagedata r:id="rId2" o:title=""/>
              </v:shape>
              <o:OLEObject Type="Embed" ProgID="PBrush" ShapeID="_x0000_i1025" DrawAspect="Content" ObjectID="_1533954488" r:id="rId3"/>
            </w:object>
          </w:r>
        </w:p>
      </w:tc>
    </w:tr>
    <w:tr w:rsidR="00221F48" w:rsidRPr="00113071" w:rsidTr="00DB7463">
      <w:trPr>
        <w:trHeight w:val="290"/>
      </w:trPr>
      <w:tc>
        <w:tcPr>
          <w:tcW w:w="6394" w:type="dxa"/>
          <w:vAlign w:val="center"/>
        </w:tcPr>
        <w:p w:rsidR="00221F48" w:rsidRPr="00E33BFB" w:rsidRDefault="00221F48" w:rsidP="00DB7463">
          <w:pPr>
            <w:pStyle w:val="Header"/>
            <w:jc w:val="center"/>
            <w:rPr>
              <w:i/>
            </w:rPr>
          </w:pPr>
          <w:r>
            <w:rPr>
              <w:i/>
            </w:rPr>
            <w:t>Practice</w:t>
          </w:r>
          <w:r w:rsidRPr="0033411F">
            <w:rPr>
              <w:i/>
            </w:rPr>
            <w:t xml:space="preserve"> reference</w:t>
          </w:r>
          <w:r w:rsidRPr="00E33BFB">
            <w:rPr>
              <w:i/>
            </w:rPr>
            <w:t>: MS-SETTL-ICPG-01</w:t>
          </w:r>
        </w:p>
      </w:tc>
      <w:tc>
        <w:tcPr>
          <w:tcW w:w="4203" w:type="dxa"/>
          <w:vAlign w:val="center"/>
        </w:tcPr>
        <w:p w:rsidR="00221F48" w:rsidRPr="00E33BFB" w:rsidRDefault="00221F48" w:rsidP="00EC776F">
          <w:pPr>
            <w:pStyle w:val="Header"/>
            <w:jc w:val="center"/>
            <w:rPr>
              <w:noProof/>
            </w:rPr>
          </w:pPr>
        </w:p>
      </w:tc>
    </w:tr>
  </w:tbl>
  <w:p w:rsidR="00221F48" w:rsidRPr="00E33BFB" w:rsidRDefault="00221F48">
    <w:pPr>
      <w:pStyle w:val="Header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79DC"/>
    <w:multiLevelType w:val="hybridMultilevel"/>
    <w:tmpl w:val="FF563A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101850">
      <w:start w:val="30"/>
      <w:numFmt w:val="bullet"/>
      <w:lvlText w:val=""/>
      <w:lvlJc w:val="left"/>
      <w:pPr>
        <w:ind w:left="2520" w:hanging="360"/>
      </w:pPr>
      <w:rPr>
        <w:rFonts w:ascii="Wingdings" w:eastAsia="MS Mincho" w:hAnsi="Wingdings" w:cs="Tahoma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E0530"/>
    <w:multiLevelType w:val="hybridMultilevel"/>
    <w:tmpl w:val="5404B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461D9"/>
    <w:multiLevelType w:val="hybridMultilevel"/>
    <w:tmpl w:val="104A2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479E7"/>
    <w:multiLevelType w:val="hybridMultilevel"/>
    <w:tmpl w:val="FC4EE560"/>
    <w:lvl w:ilvl="0" w:tplc="CB5E5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188D0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n-US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 Sousa, Maria">
    <w15:presenceInfo w15:providerId="AD" w15:userId="S-1-5-21-3942990428-588001494-4079709122-109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46"/>
    <w:rsid w:val="00020084"/>
    <w:rsid w:val="000706A3"/>
    <w:rsid w:val="000729C0"/>
    <w:rsid w:val="000A6C94"/>
    <w:rsid w:val="000C1C9B"/>
    <w:rsid w:val="000D5789"/>
    <w:rsid w:val="000D6F4D"/>
    <w:rsid w:val="000F3C24"/>
    <w:rsid w:val="00113071"/>
    <w:rsid w:val="00140482"/>
    <w:rsid w:val="00145ADA"/>
    <w:rsid w:val="001522A5"/>
    <w:rsid w:val="00162BBA"/>
    <w:rsid w:val="00183F7A"/>
    <w:rsid w:val="001A26CA"/>
    <w:rsid w:val="001B0416"/>
    <w:rsid w:val="001B1E38"/>
    <w:rsid w:val="001C4C4C"/>
    <w:rsid w:val="001C7BAF"/>
    <w:rsid w:val="001D7830"/>
    <w:rsid w:val="001E0D83"/>
    <w:rsid w:val="00211814"/>
    <w:rsid w:val="00217510"/>
    <w:rsid w:val="00221F48"/>
    <w:rsid w:val="00283DDE"/>
    <w:rsid w:val="0028538B"/>
    <w:rsid w:val="00343829"/>
    <w:rsid w:val="00343B9E"/>
    <w:rsid w:val="003631EA"/>
    <w:rsid w:val="00363E89"/>
    <w:rsid w:val="003863DB"/>
    <w:rsid w:val="003929BA"/>
    <w:rsid w:val="003A4E76"/>
    <w:rsid w:val="003B3DA4"/>
    <w:rsid w:val="003D5122"/>
    <w:rsid w:val="003D5E9F"/>
    <w:rsid w:val="003D7060"/>
    <w:rsid w:val="003E64D3"/>
    <w:rsid w:val="003F01B1"/>
    <w:rsid w:val="00464015"/>
    <w:rsid w:val="004818D8"/>
    <w:rsid w:val="00482296"/>
    <w:rsid w:val="004F6025"/>
    <w:rsid w:val="005061BA"/>
    <w:rsid w:val="0051485E"/>
    <w:rsid w:val="00567B1D"/>
    <w:rsid w:val="00575F36"/>
    <w:rsid w:val="005C2ACA"/>
    <w:rsid w:val="00622E8A"/>
    <w:rsid w:val="00625541"/>
    <w:rsid w:val="00652C13"/>
    <w:rsid w:val="00694503"/>
    <w:rsid w:val="0069580E"/>
    <w:rsid w:val="006D6846"/>
    <w:rsid w:val="00701AE2"/>
    <w:rsid w:val="00714CE6"/>
    <w:rsid w:val="00727BF7"/>
    <w:rsid w:val="0074709E"/>
    <w:rsid w:val="00765664"/>
    <w:rsid w:val="0079140C"/>
    <w:rsid w:val="007B7B10"/>
    <w:rsid w:val="007C7303"/>
    <w:rsid w:val="007E4992"/>
    <w:rsid w:val="007F6CFC"/>
    <w:rsid w:val="0080446B"/>
    <w:rsid w:val="0081511D"/>
    <w:rsid w:val="00830B7B"/>
    <w:rsid w:val="00837334"/>
    <w:rsid w:val="00841E84"/>
    <w:rsid w:val="008800A4"/>
    <w:rsid w:val="00893912"/>
    <w:rsid w:val="008A30A6"/>
    <w:rsid w:val="008C734C"/>
    <w:rsid w:val="0091257E"/>
    <w:rsid w:val="0092276F"/>
    <w:rsid w:val="00922A8E"/>
    <w:rsid w:val="00922B9C"/>
    <w:rsid w:val="00933237"/>
    <w:rsid w:val="00943076"/>
    <w:rsid w:val="009606C4"/>
    <w:rsid w:val="00982218"/>
    <w:rsid w:val="00995F65"/>
    <w:rsid w:val="009978DE"/>
    <w:rsid w:val="009A24A6"/>
    <w:rsid w:val="009A2F1A"/>
    <w:rsid w:val="009A64D1"/>
    <w:rsid w:val="00A133A7"/>
    <w:rsid w:val="00A20577"/>
    <w:rsid w:val="00A21489"/>
    <w:rsid w:val="00A40ED4"/>
    <w:rsid w:val="00A45A45"/>
    <w:rsid w:val="00A678C0"/>
    <w:rsid w:val="00A746A0"/>
    <w:rsid w:val="00A90EEC"/>
    <w:rsid w:val="00AA1FDB"/>
    <w:rsid w:val="00AA62D7"/>
    <w:rsid w:val="00AC134F"/>
    <w:rsid w:val="00AC76D1"/>
    <w:rsid w:val="00B26098"/>
    <w:rsid w:val="00B31057"/>
    <w:rsid w:val="00B43E9D"/>
    <w:rsid w:val="00B44E11"/>
    <w:rsid w:val="00B540C8"/>
    <w:rsid w:val="00B62B1E"/>
    <w:rsid w:val="00B727D8"/>
    <w:rsid w:val="00B9491F"/>
    <w:rsid w:val="00BA66D3"/>
    <w:rsid w:val="00BA6B0A"/>
    <w:rsid w:val="00BC7577"/>
    <w:rsid w:val="00BE4C60"/>
    <w:rsid w:val="00C070B0"/>
    <w:rsid w:val="00C1000A"/>
    <w:rsid w:val="00C221EA"/>
    <w:rsid w:val="00C33595"/>
    <w:rsid w:val="00C3423B"/>
    <w:rsid w:val="00C43D15"/>
    <w:rsid w:val="00C57689"/>
    <w:rsid w:val="00C60EC8"/>
    <w:rsid w:val="00C65EB2"/>
    <w:rsid w:val="00C77C0A"/>
    <w:rsid w:val="00CB0F41"/>
    <w:rsid w:val="00CC7462"/>
    <w:rsid w:val="00CE6DA3"/>
    <w:rsid w:val="00CF605A"/>
    <w:rsid w:val="00D103DA"/>
    <w:rsid w:val="00D12DE8"/>
    <w:rsid w:val="00D252A7"/>
    <w:rsid w:val="00D50DB6"/>
    <w:rsid w:val="00D529B3"/>
    <w:rsid w:val="00D53037"/>
    <w:rsid w:val="00D5515F"/>
    <w:rsid w:val="00DB106F"/>
    <w:rsid w:val="00DB7463"/>
    <w:rsid w:val="00DD071C"/>
    <w:rsid w:val="00E33BFB"/>
    <w:rsid w:val="00E351C1"/>
    <w:rsid w:val="00E35B86"/>
    <w:rsid w:val="00E438E3"/>
    <w:rsid w:val="00E52109"/>
    <w:rsid w:val="00E62EAE"/>
    <w:rsid w:val="00E74725"/>
    <w:rsid w:val="00E93A92"/>
    <w:rsid w:val="00EB2A7B"/>
    <w:rsid w:val="00EB44AB"/>
    <w:rsid w:val="00EC776F"/>
    <w:rsid w:val="00F00BF4"/>
    <w:rsid w:val="00F358FF"/>
    <w:rsid w:val="00F35CCA"/>
    <w:rsid w:val="00F60A03"/>
    <w:rsid w:val="00F84B2D"/>
    <w:rsid w:val="00F904C9"/>
    <w:rsid w:val="00FC06B7"/>
    <w:rsid w:val="00FC4F18"/>
    <w:rsid w:val="00FE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Cognizant Technology Solutions</dc:creator>
  <cp:lastModifiedBy>François DUBRAU</cp:lastModifiedBy>
  <cp:revision>4</cp:revision>
  <cp:lastPrinted>2015-10-09T10:36:00Z</cp:lastPrinted>
  <dcterms:created xsi:type="dcterms:W3CDTF">2016-05-16T14:40:00Z</dcterms:created>
  <dcterms:modified xsi:type="dcterms:W3CDTF">2016-08-29T03:42:00Z</dcterms:modified>
</cp:coreProperties>
</file>