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887FFA" w:rsidRPr="00B3406E" w:rsidRDefault="00C444F4"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C444F4">
        <w:rPr>
          <w:b/>
          <w:noProof/>
          <w:sz w:val="36"/>
        </w:rPr>
        <w:t>Management of deliveries without payment</w:t>
      </w:r>
    </w:p>
    <w:p w:rsidR="001B1E38" w:rsidRPr="00B3406E"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r w:rsidRPr="004F6025">
              <w:rPr>
                <w:b/>
                <w:lang w:val="fr-FR"/>
              </w:rPr>
              <w:t>Versioning</w:t>
            </w:r>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C444F4" w:rsidP="00776CD9">
            <w:pPr>
              <w:tabs>
                <w:tab w:val="left" w:pos="9356"/>
              </w:tabs>
              <w:ind w:right="-279"/>
              <w:rPr>
                <w:lang w:val="fr-FR"/>
              </w:rPr>
            </w:pPr>
            <w:r>
              <w:rPr>
                <w:lang w:val="fr-FR"/>
              </w:rPr>
              <w:t>1</w:t>
            </w:r>
            <w:r w:rsidR="00140482">
              <w:rPr>
                <w:lang w:val="fr-FR"/>
              </w:rPr>
              <w:t>.</w:t>
            </w:r>
            <w:r w:rsidR="00776CD9">
              <w:rPr>
                <w:lang w:val="fr-FR"/>
              </w:rPr>
              <w:t>0</w:t>
            </w:r>
          </w:p>
        </w:tc>
      </w:tr>
      <w:tr w:rsidR="00B3406E" w:rsidRPr="00AA1FDB" w:rsidTr="0091257E">
        <w:tc>
          <w:tcPr>
            <w:tcW w:w="2093" w:type="dxa"/>
            <w:vMerge/>
            <w:shd w:val="clear" w:color="auto" w:fill="BFBFBF" w:themeFill="background1" w:themeFillShade="BF"/>
          </w:tcPr>
          <w:p w:rsidR="00B3406E" w:rsidRPr="004F6025" w:rsidRDefault="00B3406E" w:rsidP="006D6846">
            <w:pPr>
              <w:tabs>
                <w:tab w:val="left" w:pos="9356"/>
              </w:tabs>
              <w:ind w:right="-279"/>
              <w:rPr>
                <w:b/>
                <w:lang w:val="fr-FR"/>
              </w:rPr>
            </w:pPr>
          </w:p>
        </w:tc>
        <w:tc>
          <w:tcPr>
            <w:tcW w:w="2551" w:type="dxa"/>
            <w:shd w:val="clear" w:color="auto" w:fill="F2F2F2" w:themeFill="background1" w:themeFillShade="F2"/>
          </w:tcPr>
          <w:p w:rsidR="00B3406E" w:rsidRDefault="00B3406E" w:rsidP="000E651B">
            <w:pPr>
              <w:tabs>
                <w:tab w:val="left" w:pos="9356"/>
              </w:tabs>
              <w:ind w:right="-279"/>
              <w:rPr>
                <w:lang w:val="fr-FR"/>
              </w:rPr>
            </w:pPr>
            <w:r>
              <w:rPr>
                <w:lang w:val="fr-FR"/>
              </w:rPr>
              <w:t>Publication date</w:t>
            </w:r>
          </w:p>
        </w:tc>
        <w:tc>
          <w:tcPr>
            <w:tcW w:w="4932" w:type="dxa"/>
          </w:tcPr>
          <w:p w:rsidR="00B3406E" w:rsidRDefault="00C444F4" w:rsidP="00B83023">
            <w:pPr>
              <w:tabs>
                <w:tab w:val="left" w:pos="9356"/>
              </w:tabs>
              <w:ind w:right="-279"/>
              <w:rPr>
                <w:lang w:val="fr-FR"/>
              </w:rPr>
            </w:pPr>
            <w:r>
              <w:rPr>
                <w:lang w:val="fr-FR"/>
              </w:rPr>
              <w:t xml:space="preserve">November </w:t>
            </w:r>
            <w:r w:rsidR="00B83023">
              <w:rPr>
                <w:lang w:val="fr-FR"/>
              </w:rPr>
              <w:t>14</w:t>
            </w:r>
            <w:bookmarkStart w:id="0" w:name="_GoBack"/>
            <w:bookmarkEnd w:id="0"/>
            <w:r>
              <w:rPr>
                <w:lang w:val="fr-FR"/>
              </w:rPr>
              <w:t>th</w:t>
            </w:r>
            <w:r w:rsidR="00B3406E">
              <w:rPr>
                <w:lang w:val="fr-FR"/>
              </w:rPr>
              <w:t>,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B3406E" w:rsidRPr="000C4CA6" w:rsidRDefault="00B3406E" w:rsidP="00B3406E">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B3406E"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B3406E" w:rsidRPr="00C444F4" w:rsidTr="0091257E">
        <w:tc>
          <w:tcPr>
            <w:tcW w:w="2093" w:type="dxa"/>
            <w:tcBorders>
              <w:bottom w:val="single" w:sz="4" w:space="0" w:color="auto"/>
            </w:tcBorders>
            <w:shd w:val="clear" w:color="auto" w:fill="BFBFBF" w:themeFill="background1" w:themeFillShade="BF"/>
          </w:tcPr>
          <w:p w:rsidR="00B3406E" w:rsidRPr="000C4CA6" w:rsidRDefault="00B3406E" w:rsidP="000E651B">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887FFA" w:rsidRDefault="00C444F4" w:rsidP="00887FFA">
            <w:pPr>
              <w:spacing w:before="120"/>
              <w:jc w:val="both"/>
              <w:rPr>
                <w:rFonts w:eastAsia="MS Mincho" w:cs="Times New Roman"/>
                <w:noProof/>
                <w:szCs w:val="32"/>
              </w:rPr>
            </w:pPr>
            <w:r>
              <w:rPr>
                <w:rFonts w:eastAsia="MS Mincho" w:cs="Times New Roman"/>
                <w:noProof/>
                <w:szCs w:val="32"/>
              </w:rPr>
              <w:t xml:space="preserve">Two possibilities existed in Euroclear France in order to instruct deliveries without payment: </w:t>
            </w:r>
          </w:p>
          <w:p w:rsidR="00C444F4" w:rsidRPr="00C444F4" w:rsidRDefault="00C444F4" w:rsidP="00C444F4">
            <w:pPr>
              <w:pStyle w:val="ListParagraph"/>
              <w:numPr>
                <w:ilvl w:val="0"/>
                <w:numId w:val="3"/>
              </w:numPr>
              <w:spacing w:before="120"/>
              <w:ind w:left="318" w:hanging="284"/>
              <w:contextualSpacing w:val="0"/>
              <w:jc w:val="both"/>
              <w:rPr>
                <w:rFonts w:eastAsia="MS Mincho" w:cs="Times New Roman"/>
                <w:bCs/>
                <w:noProof/>
                <w:szCs w:val="32"/>
              </w:rPr>
            </w:pPr>
            <w:r w:rsidRPr="00C444F4">
              <w:rPr>
                <w:rFonts w:eastAsia="MS Mincho" w:cs="Times New Roman"/>
                <w:bCs/>
                <w:noProof/>
                <w:szCs w:val="32"/>
              </w:rPr>
              <w:t>Using the ‘Franco’ functionalitieis of Euroclear France, which led to in</w:t>
            </w:r>
            <w:r>
              <w:rPr>
                <w:rFonts w:eastAsia="MS Mincho" w:cs="Times New Roman"/>
                <w:bCs/>
                <w:noProof/>
                <w:szCs w:val="32"/>
              </w:rPr>
              <w:t>structions without matching, also known as ‘unilateral’ free of payment instructions;</w:t>
            </w:r>
          </w:p>
          <w:p w:rsidR="00C444F4" w:rsidRPr="00C444F4" w:rsidRDefault="00C444F4" w:rsidP="00C444F4">
            <w:pPr>
              <w:pStyle w:val="ListParagraph"/>
              <w:numPr>
                <w:ilvl w:val="0"/>
                <w:numId w:val="3"/>
              </w:numPr>
              <w:spacing w:before="120"/>
              <w:ind w:left="318" w:hanging="284"/>
              <w:contextualSpacing w:val="0"/>
              <w:jc w:val="both"/>
              <w:rPr>
                <w:rFonts w:eastAsia="MS Mincho" w:cs="Times New Roman"/>
                <w:bCs/>
                <w:noProof/>
                <w:szCs w:val="32"/>
              </w:rPr>
            </w:pPr>
            <w:r w:rsidRPr="00C444F4">
              <w:rPr>
                <w:rFonts w:eastAsia="MS Mincho" w:cs="Times New Roman"/>
                <w:bCs/>
                <w:noProof/>
                <w:szCs w:val="32"/>
              </w:rPr>
              <w:t>Using delivery vs payment instructions with a 0-amount in the ‘SLAB’ module of Euroclear France.</w:t>
            </w:r>
          </w:p>
        </w:tc>
      </w:tr>
      <w:tr w:rsidR="00B3406E" w:rsidRPr="00C444F4" w:rsidTr="0091257E">
        <w:tc>
          <w:tcPr>
            <w:tcW w:w="2093" w:type="dxa"/>
            <w:tcBorders>
              <w:left w:val="nil"/>
              <w:right w:val="nil"/>
            </w:tcBorders>
          </w:tcPr>
          <w:p w:rsidR="00B3406E" w:rsidRPr="00C444F4" w:rsidRDefault="00B3406E" w:rsidP="000E651B">
            <w:pPr>
              <w:rPr>
                <w:rFonts w:eastAsia="MS Mincho" w:cs="Times New Roman"/>
                <w:b/>
                <w:noProof/>
                <w:szCs w:val="32"/>
              </w:rPr>
            </w:pPr>
          </w:p>
        </w:tc>
        <w:tc>
          <w:tcPr>
            <w:tcW w:w="7513" w:type="dxa"/>
            <w:tcBorders>
              <w:left w:val="nil"/>
              <w:right w:val="nil"/>
            </w:tcBorders>
          </w:tcPr>
          <w:p w:rsidR="00B3406E" w:rsidRPr="00C444F4" w:rsidRDefault="00B3406E" w:rsidP="00B26098">
            <w:pPr>
              <w:rPr>
                <w:rFonts w:eastAsia="MS Mincho" w:cs="Times New Roman"/>
                <w:noProof/>
                <w:szCs w:val="32"/>
              </w:rPr>
            </w:pPr>
          </w:p>
        </w:tc>
      </w:tr>
      <w:tr w:rsidR="00B3406E" w:rsidRPr="00C444F4" w:rsidTr="0081511D">
        <w:tc>
          <w:tcPr>
            <w:tcW w:w="2093" w:type="dxa"/>
            <w:tcBorders>
              <w:bottom w:val="single" w:sz="4" w:space="0" w:color="auto"/>
            </w:tcBorders>
            <w:shd w:val="clear" w:color="auto" w:fill="BFBFBF" w:themeFill="background1" w:themeFillShade="BF"/>
          </w:tcPr>
          <w:p w:rsidR="00B3406E" w:rsidRPr="00343E9C" w:rsidRDefault="00B3406E" w:rsidP="000E651B">
            <w:pPr>
              <w:rPr>
                <w:rFonts w:eastAsia="MS Mincho" w:cs="Times New Roman"/>
                <w:b/>
                <w:noProof/>
                <w:szCs w:val="32"/>
              </w:rPr>
            </w:pPr>
            <w:r w:rsidRPr="00343E9C">
              <w:rPr>
                <w:rFonts w:eastAsia="MS Mincho" w:cs="Times New Roman"/>
                <w:b/>
                <w:noProof/>
                <w:szCs w:val="32"/>
              </w:rPr>
              <w:t>Description of the T2S impact</w:t>
            </w:r>
          </w:p>
        </w:tc>
        <w:tc>
          <w:tcPr>
            <w:tcW w:w="7513" w:type="dxa"/>
            <w:tcBorders>
              <w:bottom w:val="single" w:sz="4" w:space="0" w:color="auto"/>
            </w:tcBorders>
          </w:tcPr>
          <w:p w:rsidR="007F06A7" w:rsidRDefault="00C444F4" w:rsidP="00926B03">
            <w:pPr>
              <w:spacing w:before="120" w:after="60"/>
              <w:jc w:val="both"/>
              <w:rPr>
                <w:rFonts w:eastAsia="MS Mincho" w:cs="Times New Roman"/>
                <w:noProof/>
                <w:szCs w:val="32"/>
              </w:rPr>
            </w:pPr>
            <w:r w:rsidRPr="00C444F4">
              <w:rPr>
                <w:rFonts w:eastAsia="MS Mincho" w:cs="Times New Roman"/>
                <w:noProof/>
                <w:szCs w:val="32"/>
              </w:rPr>
              <w:t xml:space="preserve">With the implementation of </w:t>
            </w:r>
            <w:r>
              <w:rPr>
                <w:rFonts w:eastAsia="MS Mincho" w:cs="Times New Roman"/>
                <w:noProof/>
                <w:szCs w:val="32"/>
              </w:rPr>
              <w:t>T2S, there are 3 possibilities for instructing deliveries without payment:</w:t>
            </w:r>
          </w:p>
          <w:p w:rsidR="00C444F4" w:rsidRPr="00C444F4" w:rsidRDefault="00C444F4" w:rsidP="00C444F4">
            <w:pPr>
              <w:pStyle w:val="ListParagraph"/>
              <w:numPr>
                <w:ilvl w:val="0"/>
                <w:numId w:val="3"/>
              </w:numPr>
              <w:spacing w:before="120"/>
              <w:ind w:left="318" w:hanging="284"/>
              <w:contextualSpacing w:val="0"/>
              <w:jc w:val="both"/>
              <w:rPr>
                <w:rFonts w:eastAsia="MS Mincho" w:cs="Times New Roman"/>
                <w:bCs/>
                <w:noProof/>
                <w:szCs w:val="32"/>
              </w:rPr>
            </w:pPr>
            <w:r w:rsidRPr="00C444F4">
              <w:rPr>
                <w:rFonts w:eastAsia="MS Mincho" w:cs="Times New Roman"/>
                <w:bCs/>
                <w:noProof/>
                <w:szCs w:val="32"/>
              </w:rPr>
              <w:t>In ICP mode, using Euroclear’s ‘</w:t>
            </w:r>
            <w:r>
              <w:rPr>
                <w:rFonts w:eastAsia="MS Mincho" w:cs="Times New Roman"/>
                <w:bCs/>
                <w:noProof/>
                <w:szCs w:val="32"/>
              </w:rPr>
              <w:t>Free of Payment Witho</w:t>
            </w:r>
            <w:r w:rsidRPr="00C444F4">
              <w:rPr>
                <w:rFonts w:eastAsia="MS Mincho" w:cs="Times New Roman"/>
                <w:bCs/>
                <w:noProof/>
                <w:szCs w:val="32"/>
              </w:rPr>
              <w:t>u</w:t>
            </w:r>
            <w:r>
              <w:rPr>
                <w:rFonts w:eastAsia="MS Mincho" w:cs="Times New Roman"/>
                <w:bCs/>
                <w:noProof/>
                <w:szCs w:val="32"/>
              </w:rPr>
              <w:t>t</w:t>
            </w:r>
            <w:r w:rsidRPr="00C444F4">
              <w:rPr>
                <w:rFonts w:eastAsia="MS Mincho" w:cs="Times New Roman"/>
                <w:bCs/>
                <w:noProof/>
                <w:szCs w:val="32"/>
              </w:rPr>
              <w:t xml:space="preserve"> Matching’ service, equivalent to instructing ‘unilateral’ </w:t>
            </w:r>
            <w:r>
              <w:rPr>
                <w:rFonts w:eastAsia="MS Mincho" w:cs="Times New Roman"/>
                <w:bCs/>
                <w:noProof/>
                <w:szCs w:val="32"/>
              </w:rPr>
              <w:t>free of payment instructions, giving rise in T2S to ‘already matched’ instructions issues by the CSD upon instruction from its participants;</w:t>
            </w:r>
          </w:p>
          <w:p w:rsidR="00C444F4" w:rsidRPr="00C444F4" w:rsidRDefault="00C444F4" w:rsidP="00C444F4">
            <w:pPr>
              <w:pStyle w:val="ListParagraph"/>
              <w:numPr>
                <w:ilvl w:val="0"/>
                <w:numId w:val="3"/>
              </w:numPr>
              <w:spacing w:before="120"/>
              <w:ind w:left="318" w:hanging="284"/>
              <w:contextualSpacing w:val="0"/>
              <w:jc w:val="both"/>
              <w:rPr>
                <w:rFonts w:eastAsia="MS Mincho" w:cs="Times New Roman"/>
                <w:bCs/>
                <w:noProof/>
                <w:szCs w:val="32"/>
              </w:rPr>
            </w:pPr>
            <w:r w:rsidRPr="00C444F4">
              <w:rPr>
                <w:rFonts w:eastAsia="MS Mincho" w:cs="Times New Roman"/>
                <w:bCs/>
                <w:noProof/>
                <w:szCs w:val="32"/>
              </w:rPr>
              <w:t>In DCP mode, using deliveries free of payment : ‘DELI FREE’ / ‘RECE FREE’ ;</w:t>
            </w:r>
          </w:p>
          <w:p w:rsidR="00C444F4" w:rsidRPr="00C444F4" w:rsidRDefault="00C444F4" w:rsidP="00C444F4">
            <w:pPr>
              <w:pStyle w:val="ListParagraph"/>
              <w:numPr>
                <w:ilvl w:val="0"/>
                <w:numId w:val="3"/>
              </w:numPr>
              <w:spacing w:before="120"/>
              <w:ind w:left="318" w:hanging="284"/>
              <w:contextualSpacing w:val="0"/>
              <w:jc w:val="both"/>
              <w:rPr>
                <w:rFonts w:eastAsia="MS Mincho" w:cs="Times New Roman"/>
                <w:bCs/>
                <w:noProof/>
                <w:szCs w:val="32"/>
              </w:rPr>
            </w:pPr>
            <w:r w:rsidRPr="00C444F4">
              <w:rPr>
                <w:rFonts w:eastAsia="MS Mincho" w:cs="Times New Roman"/>
                <w:bCs/>
                <w:noProof/>
                <w:szCs w:val="32"/>
              </w:rPr>
              <w:t>In DCP mode, using delivery vs payment instructions with a 0-amount (‘APMT’).</w:t>
            </w:r>
          </w:p>
        </w:tc>
      </w:tr>
      <w:tr w:rsidR="0081511D" w:rsidRPr="00C444F4" w:rsidTr="0081511D">
        <w:tc>
          <w:tcPr>
            <w:tcW w:w="2093" w:type="dxa"/>
            <w:tcBorders>
              <w:left w:val="nil"/>
              <w:right w:val="nil"/>
            </w:tcBorders>
            <w:shd w:val="clear" w:color="auto" w:fill="auto"/>
          </w:tcPr>
          <w:p w:rsidR="0081511D" w:rsidRPr="00C444F4"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C444F4" w:rsidRDefault="0081511D" w:rsidP="0081511D">
            <w:pPr>
              <w:rPr>
                <w:rFonts w:eastAsia="MS Mincho" w:cs="Times New Roman"/>
                <w:b/>
                <w:noProof/>
                <w:szCs w:val="32"/>
              </w:rPr>
            </w:pPr>
          </w:p>
        </w:tc>
      </w:tr>
      <w:tr w:rsidR="00B3406E" w:rsidRPr="001266D4" w:rsidTr="0081511D">
        <w:tc>
          <w:tcPr>
            <w:tcW w:w="2093" w:type="dxa"/>
            <w:shd w:val="clear" w:color="auto" w:fill="BFBFBF" w:themeFill="background1" w:themeFillShade="BF"/>
          </w:tcPr>
          <w:p w:rsidR="00B3406E" w:rsidRPr="000C4CA6" w:rsidRDefault="00B3406E" w:rsidP="000E651B">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7F06A7" w:rsidRDefault="00C444F4" w:rsidP="00C444F4">
            <w:pPr>
              <w:spacing w:before="120" w:after="60"/>
              <w:ind w:left="34"/>
              <w:jc w:val="both"/>
              <w:rPr>
                <w:rFonts w:eastAsia="MS Mincho" w:cs="Times New Roman"/>
                <w:bCs/>
                <w:noProof/>
                <w:szCs w:val="32"/>
              </w:rPr>
            </w:pPr>
            <w:r>
              <w:rPr>
                <w:rFonts w:eastAsia="MS Mincho" w:cs="Times New Roman"/>
                <w:bCs/>
                <w:noProof/>
                <w:szCs w:val="32"/>
              </w:rPr>
              <w:t>In order to facilitate the use by participants of the various types of instructions without payment, the French market has decided to specify and synthetize in one market practices the use cases identified for these instructions, and the recommandations of market participants.</w:t>
            </w:r>
          </w:p>
          <w:p w:rsidR="00C444F4" w:rsidRDefault="00C444F4" w:rsidP="00C444F4">
            <w:pPr>
              <w:spacing w:before="120" w:after="60"/>
              <w:ind w:left="34"/>
              <w:jc w:val="both"/>
              <w:rPr>
                <w:rFonts w:eastAsia="MS Mincho" w:cs="Times New Roman"/>
                <w:bCs/>
                <w:noProof/>
                <w:szCs w:val="32"/>
              </w:rPr>
            </w:pPr>
            <w:r>
              <w:rPr>
                <w:rFonts w:eastAsia="MS Mincho" w:cs="Times New Roman"/>
                <w:bCs/>
                <w:noProof/>
                <w:szCs w:val="32"/>
              </w:rPr>
              <w:t>6 use cases were identified:</w:t>
            </w:r>
          </w:p>
          <w:p w:rsidR="00C444F4" w:rsidRPr="00C444F4" w:rsidRDefault="00C444F4" w:rsidP="00C444F4">
            <w:pPr>
              <w:pStyle w:val="ListParagraph"/>
              <w:numPr>
                <w:ilvl w:val="0"/>
                <w:numId w:val="3"/>
              </w:numPr>
              <w:spacing w:before="120"/>
              <w:ind w:left="318" w:hanging="284"/>
              <w:contextualSpacing w:val="0"/>
              <w:jc w:val="both"/>
              <w:rPr>
                <w:rFonts w:eastAsia="MS Mincho" w:cs="Times New Roman"/>
                <w:bCs/>
                <w:noProof/>
                <w:szCs w:val="32"/>
              </w:rPr>
            </w:pPr>
            <w:r w:rsidRPr="00C444F4">
              <w:rPr>
                <w:rFonts w:eastAsia="MS Mincho" w:cs="Times New Roman"/>
                <w:bCs/>
                <w:noProof/>
                <w:szCs w:val="32"/>
              </w:rPr>
              <w:t>Instructions on securities lending and borrowing ;</w:t>
            </w:r>
          </w:p>
          <w:p w:rsidR="00C444F4" w:rsidRDefault="00C444F4" w:rsidP="00C444F4">
            <w:pPr>
              <w:pStyle w:val="ListParagraph"/>
              <w:numPr>
                <w:ilvl w:val="0"/>
                <w:numId w:val="3"/>
              </w:numPr>
              <w:spacing w:before="120"/>
              <w:ind w:left="318" w:hanging="284"/>
              <w:contextualSpacing w:val="0"/>
              <w:jc w:val="both"/>
              <w:rPr>
                <w:rFonts w:eastAsia="MS Mincho" w:cs="Times New Roman"/>
                <w:bCs/>
                <w:noProof/>
                <w:szCs w:val="32"/>
                <w:lang w:val="fr-FR"/>
              </w:rPr>
            </w:pPr>
            <w:r>
              <w:rPr>
                <w:rFonts w:eastAsia="MS Mincho" w:cs="Times New Roman"/>
                <w:bCs/>
                <w:noProof/>
                <w:szCs w:val="32"/>
                <w:lang w:val="fr-FR"/>
              </w:rPr>
              <w:t>Corporate action proceeds ;</w:t>
            </w:r>
          </w:p>
          <w:p w:rsidR="00C444F4" w:rsidRDefault="00C444F4" w:rsidP="00C444F4">
            <w:pPr>
              <w:pStyle w:val="ListParagraph"/>
              <w:numPr>
                <w:ilvl w:val="0"/>
                <w:numId w:val="3"/>
              </w:numPr>
              <w:spacing w:before="120"/>
              <w:ind w:left="318" w:hanging="284"/>
              <w:contextualSpacing w:val="0"/>
              <w:jc w:val="both"/>
              <w:rPr>
                <w:rFonts w:eastAsia="MS Mincho" w:cs="Times New Roman"/>
                <w:bCs/>
                <w:noProof/>
                <w:szCs w:val="32"/>
                <w:lang w:val="fr-FR"/>
              </w:rPr>
            </w:pPr>
            <w:r>
              <w:rPr>
                <w:rFonts w:eastAsia="MS Mincho" w:cs="Times New Roman"/>
                <w:bCs/>
                <w:noProof/>
                <w:szCs w:val="32"/>
                <w:lang w:val="fr-FR"/>
              </w:rPr>
              <w:lastRenderedPageBreak/>
              <w:t>Portfolio transfers ;</w:t>
            </w:r>
          </w:p>
          <w:p w:rsidR="00C444F4" w:rsidRDefault="00C444F4" w:rsidP="00C444F4">
            <w:pPr>
              <w:pStyle w:val="ListParagraph"/>
              <w:numPr>
                <w:ilvl w:val="0"/>
                <w:numId w:val="3"/>
              </w:numPr>
              <w:spacing w:before="120"/>
              <w:ind w:left="318" w:hanging="284"/>
              <w:contextualSpacing w:val="0"/>
              <w:jc w:val="both"/>
              <w:rPr>
                <w:rFonts w:eastAsia="MS Mincho" w:cs="Times New Roman"/>
                <w:bCs/>
                <w:noProof/>
                <w:szCs w:val="32"/>
                <w:lang w:val="fr-FR"/>
              </w:rPr>
            </w:pPr>
            <w:r>
              <w:rPr>
                <w:rFonts w:eastAsia="MS Mincho" w:cs="Times New Roman"/>
                <w:bCs/>
                <w:noProof/>
                <w:szCs w:val="32"/>
                <w:lang w:val="fr-FR"/>
              </w:rPr>
              <w:t>Conversions ;</w:t>
            </w:r>
          </w:p>
          <w:p w:rsidR="001266D4" w:rsidRDefault="00C444F4" w:rsidP="001266D4">
            <w:pPr>
              <w:pStyle w:val="ListParagraph"/>
              <w:numPr>
                <w:ilvl w:val="0"/>
                <w:numId w:val="3"/>
              </w:numPr>
              <w:spacing w:before="120"/>
              <w:ind w:left="318" w:hanging="284"/>
              <w:contextualSpacing w:val="0"/>
              <w:jc w:val="both"/>
              <w:rPr>
                <w:rFonts w:eastAsia="MS Mincho" w:cs="Times New Roman"/>
                <w:bCs/>
                <w:noProof/>
                <w:szCs w:val="32"/>
                <w:lang w:val="fr-FR"/>
              </w:rPr>
            </w:pPr>
            <w:r>
              <w:rPr>
                <w:rFonts w:eastAsia="MS Mincho" w:cs="Times New Roman"/>
                <w:bCs/>
                <w:noProof/>
                <w:szCs w:val="32"/>
                <w:lang w:val="fr-FR"/>
              </w:rPr>
              <w:t>Instructions on registerred shares ;</w:t>
            </w:r>
          </w:p>
          <w:p w:rsidR="00C444F4" w:rsidRPr="001266D4" w:rsidRDefault="001266D4" w:rsidP="006E4213">
            <w:pPr>
              <w:pStyle w:val="ListParagraph"/>
              <w:numPr>
                <w:ilvl w:val="0"/>
                <w:numId w:val="3"/>
              </w:numPr>
              <w:spacing w:before="120"/>
              <w:ind w:left="318" w:hanging="284"/>
              <w:contextualSpacing w:val="0"/>
              <w:jc w:val="both"/>
              <w:rPr>
                <w:rFonts w:eastAsia="MS Mincho" w:cs="Times New Roman"/>
                <w:bCs/>
                <w:noProof/>
                <w:szCs w:val="32"/>
              </w:rPr>
            </w:pPr>
            <w:r w:rsidRPr="001266D4">
              <w:rPr>
                <w:rFonts w:eastAsia="MS Mincho" w:cs="Times New Roman"/>
                <w:bCs/>
                <w:noProof/>
                <w:szCs w:val="32"/>
              </w:rPr>
              <w:t>I</w:t>
            </w:r>
            <w:r w:rsidR="00C444F4" w:rsidRPr="001266D4">
              <w:rPr>
                <w:rFonts w:eastAsia="MS Mincho" w:cs="Times New Roman"/>
                <w:bCs/>
                <w:noProof/>
                <w:szCs w:val="32"/>
              </w:rPr>
              <w:t xml:space="preserve">nstructions </w:t>
            </w:r>
            <w:r w:rsidRPr="001266D4">
              <w:rPr>
                <w:rFonts w:eastAsia="MS Mincho" w:cs="Times New Roman"/>
                <w:bCs/>
                <w:noProof/>
                <w:szCs w:val="32"/>
              </w:rPr>
              <w:t>on investment funds with separate settlem</w:t>
            </w:r>
            <w:r>
              <w:rPr>
                <w:rFonts w:eastAsia="MS Mincho" w:cs="Times New Roman"/>
                <w:bCs/>
                <w:noProof/>
                <w:szCs w:val="32"/>
              </w:rPr>
              <w:t xml:space="preserve">ent of securities and cash, such as </w:t>
            </w:r>
            <w:r w:rsidRPr="001266D4">
              <w:rPr>
                <w:rFonts w:eastAsia="MS Mincho" w:cs="Times New Roman"/>
                <w:bCs/>
                <w:noProof/>
                <w:szCs w:val="32"/>
              </w:rPr>
              <w:t xml:space="preserve">orders with cash settlement, </w:t>
            </w:r>
            <w:r>
              <w:rPr>
                <w:rFonts w:eastAsia="MS Mincho" w:cs="Times New Roman"/>
                <w:bCs/>
                <w:noProof/>
                <w:szCs w:val="32"/>
              </w:rPr>
              <w:t xml:space="preserve">or </w:t>
            </w:r>
            <w:r w:rsidRPr="001266D4">
              <w:rPr>
                <w:rFonts w:eastAsia="MS Mincho" w:cs="Times New Roman"/>
                <w:bCs/>
                <w:noProof/>
                <w:szCs w:val="32"/>
              </w:rPr>
              <w:t>o</w:t>
            </w:r>
            <w:r>
              <w:rPr>
                <w:rFonts w:eastAsia="MS Mincho" w:cs="Times New Roman"/>
                <w:bCs/>
                <w:noProof/>
                <w:szCs w:val="32"/>
              </w:rPr>
              <w:t>rders on funds with pre-funding.</w:t>
            </w:r>
          </w:p>
        </w:tc>
      </w:tr>
      <w:tr w:rsidR="00B3406E" w:rsidRPr="001266D4" w:rsidTr="006542ED">
        <w:tc>
          <w:tcPr>
            <w:tcW w:w="2093" w:type="dxa"/>
            <w:tcBorders>
              <w:left w:val="nil"/>
              <w:right w:val="nil"/>
            </w:tcBorders>
            <w:shd w:val="clear" w:color="auto" w:fill="auto"/>
          </w:tcPr>
          <w:p w:rsidR="00B3406E" w:rsidRPr="001266D4"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1266D4" w:rsidRDefault="00B3406E" w:rsidP="006542ED">
            <w:pPr>
              <w:rPr>
                <w:rFonts w:eastAsia="MS Mincho" w:cs="Times New Roman"/>
                <w:b/>
                <w:noProof/>
                <w:szCs w:val="32"/>
              </w:rPr>
            </w:pPr>
          </w:p>
        </w:tc>
      </w:tr>
      <w:tr w:rsidR="00B3406E" w:rsidRPr="005E593C" w:rsidTr="0081511D">
        <w:tc>
          <w:tcPr>
            <w:tcW w:w="2093" w:type="dxa"/>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5E593C" w:rsidRDefault="00B3406E" w:rsidP="005E593C">
            <w:pPr>
              <w:spacing w:beforeLines="60" w:before="144"/>
              <w:jc w:val="both"/>
              <w:rPr>
                <w:rFonts w:cs="Tahoma"/>
                <w:lang w:eastAsia="fr-FR"/>
              </w:rPr>
            </w:pPr>
          </w:p>
        </w:tc>
      </w:tr>
      <w:tr w:rsidR="00B3406E" w:rsidRPr="005E593C" w:rsidTr="006542ED">
        <w:tc>
          <w:tcPr>
            <w:tcW w:w="2093" w:type="dxa"/>
            <w:tcBorders>
              <w:left w:val="nil"/>
              <w:right w:val="nil"/>
            </w:tcBorders>
            <w:shd w:val="clear" w:color="auto" w:fill="auto"/>
          </w:tcPr>
          <w:p w:rsidR="00B3406E" w:rsidRPr="005E593C"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5E593C" w:rsidRDefault="00B3406E" w:rsidP="006542ED">
            <w:pPr>
              <w:rPr>
                <w:rFonts w:eastAsia="MS Mincho" w:cs="Times New Roman"/>
                <w:b/>
                <w:noProof/>
                <w:szCs w:val="32"/>
              </w:rPr>
            </w:pPr>
          </w:p>
        </w:tc>
      </w:tr>
      <w:tr w:rsidR="00B3406E" w:rsidRPr="0081511D" w:rsidTr="0081511D">
        <w:tc>
          <w:tcPr>
            <w:tcW w:w="2093" w:type="dxa"/>
            <w:shd w:val="clear" w:color="auto" w:fill="BFBFBF" w:themeFill="background1" w:themeFillShade="BF"/>
          </w:tcPr>
          <w:p w:rsidR="00B3406E" w:rsidRDefault="00B3406E" w:rsidP="000E651B">
            <w:pPr>
              <w:rPr>
                <w:rFonts w:eastAsia="MS Mincho" w:cs="Times New Roman"/>
                <w:b/>
                <w:noProof/>
                <w:szCs w:val="32"/>
                <w:lang w:val="fr-FR"/>
              </w:rPr>
            </w:pPr>
            <w:r>
              <w:rPr>
                <w:rFonts w:eastAsia="MS Mincho" w:cs="Times New Roman"/>
                <w:b/>
                <w:noProof/>
                <w:szCs w:val="32"/>
                <w:lang w:val="fr-FR"/>
              </w:rPr>
              <w:t>Workflows</w:t>
            </w:r>
          </w:p>
          <w:p w:rsidR="00B3406E"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FD2FD6" w:rsidRDefault="00B3406E" w:rsidP="0081511D">
            <w:pPr>
              <w:rPr>
                <w:rFonts w:eastAsia="MS Mincho" w:cs="Times New Roman"/>
                <w:noProof/>
                <w:szCs w:val="32"/>
                <w:lang w:val="fr-FR"/>
              </w:rPr>
            </w:pPr>
          </w:p>
        </w:tc>
      </w:tr>
      <w:tr w:rsidR="00B3406E" w:rsidRPr="0081511D" w:rsidTr="006542ED">
        <w:tc>
          <w:tcPr>
            <w:tcW w:w="2093" w:type="dxa"/>
            <w:tcBorders>
              <w:left w:val="nil"/>
              <w:right w:val="nil"/>
            </w:tcBorders>
            <w:shd w:val="clear" w:color="auto" w:fill="auto"/>
          </w:tcPr>
          <w:p w:rsidR="00B3406E" w:rsidRDefault="00B3406E" w:rsidP="000E651B">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6542ED">
            <w:pPr>
              <w:rPr>
                <w:rFonts w:eastAsia="MS Mincho" w:cs="Times New Roman"/>
                <w:b/>
                <w:noProof/>
                <w:szCs w:val="32"/>
                <w:lang w:val="fr-FR"/>
              </w:rPr>
            </w:pPr>
          </w:p>
        </w:tc>
      </w:tr>
      <w:tr w:rsidR="00B3406E" w:rsidRPr="00113071" w:rsidTr="0091257E">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1266D4" w:rsidRDefault="001266D4" w:rsidP="001266D4">
            <w:pPr>
              <w:pStyle w:val="ListParagraph"/>
              <w:numPr>
                <w:ilvl w:val="0"/>
                <w:numId w:val="12"/>
              </w:numPr>
              <w:ind w:left="317" w:hanging="284"/>
              <w:rPr>
                <w:rFonts w:eastAsia="MS Mincho" w:cs="Times New Roman"/>
                <w:noProof/>
                <w:szCs w:val="32"/>
                <w:lang w:val="fr-FR"/>
              </w:rPr>
            </w:pPr>
            <w:r>
              <w:rPr>
                <w:rFonts w:eastAsia="MS Mincho" w:cs="Times New Roman"/>
                <w:noProof/>
                <w:szCs w:val="32"/>
                <w:lang w:val="fr-FR"/>
              </w:rPr>
              <w:t>MS-SETTL-FRANCO 01</w:t>
            </w:r>
          </w:p>
          <w:p w:rsidR="001266D4" w:rsidRDefault="001266D4" w:rsidP="001266D4">
            <w:pPr>
              <w:pStyle w:val="ListParagraph"/>
              <w:numPr>
                <w:ilvl w:val="0"/>
                <w:numId w:val="12"/>
              </w:numPr>
              <w:ind w:left="317" w:hanging="284"/>
              <w:rPr>
                <w:rFonts w:eastAsia="MS Mincho" w:cs="Times New Roman"/>
                <w:noProof/>
                <w:szCs w:val="32"/>
                <w:lang w:val="fr-FR"/>
              </w:rPr>
            </w:pPr>
            <w:r w:rsidRPr="001266D4">
              <w:rPr>
                <w:rFonts w:eastAsia="MS Mincho" w:cs="Times New Roman"/>
                <w:noProof/>
                <w:szCs w:val="32"/>
                <w:lang w:val="fr-FR"/>
              </w:rPr>
              <w:t>MS-SETTL-FRANCO 02</w:t>
            </w:r>
          </w:p>
          <w:p w:rsidR="001266D4" w:rsidRDefault="001266D4" w:rsidP="001266D4">
            <w:pPr>
              <w:pStyle w:val="ListParagraph"/>
              <w:numPr>
                <w:ilvl w:val="0"/>
                <w:numId w:val="12"/>
              </w:numPr>
              <w:ind w:left="317" w:hanging="284"/>
              <w:rPr>
                <w:rFonts w:eastAsia="MS Mincho" w:cs="Times New Roman"/>
                <w:noProof/>
                <w:szCs w:val="32"/>
                <w:lang w:val="fr-FR"/>
              </w:rPr>
            </w:pPr>
            <w:r w:rsidRPr="001266D4">
              <w:rPr>
                <w:rFonts w:eastAsia="MS Mincho" w:cs="Times New Roman"/>
                <w:noProof/>
                <w:szCs w:val="32"/>
                <w:lang w:val="fr-FR"/>
              </w:rPr>
              <w:t>MS-SETTL-FRANCO 03</w:t>
            </w:r>
          </w:p>
          <w:p w:rsidR="001266D4" w:rsidRDefault="001266D4" w:rsidP="001266D4">
            <w:pPr>
              <w:pStyle w:val="ListParagraph"/>
              <w:numPr>
                <w:ilvl w:val="0"/>
                <w:numId w:val="12"/>
              </w:numPr>
              <w:ind w:left="317" w:hanging="284"/>
              <w:rPr>
                <w:rFonts w:eastAsia="MS Mincho" w:cs="Times New Roman"/>
                <w:noProof/>
                <w:szCs w:val="32"/>
                <w:lang w:val="fr-FR"/>
              </w:rPr>
            </w:pPr>
            <w:r w:rsidRPr="001266D4">
              <w:rPr>
                <w:rFonts w:eastAsia="MS Mincho" w:cs="Times New Roman"/>
                <w:noProof/>
                <w:szCs w:val="32"/>
                <w:lang w:val="fr-FR"/>
              </w:rPr>
              <w:t>NE-NOMIN-SETTL-01</w:t>
            </w:r>
          </w:p>
          <w:p w:rsidR="00B3406E" w:rsidRPr="001266D4" w:rsidRDefault="001266D4" w:rsidP="001266D4">
            <w:pPr>
              <w:pStyle w:val="ListParagraph"/>
              <w:numPr>
                <w:ilvl w:val="0"/>
                <w:numId w:val="12"/>
              </w:numPr>
              <w:ind w:left="317" w:hanging="284"/>
              <w:rPr>
                <w:rFonts w:eastAsia="MS Mincho" w:cs="Times New Roman"/>
                <w:noProof/>
                <w:szCs w:val="32"/>
                <w:lang w:val="fr-FR"/>
              </w:rPr>
            </w:pPr>
            <w:r w:rsidRPr="001266D4">
              <w:rPr>
                <w:rFonts w:eastAsia="MS Mincho" w:cs="Times New Roman"/>
                <w:noProof/>
                <w:szCs w:val="32"/>
                <w:lang w:val="fr-FR"/>
              </w:rPr>
              <w:t>OP-SETTL-RLDISSOCIE-01</w:t>
            </w:r>
          </w:p>
        </w:tc>
      </w:tr>
    </w:tbl>
    <w:p w:rsidR="0081511D" w:rsidRPr="00AE20EB" w:rsidRDefault="0081511D" w:rsidP="00D103DA">
      <w:pPr>
        <w:spacing w:after="0" w:line="240" w:lineRule="auto"/>
        <w:rPr>
          <w:rFonts w:eastAsia="MS Mincho" w:cs="Times New Roman"/>
          <w:noProof/>
          <w:szCs w:val="32"/>
        </w:rPr>
      </w:pPr>
    </w:p>
    <w:p w:rsidR="007879D1" w:rsidRDefault="007879D1">
      <w:pPr>
        <w:rPr>
          <w:rFonts w:eastAsia="MS Mincho" w:cs="Times New Roman"/>
          <w:b/>
          <w:caps/>
          <w:noProof/>
          <w:sz w:val="32"/>
          <w:szCs w:val="32"/>
          <w:lang w:val="fr-FR"/>
        </w:rPr>
      </w:pPr>
    </w:p>
    <w:p w:rsidR="00B3406E" w:rsidRPr="004F6025" w:rsidRDefault="00B3406E" w:rsidP="00B3406E">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B3406E" w:rsidRPr="008D0CDE" w:rsidTr="0081511D">
        <w:trPr>
          <w:gridAfter w:val="1"/>
          <w:wAfter w:w="30" w:type="dxa"/>
        </w:trPr>
        <w:tc>
          <w:tcPr>
            <w:tcW w:w="2093" w:type="dxa"/>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5D47D4" w:rsidRPr="001266D4" w:rsidRDefault="001266D4" w:rsidP="00C444F4">
            <w:pPr>
              <w:spacing w:before="120"/>
              <w:jc w:val="both"/>
              <w:rPr>
                <w:rFonts w:eastAsia="MS Mincho" w:cs="Times New Roman"/>
                <w:b/>
                <w:bCs/>
                <w:noProof/>
                <w:szCs w:val="32"/>
              </w:rPr>
            </w:pPr>
            <w:r w:rsidRPr="001266D4">
              <w:rPr>
                <w:rFonts w:eastAsia="MS Mincho" w:cs="Times New Roman"/>
                <w:b/>
                <w:bCs/>
                <w:noProof/>
                <w:szCs w:val="32"/>
              </w:rPr>
              <w:t>Management of instructions of securities lending and borrowing</w:t>
            </w:r>
          </w:p>
          <w:p w:rsidR="001266D4" w:rsidRPr="001266D4" w:rsidRDefault="001266D4" w:rsidP="00C444F4">
            <w:pPr>
              <w:spacing w:before="120"/>
              <w:jc w:val="both"/>
              <w:rPr>
                <w:rFonts w:eastAsia="MS Mincho" w:cs="Times New Roman"/>
                <w:bCs/>
                <w:noProof/>
                <w:szCs w:val="32"/>
              </w:rPr>
            </w:pPr>
            <w:r w:rsidRPr="001266D4">
              <w:rPr>
                <w:rFonts w:eastAsia="MS Mincho" w:cs="Times New Roman"/>
                <w:bCs/>
                <w:noProof/>
                <w:szCs w:val="32"/>
                <w:u w:val="single"/>
              </w:rPr>
              <w:t>Recommendation</w:t>
            </w:r>
            <w:r>
              <w:rPr>
                <w:rFonts w:eastAsia="MS Mincho" w:cs="Times New Roman"/>
                <w:bCs/>
                <w:noProof/>
                <w:szCs w:val="32"/>
              </w:rPr>
              <w:t xml:space="preserve">: for the management of </w:t>
            </w:r>
            <w:r w:rsidR="00B83023">
              <w:rPr>
                <w:rFonts w:eastAsia="MS Mincho" w:cs="Times New Roman"/>
                <w:bCs/>
                <w:noProof/>
                <w:szCs w:val="32"/>
              </w:rPr>
              <w:t xml:space="preserve">delivery </w:t>
            </w:r>
            <w:r>
              <w:rPr>
                <w:rFonts w:eastAsia="MS Mincho" w:cs="Times New Roman"/>
                <w:bCs/>
                <w:noProof/>
                <w:szCs w:val="32"/>
              </w:rPr>
              <w:t xml:space="preserve">instructions </w:t>
            </w:r>
            <w:r w:rsidR="00B83023">
              <w:rPr>
                <w:rFonts w:eastAsia="MS Mincho" w:cs="Times New Roman"/>
                <w:bCs/>
                <w:noProof/>
                <w:szCs w:val="32"/>
              </w:rPr>
              <w:t xml:space="preserve">of securities in the case of </w:t>
            </w:r>
            <w:r>
              <w:rPr>
                <w:rFonts w:eastAsia="MS Mincho" w:cs="Times New Roman"/>
                <w:bCs/>
                <w:noProof/>
                <w:szCs w:val="32"/>
              </w:rPr>
              <w:t xml:space="preserve">securities lending and borrowing, market participants recommend the use of instructions free of payment in T2S: </w:t>
            </w:r>
            <w:r w:rsidRPr="001266D4">
              <w:rPr>
                <w:rFonts w:eastAsia="MS Mincho" w:cs="Times New Roman"/>
                <w:bCs/>
                <w:noProof/>
                <w:szCs w:val="32"/>
              </w:rPr>
              <w:t>‘DELI FREE’ / ‘RECE FREE’.</w:t>
            </w:r>
          </w:p>
          <w:p w:rsidR="001266D4" w:rsidRPr="001266D4" w:rsidRDefault="001266D4" w:rsidP="001266D4">
            <w:pPr>
              <w:spacing w:before="240"/>
              <w:jc w:val="both"/>
              <w:rPr>
                <w:rFonts w:eastAsia="MS Mincho" w:cs="Times New Roman"/>
                <w:bCs/>
                <w:i/>
                <w:noProof/>
                <w:szCs w:val="32"/>
              </w:rPr>
            </w:pPr>
            <w:r w:rsidRPr="001266D4">
              <w:rPr>
                <w:rFonts w:eastAsia="MS Mincho" w:cs="Times New Roman"/>
                <w:b/>
                <w:bCs/>
                <w:noProof/>
                <w:szCs w:val="32"/>
              </w:rPr>
              <w:t xml:space="preserve">Management of Corporate action proceeds – </w:t>
            </w:r>
            <w:r w:rsidRPr="001266D4">
              <w:rPr>
                <w:rFonts w:eastAsia="MS Mincho" w:cs="Times New Roman"/>
                <w:bCs/>
                <w:i/>
                <w:noProof/>
                <w:szCs w:val="32"/>
              </w:rPr>
              <w:t xml:space="preserve">Excerpt from the Market Practice Sheet </w:t>
            </w:r>
            <w:r w:rsidRPr="001266D4">
              <w:rPr>
                <w:rFonts w:eastAsia="MS Mincho" w:cs="Times New Roman"/>
                <w:i/>
                <w:noProof/>
                <w:szCs w:val="32"/>
              </w:rPr>
              <w:t>MS-SETTL-FRANCO 01 Management of Corporate Actions using Euroclear’s « Free Of Payment Without Matching” service</w:t>
            </w:r>
            <w:r w:rsidR="00E334E7">
              <w:rPr>
                <w:rFonts w:eastAsia="MS Mincho" w:cs="Times New Roman"/>
                <w:i/>
                <w:noProof/>
                <w:szCs w:val="32"/>
              </w:rPr>
              <w:t xml:space="preserve"> (see page 3)</w:t>
            </w:r>
          </w:p>
          <w:p w:rsidR="00E334E7" w:rsidRPr="00E334E7" w:rsidRDefault="00E334E7" w:rsidP="00E334E7">
            <w:pPr>
              <w:spacing w:before="120"/>
              <w:jc w:val="both"/>
              <w:rPr>
                <w:rFonts w:eastAsia="MS Mincho" w:cs="Times New Roman"/>
                <w:bCs/>
                <w:noProof/>
                <w:szCs w:val="32"/>
              </w:rPr>
            </w:pPr>
            <w:r w:rsidRPr="00E334E7">
              <w:rPr>
                <w:rFonts w:eastAsia="MS Mincho" w:cs="Times New Roman"/>
                <w:bCs/>
                <w:noProof/>
                <w:szCs w:val="32"/>
                <w:u w:val="single"/>
              </w:rPr>
              <w:t>Recommendation</w:t>
            </w:r>
            <w:r>
              <w:rPr>
                <w:rFonts w:eastAsia="MS Mincho" w:cs="Times New Roman"/>
                <w:bCs/>
                <w:noProof/>
                <w:szCs w:val="32"/>
              </w:rPr>
              <w:t>:</w:t>
            </w:r>
          </w:p>
          <w:p w:rsidR="00E334E7"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Use Euroclear’s ‘Free of Payment without matching’ service which will be available using ISO 15022, ISO 20022 as well as using EuroclearConnect for Screens.</w:t>
            </w:r>
          </w:p>
          <w:p w:rsidR="00E334E7" w:rsidRPr="004A5D53"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sidRPr="004A5D53">
              <w:rPr>
                <w:rFonts w:eastAsia="MS Mincho" w:cs="Times New Roman"/>
                <w:bCs/>
                <w:noProof/>
                <w:szCs w:val="32"/>
              </w:rPr>
              <w:t xml:space="preserve">From a custodian point of view, </w:t>
            </w:r>
            <w:r>
              <w:rPr>
                <w:rFonts w:eastAsia="MS Mincho" w:cs="Times New Roman"/>
                <w:bCs/>
                <w:noProof/>
                <w:szCs w:val="32"/>
              </w:rPr>
              <w:t xml:space="preserve">systematically </w:t>
            </w:r>
            <w:r w:rsidRPr="004A5D53">
              <w:rPr>
                <w:rFonts w:eastAsia="MS Mincho" w:cs="Times New Roman"/>
                <w:bCs/>
                <w:noProof/>
                <w:szCs w:val="32"/>
              </w:rPr>
              <w:t xml:space="preserve">proceed to the delivery of </w:t>
            </w:r>
            <w:r w:rsidRPr="004A5D53">
              <w:rPr>
                <w:rFonts w:eastAsia="MS Mincho" w:cs="Times New Roman"/>
                <w:bCs/>
                <w:noProof/>
                <w:szCs w:val="32"/>
              </w:rPr>
              <w:lastRenderedPageBreak/>
              <w:t xml:space="preserve">securities or rights </w:t>
            </w:r>
            <w:r>
              <w:rPr>
                <w:rFonts w:eastAsia="MS Mincho" w:cs="Times New Roman"/>
                <w:bCs/>
                <w:noProof/>
                <w:szCs w:val="32"/>
              </w:rPr>
              <w:t>on the L1 0 sub-account of the paying agent, using the appropriate account nature corresponding to the chosen option (as indicated on the form at the time the corporate actions was advised).</w:t>
            </w:r>
          </w:p>
          <w:p w:rsidR="00E334E7" w:rsidRPr="00B057D8"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sidRPr="00B057D8">
              <w:rPr>
                <w:rFonts w:eastAsia="MS Mincho" w:cs="Times New Roman"/>
                <w:bCs/>
                <w:noProof/>
                <w:szCs w:val="32"/>
              </w:rPr>
              <w:t xml:space="preserve">From a paying agent point of view, proceed to the delivery </w:t>
            </w:r>
            <w:r>
              <w:rPr>
                <w:rFonts w:eastAsia="MS Mincho" w:cs="Times New Roman"/>
                <w:bCs/>
                <w:noProof/>
                <w:szCs w:val="32"/>
              </w:rPr>
              <w:t>of new securities on the L1 0 sub-account of the custodian.</w:t>
            </w:r>
          </w:p>
          <w:p w:rsidR="001266D4" w:rsidRPr="00E334E7" w:rsidRDefault="00E334E7" w:rsidP="00E334E7">
            <w:pPr>
              <w:spacing w:before="240"/>
              <w:jc w:val="both"/>
              <w:rPr>
                <w:rFonts w:eastAsia="MS Mincho" w:cs="Times New Roman"/>
                <w:bCs/>
                <w:i/>
                <w:noProof/>
                <w:szCs w:val="32"/>
              </w:rPr>
            </w:pPr>
            <w:r w:rsidRPr="00E334E7">
              <w:rPr>
                <w:rFonts w:eastAsia="MS Mincho" w:cs="Times New Roman"/>
                <w:b/>
                <w:bCs/>
                <w:noProof/>
                <w:szCs w:val="32"/>
              </w:rPr>
              <w:t>Management of portfolio transfers –</w:t>
            </w:r>
            <w:r>
              <w:rPr>
                <w:rFonts w:eastAsia="MS Mincho" w:cs="Times New Roman"/>
                <w:bCs/>
                <w:noProof/>
                <w:szCs w:val="32"/>
              </w:rPr>
              <w:t xml:space="preserve"> </w:t>
            </w:r>
            <w:r w:rsidRPr="00E334E7">
              <w:rPr>
                <w:rFonts w:eastAsia="MS Mincho" w:cs="Times New Roman"/>
                <w:bCs/>
                <w:i/>
                <w:noProof/>
                <w:szCs w:val="32"/>
              </w:rPr>
              <w:t>Excerpt from the Market Practice Sheet</w:t>
            </w:r>
            <w:r w:rsidRPr="00E334E7">
              <w:rPr>
                <w:i/>
              </w:rPr>
              <w:t xml:space="preserve"> </w:t>
            </w:r>
            <w:r w:rsidRPr="00E334E7">
              <w:rPr>
                <w:rFonts w:eastAsia="MS Mincho" w:cs="Times New Roman"/>
                <w:bCs/>
                <w:i/>
                <w:noProof/>
                <w:szCs w:val="32"/>
              </w:rPr>
              <w:t>MS-SETTL-FRANCO-02 (see page 3)</w:t>
            </w:r>
          </w:p>
          <w:p w:rsidR="00E334E7" w:rsidRPr="00E334E7" w:rsidRDefault="00E334E7" w:rsidP="00E334E7">
            <w:pPr>
              <w:spacing w:before="120"/>
              <w:jc w:val="both"/>
              <w:rPr>
                <w:rFonts w:eastAsia="MS Mincho" w:cs="Times New Roman"/>
                <w:bCs/>
                <w:noProof/>
                <w:szCs w:val="32"/>
                <w:u w:val="single"/>
              </w:rPr>
            </w:pPr>
            <w:r>
              <w:rPr>
                <w:rFonts w:eastAsia="MS Mincho" w:cs="Times New Roman"/>
                <w:bCs/>
                <w:noProof/>
                <w:szCs w:val="32"/>
                <w:u w:val="single"/>
              </w:rPr>
              <w:t>Recommendation</w:t>
            </w:r>
            <w:r w:rsidRPr="00E334E7">
              <w:rPr>
                <w:rFonts w:eastAsia="MS Mincho" w:cs="Times New Roman"/>
                <w:bCs/>
                <w:noProof/>
                <w:szCs w:val="32"/>
              </w:rPr>
              <w:t>:</w:t>
            </w:r>
          </w:p>
          <w:p w:rsidR="00E334E7"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Use Euroclear’s ‘Free of Payment without matching’ service which will be available using ISO 15022, ISO 20022 as well as using EuroclearConnect for Screens.</w:t>
            </w:r>
          </w:p>
          <w:p w:rsidR="00E334E7" w:rsidRPr="004A5D53"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Using the appropriate fields to mention account structures of the delivering/receiving parties. By default, the L1 0 sub-account must be used if no account is mentioned by the counterparty.</w:t>
            </w:r>
          </w:p>
          <w:p w:rsidR="00E334E7"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Fill the client name in the field ‘Recipient name’</w:t>
            </w:r>
          </w:p>
          <w:p w:rsidR="00E334E7"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Fill the French bank account number in the field ‘RIB’</w:t>
            </w:r>
          </w:p>
          <w:p w:rsidR="00E334E7" w:rsidRPr="00B057D8"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Fill the date of purchase in the field ‘external comment’</w:t>
            </w:r>
          </w:p>
          <w:p w:rsidR="00E334E7" w:rsidRPr="00E334E7" w:rsidRDefault="00E334E7" w:rsidP="00E334E7">
            <w:pPr>
              <w:spacing w:before="240"/>
              <w:jc w:val="both"/>
              <w:rPr>
                <w:rFonts w:eastAsia="MS Mincho" w:cs="Times New Roman"/>
                <w:bCs/>
                <w:i/>
                <w:noProof/>
                <w:szCs w:val="32"/>
              </w:rPr>
            </w:pPr>
            <w:r w:rsidRPr="00E334E7">
              <w:rPr>
                <w:rFonts w:eastAsia="MS Mincho" w:cs="Times New Roman"/>
                <w:b/>
                <w:bCs/>
                <w:noProof/>
                <w:szCs w:val="32"/>
              </w:rPr>
              <w:t>Management of conversions –</w:t>
            </w:r>
            <w:r>
              <w:rPr>
                <w:rFonts w:eastAsia="MS Mincho" w:cs="Times New Roman"/>
                <w:bCs/>
                <w:noProof/>
                <w:szCs w:val="32"/>
              </w:rPr>
              <w:t xml:space="preserve"> </w:t>
            </w:r>
            <w:r w:rsidRPr="00E334E7">
              <w:rPr>
                <w:rFonts w:eastAsia="MS Mincho" w:cs="Times New Roman"/>
                <w:bCs/>
                <w:i/>
                <w:noProof/>
                <w:szCs w:val="32"/>
              </w:rPr>
              <w:t xml:space="preserve">Excerpt from the Market Practice Sheet </w:t>
            </w:r>
            <w:r w:rsidRPr="00E334E7">
              <w:rPr>
                <w:rFonts w:eastAsia="MS Mincho" w:cs="Times New Roman"/>
                <w:i/>
                <w:noProof/>
                <w:szCs w:val="32"/>
              </w:rPr>
              <w:t>MS-SETTL-FRANCO 03 Conversions (see page 3)</w:t>
            </w:r>
          </w:p>
          <w:p w:rsidR="00E334E7" w:rsidRDefault="00E334E7" w:rsidP="00E334E7">
            <w:pPr>
              <w:spacing w:before="120"/>
              <w:jc w:val="both"/>
              <w:rPr>
                <w:rFonts w:cs="Tahoma"/>
                <w:lang w:eastAsia="fr-FR"/>
              </w:rPr>
            </w:pPr>
            <w:r w:rsidRPr="00E334E7">
              <w:rPr>
                <w:rFonts w:cs="Tahoma"/>
                <w:u w:val="single"/>
                <w:lang w:eastAsia="fr-FR"/>
              </w:rPr>
              <w:t>Recommendation</w:t>
            </w:r>
            <w:r>
              <w:rPr>
                <w:rFonts w:cs="Tahoma"/>
                <w:lang w:eastAsia="fr-FR"/>
              </w:rPr>
              <w:t>: The procedure will rely on Euroclear France’s ‘Free of payment without matching’ service, which will be provided in ISO 15022 and ISO 20022 and will also be available on EuroclearConnect for Screens.</w:t>
            </w:r>
          </w:p>
          <w:p w:rsidR="00E334E7" w:rsidRPr="00E334E7" w:rsidRDefault="00E334E7" w:rsidP="00E334E7">
            <w:pPr>
              <w:spacing w:before="120"/>
              <w:jc w:val="both"/>
              <w:rPr>
                <w:rFonts w:cs="Tahoma"/>
                <w:lang w:eastAsia="fr-FR"/>
              </w:rPr>
            </w:pPr>
            <w:r w:rsidRPr="00E334E7">
              <w:rPr>
                <w:rFonts w:cs="Tahoma"/>
                <w:lang w:eastAsia="fr-FR"/>
              </w:rPr>
              <w:t>General principles</w:t>
            </w:r>
            <w:r>
              <w:rPr>
                <w:rFonts w:cs="Tahoma"/>
                <w:lang w:eastAsia="fr-FR"/>
              </w:rPr>
              <w:t>:</w:t>
            </w:r>
          </w:p>
          <w:p w:rsidR="00E334E7"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‘Hold’ functionality should not be used,</w:t>
            </w:r>
          </w:p>
          <w:p w:rsidR="00E334E7"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‘partial settlement’ functionality should not be used,</w:t>
            </w:r>
          </w:p>
          <w:p w:rsidR="00E334E7"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‘Transaction type’ must be ‘OWNE’, who is reserved to ‘Free of Payment Without Matching’ instructions.</w:t>
            </w:r>
          </w:p>
          <w:p w:rsidR="00E334E7" w:rsidRDefault="00E334E7" w:rsidP="00E334E7">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 xml:space="preserve">These instructions being eligible to the detection of market claims and transformations </w:t>
            </w:r>
            <w:r>
              <w:rPr>
                <w:rFonts w:eastAsia="MS Mincho" w:cs="Times New Roman"/>
                <w:noProof/>
                <w:szCs w:val="32"/>
              </w:rPr>
              <w:t>(awaiting correction of defect #27092), to avoid generating market claims, the trade date must be equal to the settlement date</w:t>
            </w:r>
            <w:r>
              <w:rPr>
                <w:rFonts w:eastAsia="MS Mincho" w:cs="Times New Roman"/>
                <w:bCs/>
                <w:noProof/>
                <w:szCs w:val="32"/>
              </w:rPr>
              <w:t>.</w:t>
            </w:r>
          </w:p>
          <w:p w:rsidR="00E334E7" w:rsidRPr="00F868A9" w:rsidRDefault="00E334E7" w:rsidP="00E334E7">
            <w:pPr>
              <w:spacing w:before="240"/>
              <w:jc w:val="both"/>
              <w:rPr>
                <w:rFonts w:eastAsia="MS Mincho" w:cs="Times New Roman"/>
                <w:bCs/>
                <w:i/>
                <w:noProof/>
                <w:szCs w:val="32"/>
              </w:rPr>
            </w:pPr>
            <w:r w:rsidRPr="00F868A9">
              <w:rPr>
                <w:rFonts w:eastAsia="MS Mincho" w:cs="Times New Roman"/>
                <w:b/>
                <w:bCs/>
                <w:noProof/>
                <w:szCs w:val="32"/>
              </w:rPr>
              <w:t>Management of instructions on registered shares</w:t>
            </w:r>
            <w:r w:rsidR="00F868A9" w:rsidRPr="00F868A9">
              <w:rPr>
                <w:rFonts w:eastAsia="MS Mincho" w:cs="Times New Roman"/>
                <w:b/>
                <w:bCs/>
                <w:noProof/>
                <w:szCs w:val="32"/>
              </w:rPr>
              <w:t xml:space="preserve"> – </w:t>
            </w:r>
            <w:r w:rsidR="00F868A9" w:rsidRPr="00F868A9">
              <w:rPr>
                <w:rFonts w:eastAsia="MS Mincho" w:cs="Times New Roman"/>
                <w:bCs/>
                <w:i/>
                <w:noProof/>
                <w:szCs w:val="32"/>
              </w:rPr>
              <w:t>Excerpt from the Market Practice Sheet</w:t>
            </w:r>
            <w:r w:rsidR="00F868A9" w:rsidRPr="00F868A9">
              <w:rPr>
                <w:i/>
              </w:rPr>
              <w:t xml:space="preserve"> </w:t>
            </w:r>
            <w:r w:rsidR="00F868A9" w:rsidRPr="00F868A9">
              <w:rPr>
                <w:rFonts w:eastAsia="MS Mincho" w:cs="Times New Roman"/>
                <w:bCs/>
                <w:i/>
                <w:noProof/>
                <w:szCs w:val="32"/>
              </w:rPr>
              <w:t>NE-NOMIN-SETTL-01 Impact of T2S on registered shares</w:t>
            </w:r>
            <w:r w:rsidR="00F868A9">
              <w:rPr>
                <w:rFonts w:eastAsia="MS Mincho" w:cs="Times New Roman"/>
                <w:bCs/>
                <w:i/>
                <w:noProof/>
                <w:szCs w:val="32"/>
              </w:rPr>
              <w:t xml:space="preserve"> (see page </w:t>
            </w:r>
          </w:p>
          <w:p w:rsidR="00E334E7" w:rsidRDefault="00F868A9" w:rsidP="00C444F4">
            <w:pPr>
              <w:spacing w:before="120"/>
              <w:jc w:val="both"/>
              <w:rPr>
                <w:rFonts w:eastAsia="MS Mincho" w:cs="Times New Roman"/>
                <w:bCs/>
                <w:noProof/>
                <w:szCs w:val="32"/>
              </w:rPr>
            </w:pPr>
            <w:r w:rsidRPr="00F868A9">
              <w:rPr>
                <w:rFonts w:eastAsia="MS Mincho" w:cs="Times New Roman"/>
                <w:bCs/>
                <w:noProof/>
                <w:szCs w:val="32"/>
                <w:u w:val="single"/>
              </w:rPr>
              <w:t>Recommendation</w:t>
            </w:r>
            <w:r>
              <w:rPr>
                <w:rFonts w:eastAsia="MS Mincho" w:cs="Times New Roman"/>
                <w:bCs/>
                <w:noProof/>
                <w:szCs w:val="32"/>
              </w:rPr>
              <w:t xml:space="preserve">: </w:t>
            </w:r>
            <w:r w:rsidRPr="00F868A9">
              <w:rPr>
                <w:rFonts w:eastAsia="MS Mincho" w:cs="Times New Roman"/>
                <w:bCs/>
                <w:noProof/>
                <w:szCs w:val="32"/>
              </w:rPr>
              <w:t>The choice between both types of settlement instructions will depend on the nature of the operation</w:t>
            </w:r>
            <w:r>
              <w:rPr>
                <w:rFonts w:eastAsia="MS Mincho" w:cs="Times New Roman"/>
                <w:bCs/>
                <w:noProof/>
                <w:szCs w:val="32"/>
              </w:rPr>
              <w:t>:</w:t>
            </w:r>
          </w:p>
          <w:p w:rsidR="00F868A9" w:rsidRPr="00F868A9" w:rsidRDefault="00F868A9" w:rsidP="006E4213">
            <w:pPr>
              <w:pStyle w:val="ListParagraph"/>
              <w:numPr>
                <w:ilvl w:val="0"/>
                <w:numId w:val="3"/>
              </w:numPr>
              <w:spacing w:before="120"/>
              <w:ind w:left="318" w:hanging="284"/>
              <w:contextualSpacing w:val="0"/>
              <w:jc w:val="both"/>
              <w:rPr>
                <w:rFonts w:eastAsia="MS Mincho" w:cs="Times New Roman"/>
                <w:bCs/>
                <w:noProof/>
                <w:szCs w:val="32"/>
              </w:rPr>
            </w:pPr>
            <w:r w:rsidRPr="00F868A9">
              <w:rPr>
                <w:rFonts w:eastAsia="MS Mincho" w:cs="Times New Roman"/>
                <w:bCs/>
                <w:noProof/>
                <w:szCs w:val="32"/>
              </w:rPr>
              <w:t xml:space="preserve">Business flows related to buy/sell operations without cash will be operated </w:t>
            </w:r>
            <w:r w:rsidRPr="00F868A9">
              <w:rPr>
                <w:rFonts w:eastAsia="MS Mincho" w:cs="Times New Roman"/>
                <w:bCs/>
                <w:noProof/>
                <w:szCs w:val="32"/>
              </w:rPr>
              <w:lastRenderedPageBreak/>
              <w:t>through DvP instructions with a 0-amount (NB: cut-off at 4pm CET). These instructions relate to operations with title transfer.</w:t>
            </w:r>
          </w:p>
          <w:p w:rsidR="00E334E7" w:rsidRDefault="00F868A9" w:rsidP="006E4213">
            <w:pPr>
              <w:pStyle w:val="ListParagraph"/>
              <w:numPr>
                <w:ilvl w:val="0"/>
                <w:numId w:val="3"/>
              </w:numPr>
              <w:spacing w:before="120"/>
              <w:ind w:left="318" w:hanging="284"/>
              <w:contextualSpacing w:val="0"/>
              <w:jc w:val="both"/>
              <w:rPr>
                <w:rFonts w:eastAsia="MS Mincho" w:cs="Times New Roman"/>
                <w:bCs/>
                <w:noProof/>
                <w:szCs w:val="32"/>
              </w:rPr>
            </w:pPr>
            <w:r w:rsidRPr="00F868A9">
              <w:rPr>
                <w:rFonts w:eastAsia="MS Mincho" w:cs="Times New Roman"/>
                <w:bCs/>
                <w:noProof/>
                <w:szCs w:val="32"/>
              </w:rPr>
              <w:t>On the contrary, all other operations currently managed through ‘unilateral’ free of payments without matching will need to be handled through Euroclear’s Free of Payment Without Matching service (‘already matched’), or to be matched (cut-off at 6pm CET), who do not result in a title transfer.</w:t>
            </w:r>
          </w:p>
          <w:p w:rsidR="006E4213" w:rsidRPr="006E4213" w:rsidRDefault="006E4213" w:rsidP="006E4213">
            <w:pPr>
              <w:spacing w:before="120"/>
              <w:jc w:val="both"/>
              <w:rPr>
                <w:rFonts w:eastAsia="MS Mincho" w:cs="Times New Roman"/>
                <w:noProof/>
                <w:szCs w:val="32"/>
              </w:rPr>
            </w:pPr>
            <w:r w:rsidRPr="006E4213">
              <w:rPr>
                <w:rFonts w:eastAsia="MS Mincho" w:cs="Times New Roman"/>
                <w:noProof/>
                <w:szCs w:val="32"/>
              </w:rPr>
              <w:t>List of CTO codes used for the instructions, depending on the type of operation: Free of Payment instructions (already matched or to be matched) can be used for the following CTOs:</w:t>
            </w:r>
          </w:p>
          <w:p w:rsidR="006E4213" w:rsidRPr="006E4213" w:rsidRDefault="006E4213" w:rsidP="006E4213">
            <w:pPr>
              <w:pStyle w:val="ListParagraph"/>
              <w:numPr>
                <w:ilvl w:val="1"/>
                <w:numId w:val="23"/>
              </w:numPr>
              <w:spacing w:before="120"/>
              <w:ind w:left="572" w:hanging="212"/>
              <w:jc w:val="both"/>
              <w:rPr>
                <w:rFonts w:eastAsia="MS Mincho" w:cs="Times New Roman"/>
                <w:noProof/>
                <w:szCs w:val="32"/>
                <w:lang w:val="fr-FR"/>
              </w:rPr>
            </w:pPr>
            <w:r w:rsidRPr="006E4213">
              <w:rPr>
                <w:rFonts w:eastAsia="MS Mincho" w:cs="Times New Roman"/>
                <w:noProof/>
                <w:szCs w:val="32"/>
                <w:lang w:val="fr-FR"/>
              </w:rPr>
              <w:t>Portfolio transfers (TO)</w:t>
            </w:r>
          </w:p>
          <w:p w:rsidR="006E4213" w:rsidRPr="006E4213" w:rsidRDefault="006E4213" w:rsidP="006E4213">
            <w:pPr>
              <w:pStyle w:val="ListParagraph"/>
              <w:numPr>
                <w:ilvl w:val="1"/>
                <w:numId w:val="23"/>
              </w:numPr>
              <w:spacing w:before="120"/>
              <w:ind w:left="572" w:hanging="212"/>
              <w:jc w:val="both"/>
              <w:rPr>
                <w:rFonts w:eastAsia="MS Mincho" w:cs="Times New Roman"/>
                <w:noProof/>
                <w:szCs w:val="32"/>
                <w:lang w:val="fr-FR"/>
              </w:rPr>
            </w:pPr>
            <w:r w:rsidRPr="006E4213">
              <w:rPr>
                <w:rFonts w:eastAsia="MS Mincho" w:cs="Times New Roman"/>
                <w:noProof/>
                <w:szCs w:val="32"/>
                <w:lang w:val="fr-FR"/>
              </w:rPr>
              <w:t>Transformations with transfers (TM)</w:t>
            </w:r>
          </w:p>
          <w:p w:rsidR="006E4213" w:rsidRPr="006E4213" w:rsidRDefault="006E4213" w:rsidP="006E4213">
            <w:pPr>
              <w:pStyle w:val="ListParagraph"/>
              <w:numPr>
                <w:ilvl w:val="1"/>
                <w:numId w:val="23"/>
              </w:numPr>
              <w:spacing w:before="120"/>
              <w:ind w:left="572" w:hanging="212"/>
              <w:jc w:val="both"/>
              <w:rPr>
                <w:rFonts w:eastAsia="MS Mincho" w:cs="Times New Roman"/>
                <w:noProof/>
                <w:szCs w:val="32"/>
                <w:lang w:val="fr-FR"/>
              </w:rPr>
            </w:pPr>
            <w:r w:rsidRPr="006E4213">
              <w:rPr>
                <w:rFonts w:eastAsia="MS Mincho" w:cs="Times New Roman"/>
                <w:noProof/>
                <w:szCs w:val="32"/>
                <w:lang w:val="fr-FR"/>
              </w:rPr>
              <w:t>Direct sale (TT)</w:t>
            </w:r>
          </w:p>
          <w:p w:rsidR="006E4213" w:rsidRPr="00B83023" w:rsidRDefault="006E4213" w:rsidP="006E4213">
            <w:pPr>
              <w:pStyle w:val="ListParagraph"/>
              <w:numPr>
                <w:ilvl w:val="1"/>
                <w:numId w:val="23"/>
              </w:numPr>
              <w:spacing w:before="120"/>
              <w:ind w:left="572" w:hanging="212"/>
              <w:jc w:val="both"/>
              <w:rPr>
                <w:rFonts w:eastAsia="MS Mincho" w:cs="Times New Roman"/>
                <w:noProof/>
                <w:szCs w:val="32"/>
              </w:rPr>
            </w:pPr>
            <w:r w:rsidRPr="00B83023">
              <w:rPr>
                <w:rFonts w:eastAsia="MS Mincho" w:cs="Times New Roman"/>
                <w:noProof/>
                <w:szCs w:val="32"/>
              </w:rPr>
              <w:t>Regularizations on buy/sell cash transactions outside of the ‘SBI’ system of Euroclear (BO)</w:t>
            </w:r>
          </w:p>
          <w:p w:rsidR="006E4213" w:rsidRPr="00B83023" w:rsidRDefault="006E4213" w:rsidP="006E4213">
            <w:pPr>
              <w:pStyle w:val="ListParagraph"/>
              <w:numPr>
                <w:ilvl w:val="1"/>
                <w:numId w:val="23"/>
              </w:numPr>
              <w:spacing w:before="120"/>
              <w:ind w:left="572" w:hanging="212"/>
              <w:jc w:val="both"/>
              <w:rPr>
                <w:rFonts w:eastAsia="MS Mincho" w:cs="Times New Roman"/>
                <w:noProof/>
                <w:szCs w:val="32"/>
              </w:rPr>
            </w:pPr>
            <w:r w:rsidRPr="00B83023">
              <w:rPr>
                <w:rFonts w:eastAsia="MS Mincho" w:cs="Times New Roman"/>
                <w:noProof/>
                <w:szCs w:val="32"/>
              </w:rPr>
              <w:t>Regularizations on buy/sell SRD transactions outside of the ‘SBI’ system of Euroclear (MO)</w:t>
            </w:r>
          </w:p>
          <w:p w:rsidR="006E4213" w:rsidRPr="00B83023" w:rsidRDefault="006E4213" w:rsidP="006E4213">
            <w:pPr>
              <w:pStyle w:val="ListParagraph"/>
              <w:numPr>
                <w:ilvl w:val="1"/>
                <w:numId w:val="23"/>
              </w:numPr>
              <w:spacing w:before="120"/>
              <w:ind w:left="572" w:hanging="212"/>
              <w:jc w:val="both"/>
              <w:rPr>
                <w:rFonts w:eastAsia="MS Mincho" w:cs="Times New Roman"/>
                <w:noProof/>
                <w:szCs w:val="32"/>
              </w:rPr>
            </w:pPr>
            <w:r w:rsidRPr="00B83023">
              <w:rPr>
                <w:rFonts w:eastAsia="MS Mincho" w:cs="Times New Roman"/>
                <w:noProof/>
                <w:szCs w:val="32"/>
              </w:rPr>
              <w:t>Buy/sell transactions settled by free of payment without cash (GO). This use case exists but is not used to date; it remains available as a back-up (when DVP is not possible).</w:t>
            </w:r>
          </w:p>
          <w:p w:rsidR="001266D4" w:rsidRPr="006E4213" w:rsidRDefault="006E4213" w:rsidP="006E4213">
            <w:pPr>
              <w:spacing w:before="240"/>
              <w:jc w:val="both"/>
              <w:rPr>
                <w:rFonts w:eastAsia="MS Mincho" w:cs="Times New Roman"/>
                <w:bCs/>
                <w:i/>
                <w:noProof/>
                <w:szCs w:val="32"/>
              </w:rPr>
            </w:pPr>
            <w:r w:rsidRPr="006E4213">
              <w:rPr>
                <w:rFonts w:eastAsia="MS Mincho" w:cs="Times New Roman"/>
                <w:b/>
                <w:bCs/>
                <w:noProof/>
                <w:szCs w:val="32"/>
              </w:rPr>
              <w:t>Management of instructions on investment funds with separate settlement of securities and cash –</w:t>
            </w:r>
            <w:r>
              <w:rPr>
                <w:rFonts w:eastAsia="MS Mincho" w:cs="Times New Roman"/>
                <w:bCs/>
                <w:noProof/>
                <w:szCs w:val="32"/>
              </w:rPr>
              <w:t xml:space="preserve"> </w:t>
            </w:r>
            <w:r w:rsidRPr="006E4213">
              <w:rPr>
                <w:rFonts w:eastAsia="MS Mincho" w:cs="Times New Roman"/>
                <w:bCs/>
                <w:i/>
                <w:noProof/>
                <w:szCs w:val="32"/>
              </w:rPr>
              <w:t>Excerpt from the Market Practice Sheet OP-SETTL-RLDISSOCIE-01 Orders with separate settlement of securities and cash (Funds)</w:t>
            </w:r>
            <w:r>
              <w:rPr>
                <w:rFonts w:eastAsia="MS Mincho" w:cs="Times New Roman"/>
                <w:bCs/>
                <w:i/>
                <w:noProof/>
                <w:szCs w:val="32"/>
              </w:rPr>
              <w:t xml:space="preserve"> (see page 1)</w:t>
            </w:r>
          </w:p>
          <w:p w:rsidR="006E4213" w:rsidRPr="006E4213" w:rsidRDefault="006E4213" w:rsidP="006E4213">
            <w:pPr>
              <w:spacing w:before="120"/>
              <w:jc w:val="both"/>
              <w:rPr>
                <w:rFonts w:eastAsia="MS Mincho" w:cs="Times New Roman"/>
                <w:bCs/>
                <w:noProof/>
                <w:szCs w:val="32"/>
              </w:rPr>
            </w:pPr>
            <w:r w:rsidRPr="006E4213">
              <w:rPr>
                <w:rFonts w:eastAsia="MS Mincho" w:cs="Times New Roman"/>
                <w:bCs/>
                <w:noProof/>
                <w:szCs w:val="32"/>
                <w:u w:val="single"/>
              </w:rPr>
              <w:t>Recommendation</w:t>
            </w:r>
            <w:r>
              <w:rPr>
                <w:rFonts w:eastAsia="MS Mincho" w:cs="Times New Roman"/>
                <w:bCs/>
                <w:noProof/>
                <w:szCs w:val="32"/>
              </w:rPr>
              <w:t xml:space="preserve">: </w:t>
            </w:r>
            <w:r w:rsidRPr="006E4213">
              <w:rPr>
                <w:rFonts w:eastAsia="MS Mincho" w:cs="Times New Roman"/>
                <w:bCs/>
                <w:noProof/>
                <w:szCs w:val="32"/>
              </w:rPr>
              <w:t>The French market wishes to implement a market practice on orders with separate settlement of securities and cash (ex: orders with cash settlement, orders on funds with pre-funding), recommending a settlement with a matched free of payment (T2S instructions DELI/RECE free).</w:t>
            </w:r>
          </w:p>
          <w:p w:rsidR="006E4213" w:rsidRPr="006E4213" w:rsidRDefault="006E4213" w:rsidP="006E4213">
            <w:pPr>
              <w:spacing w:before="120"/>
              <w:jc w:val="both"/>
              <w:rPr>
                <w:rFonts w:eastAsia="MS Mincho" w:cs="Times New Roman"/>
                <w:bCs/>
                <w:noProof/>
                <w:szCs w:val="32"/>
              </w:rPr>
            </w:pPr>
            <w:r w:rsidRPr="006E4213">
              <w:rPr>
                <w:rFonts w:eastAsia="MS Mincho" w:cs="Times New Roman"/>
                <w:bCs/>
                <w:noProof/>
                <w:szCs w:val="32"/>
              </w:rPr>
              <w:t>This type of instruction is recommended by the market as it allows to settle fund shares up to the 18:00 cuto-ff, while ensuring the prior receipt of cash, as well as a matching of the delivery of securities.</w:t>
            </w:r>
          </w:p>
          <w:p w:rsidR="006E4213" w:rsidRDefault="006E4213" w:rsidP="006E4213">
            <w:pPr>
              <w:spacing w:before="120"/>
              <w:jc w:val="both"/>
              <w:rPr>
                <w:rFonts w:eastAsia="MS Mincho" w:cs="Times New Roman"/>
                <w:bCs/>
                <w:noProof/>
                <w:szCs w:val="32"/>
              </w:rPr>
            </w:pPr>
            <w:r w:rsidRPr="006E4213">
              <w:rPr>
                <w:rFonts w:eastAsia="MS Mincho" w:cs="Times New Roman"/>
                <w:bCs/>
                <w:noProof/>
                <w:szCs w:val="32"/>
              </w:rPr>
              <w:t>This practice would allow to settle securities and cash on the same date.</w:t>
            </w:r>
          </w:p>
          <w:p w:rsidR="006E4213" w:rsidRPr="007879D1" w:rsidRDefault="006E4213" w:rsidP="00C444F4">
            <w:pPr>
              <w:spacing w:before="120"/>
              <w:jc w:val="both"/>
              <w:rPr>
                <w:rFonts w:eastAsia="MS Mincho" w:cs="Times New Roman"/>
                <w:bCs/>
                <w:noProof/>
                <w:szCs w:val="32"/>
              </w:rPr>
            </w:pPr>
          </w:p>
        </w:tc>
      </w:tr>
      <w:tr w:rsidR="0081511D" w:rsidRPr="008D0CDE" w:rsidTr="0081511D">
        <w:tc>
          <w:tcPr>
            <w:tcW w:w="2093" w:type="dxa"/>
            <w:tcBorders>
              <w:left w:val="nil"/>
              <w:right w:val="nil"/>
            </w:tcBorders>
            <w:shd w:val="clear" w:color="auto" w:fill="auto"/>
          </w:tcPr>
          <w:p w:rsidR="0081511D" w:rsidRPr="008D0CDE" w:rsidRDefault="0081511D" w:rsidP="006542ED">
            <w:pPr>
              <w:rPr>
                <w:rFonts w:eastAsia="MS Mincho" w:cs="Times New Roman"/>
                <w:b/>
                <w:noProof/>
                <w:szCs w:val="32"/>
              </w:rPr>
            </w:pPr>
          </w:p>
        </w:tc>
        <w:tc>
          <w:tcPr>
            <w:tcW w:w="7513" w:type="dxa"/>
            <w:gridSpan w:val="2"/>
            <w:tcBorders>
              <w:left w:val="nil"/>
              <w:right w:val="nil"/>
            </w:tcBorders>
            <w:shd w:val="clear" w:color="auto" w:fill="auto"/>
          </w:tcPr>
          <w:p w:rsidR="0081511D" w:rsidRPr="008D0CDE" w:rsidRDefault="0081511D" w:rsidP="006542ED">
            <w:pPr>
              <w:rPr>
                <w:rFonts w:eastAsia="MS Mincho" w:cs="Times New Roman"/>
                <w:b/>
                <w:noProof/>
                <w:szCs w:val="32"/>
              </w:rPr>
            </w:pPr>
          </w:p>
        </w:tc>
      </w:tr>
      <w:tr w:rsidR="00B3406E" w:rsidTr="0081511D">
        <w:trPr>
          <w:gridAfter w:val="1"/>
          <w:wAfter w:w="30" w:type="dxa"/>
        </w:trPr>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tcBorders>
              <w:left w:val="nil"/>
              <w:right w:val="nil"/>
            </w:tcBorders>
            <w:shd w:val="clear" w:color="auto" w:fill="FFFFFF" w:themeFill="background1"/>
          </w:tcPr>
          <w:p w:rsidR="00B3406E" w:rsidRPr="00F370B0" w:rsidRDefault="00B3406E" w:rsidP="000E651B">
            <w:pPr>
              <w:rPr>
                <w:rFonts w:eastAsia="MS Mincho" w:cs="Times New Roman"/>
                <w:b/>
                <w:noProof/>
                <w:szCs w:val="32"/>
              </w:rPr>
            </w:pPr>
          </w:p>
        </w:tc>
        <w:tc>
          <w:tcPr>
            <w:tcW w:w="7483" w:type="dxa"/>
            <w:tcBorders>
              <w:left w:val="nil"/>
              <w:bottom w:val="single" w:sz="4" w:space="0" w:color="auto"/>
              <w:right w:val="nil"/>
            </w:tcBorders>
            <w:shd w:val="clear" w:color="auto" w:fill="FFFFFF" w:themeFill="background1"/>
          </w:tcPr>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shd w:val="clear" w:color="auto" w:fill="BFBFBF" w:themeFill="background1" w:themeFillShade="BF"/>
          </w:tcPr>
          <w:p w:rsidR="00B3406E" w:rsidRPr="00F370B0" w:rsidRDefault="00B3406E" w:rsidP="000E651B">
            <w:pPr>
              <w:rPr>
                <w:rFonts w:eastAsia="MS Mincho" w:cs="Times New Roman"/>
                <w:b/>
                <w:noProof/>
                <w:szCs w:val="32"/>
              </w:rPr>
            </w:pPr>
            <w:r w:rsidRPr="00F370B0">
              <w:rPr>
                <w:rFonts w:eastAsia="MS Mincho" w:cs="Times New Roman"/>
                <w:b/>
                <w:noProof/>
                <w:szCs w:val="32"/>
              </w:rPr>
              <w:t>Workflows</w:t>
            </w:r>
          </w:p>
          <w:p w:rsidR="00B3406E" w:rsidRPr="00F370B0" w:rsidRDefault="00B3406E" w:rsidP="000E651B">
            <w:pPr>
              <w:rPr>
                <w:rFonts w:eastAsia="MS Mincho" w:cs="Times New Roman"/>
                <w:b/>
                <w:noProof/>
                <w:szCs w:val="32"/>
              </w:rPr>
            </w:pPr>
            <w:r w:rsidRPr="00F370B0">
              <w:rPr>
                <w:rFonts w:eastAsia="MS Mincho" w:cs="Times New Roman"/>
                <w:b/>
                <w:noProof/>
                <w:szCs w:val="32"/>
              </w:rPr>
              <w:lastRenderedPageBreak/>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bl>
    <w:p w:rsidR="00363E89" w:rsidRPr="00F370B0" w:rsidRDefault="00363E89" w:rsidP="001E0D83">
      <w:pPr>
        <w:spacing w:after="0" w:line="240" w:lineRule="auto"/>
        <w:rPr>
          <w:rFonts w:eastAsia="MS Mincho" w:cs="Times New Roman"/>
          <w:noProof/>
          <w:szCs w:val="32"/>
        </w:rPr>
      </w:pPr>
    </w:p>
    <w:p w:rsidR="0085743B" w:rsidRPr="00F370B0" w:rsidRDefault="0085743B">
      <w:pPr>
        <w:rPr>
          <w:rFonts w:eastAsia="MS Mincho" w:cs="Times New Roman"/>
          <w:b/>
          <w:caps/>
          <w:noProof/>
          <w:sz w:val="32"/>
          <w:szCs w:val="32"/>
        </w:rPr>
      </w:pPr>
    </w:p>
    <w:p w:rsidR="00140482" w:rsidRPr="004F6025" w:rsidRDefault="00B3406E" w:rsidP="00140482">
      <w:pPr>
        <w:pStyle w:val="ListParagraph"/>
        <w:numPr>
          <w:ilvl w:val="0"/>
          <w:numId w:val="1"/>
        </w:numPr>
        <w:spacing w:after="0" w:line="240" w:lineRule="auto"/>
        <w:ind w:left="284" w:hanging="284"/>
        <w:rPr>
          <w:rFonts w:eastAsia="MS Mincho" w:cs="Times New Roman"/>
          <w:b/>
          <w:caps/>
          <w:noProof/>
          <w:sz w:val="32"/>
          <w:szCs w:val="32"/>
          <w:lang w:val="fr-FR"/>
        </w:rPr>
      </w:pPr>
      <w:r w:rsidRPr="00F370B0">
        <w:rPr>
          <w:rFonts w:eastAsia="MS Mincho" w:cs="Times New Roman"/>
          <w:b/>
          <w:caps/>
          <w:noProof/>
          <w:sz w:val="32"/>
          <w:szCs w:val="32"/>
        </w:rPr>
        <w:t>IMPLEM</w:t>
      </w:r>
      <w:r>
        <w:rPr>
          <w:rFonts w:eastAsia="MS Mincho" w:cs="Times New Roman"/>
          <w:b/>
          <w:caps/>
          <w:noProof/>
          <w:sz w:val="32"/>
          <w:szCs w:val="32"/>
          <w:lang w:val="fr-FR"/>
        </w:rPr>
        <w:t>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B3406E" w:rsidRPr="00B3406E" w:rsidTr="000E651B">
        <w:trPr>
          <w:trHeight w:val="338"/>
        </w:trPr>
        <w:tc>
          <w:tcPr>
            <w:tcW w:w="2302" w:type="dxa"/>
            <w:vMerge w:val="restart"/>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Pr="00B3406E" w:rsidRDefault="00140482" w:rsidP="000E651B">
            <w:pPr>
              <w:rPr>
                <w:rFonts w:eastAsia="MS Mincho" w:cs="Times New Roman"/>
                <w:b/>
                <w:noProof/>
                <w:szCs w:val="32"/>
              </w:rPr>
            </w:pPr>
          </w:p>
        </w:tc>
        <w:tc>
          <w:tcPr>
            <w:tcW w:w="2438" w:type="dxa"/>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tcBorders>
              <w:bottom w:val="single" w:sz="4" w:space="0" w:color="auto"/>
            </w:tcBorders>
          </w:tcPr>
          <w:p w:rsidR="00140482" w:rsidRDefault="001F21F9"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0DA" w:rsidRDefault="007A20DA" w:rsidP="006D6846">
      <w:pPr>
        <w:spacing w:after="0" w:line="240" w:lineRule="auto"/>
      </w:pPr>
      <w:r>
        <w:separator/>
      </w:r>
    </w:p>
  </w:endnote>
  <w:endnote w:type="continuationSeparator" w:id="0">
    <w:p w:rsidR="007A20DA" w:rsidRDefault="007A20DA"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B83023">
          <w:rPr>
            <w:noProof/>
          </w:rPr>
          <w:t>1</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0DA" w:rsidRDefault="007A20DA" w:rsidP="006D6846">
      <w:pPr>
        <w:spacing w:after="0" w:line="240" w:lineRule="auto"/>
      </w:pPr>
      <w:r>
        <w:separator/>
      </w:r>
    </w:p>
  </w:footnote>
  <w:footnote w:type="continuationSeparator" w:id="0">
    <w:p w:rsidR="007A20DA" w:rsidRDefault="007A20DA"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2650CD" w:rsidRPr="005B1C9D" w:rsidRDefault="002650CD" w:rsidP="002650CD">
          <w:pPr>
            <w:pStyle w:val="Header"/>
            <w:jc w:val="center"/>
            <w:rPr>
              <w:b/>
            </w:rPr>
          </w:pPr>
          <w:r w:rsidRPr="005B1C9D">
            <w:rPr>
              <w:b/>
            </w:rPr>
            <w:t>T2S Market Practice Adaptation Workgroup</w:t>
          </w:r>
        </w:p>
        <w:p w:rsidR="00EC776F" w:rsidRPr="002650CD" w:rsidRDefault="002650CD" w:rsidP="002650CD">
          <w:pPr>
            <w:pStyle w:val="Header"/>
            <w:jc w:val="center"/>
            <w:rPr>
              <w:b/>
            </w:rPr>
          </w:pPr>
          <w:r w:rsidRPr="005B1C9D">
            <w:rPr>
              <w:b/>
            </w:rPr>
            <w:t xml:space="preserve">Market Practice </w:t>
          </w:r>
          <w:r>
            <w:rPr>
              <w:b/>
            </w:rPr>
            <w:t>Sheet</w:t>
          </w:r>
        </w:p>
      </w:tc>
      <w:tc>
        <w:tcPr>
          <w:tcW w:w="3798" w:type="dxa"/>
          <w:vAlign w:val="center"/>
        </w:tcPr>
        <w:p w:rsidR="00EC776F" w:rsidRDefault="00EC776F" w:rsidP="00EC776F">
          <w:pPr>
            <w:pStyle w:val="Header"/>
            <w:jc w:val="center"/>
            <w:rPr>
              <w:b/>
              <w:lang w:val="fr-FR"/>
            </w:rPr>
          </w:pPr>
          <w:r>
            <w:rPr>
              <w:noProof/>
            </w:rPr>
            <w:drawing>
              <wp:inline distT="0" distB="0" distL="0" distR="0" wp14:anchorId="4F8F8831" wp14:editId="5068979E">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F1144C">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54pt" o:ole="">
                <v:imagedata r:id="rId2" o:title=""/>
              </v:shape>
              <o:OLEObject Type="Embed" ProgID="PBrush" ShapeID="_x0000_i1025" DrawAspect="Content" ObjectID="_1540784183" r:id="rId3"/>
            </w:object>
          </w:r>
        </w:p>
      </w:tc>
    </w:tr>
    <w:tr w:rsidR="00EC776F" w:rsidRPr="00776CD9" w:rsidTr="00EC776F">
      <w:tc>
        <w:tcPr>
          <w:tcW w:w="5778" w:type="dxa"/>
          <w:vAlign w:val="center"/>
        </w:tcPr>
        <w:p w:rsidR="00EC776F" w:rsidRPr="001B5915" w:rsidRDefault="00B3406E" w:rsidP="00C444F4">
          <w:pPr>
            <w:pStyle w:val="Header"/>
            <w:rPr>
              <w:i/>
            </w:rPr>
          </w:pPr>
          <w:r>
            <w:rPr>
              <w:i/>
            </w:rPr>
            <w:t>Practice</w:t>
          </w:r>
          <w:r w:rsidRPr="0033411F">
            <w:rPr>
              <w:i/>
            </w:rPr>
            <w:t xml:space="preserve"> reference</w:t>
          </w:r>
          <w:r w:rsidR="00EC776F" w:rsidRPr="00B3406E">
            <w:rPr>
              <w:i/>
            </w:rPr>
            <w:t xml:space="preserve">: </w:t>
          </w:r>
          <w:r w:rsidR="00887FFA" w:rsidRPr="00887FFA">
            <w:rPr>
              <w:i/>
            </w:rPr>
            <w:t>MS-SETTL-FRANCO-0</w:t>
          </w:r>
          <w:r w:rsidR="00C444F4">
            <w:rPr>
              <w:i/>
            </w:rPr>
            <w:t>4</w:t>
          </w:r>
        </w:p>
      </w:tc>
      <w:tc>
        <w:tcPr>
          <w:tcW w:w="3798" w:type="dxa"/>
          <w:vAlign w:val="center"/>
        </w:tcPr>
        <w:p w:rsidR="00EC776F" w:rsidRPr="00B3406E" w:rsidRDefault="00EC776F" w:rsidP="00EC776F">
          <w:pPr>
            <w:pStyle w:val="Header"/>
            <w:jc w:val="center"/>
            <w:rPr>
              <w:noProof/>
            </w:rPr>
          </w:pPr>
        </w:p>
      </w:tc>
    </w:tr>
  </w:tbl>
  <w:p w:rsidR="00EC776F" w:rsidRPr="00B3406E" w:rsidRDefault="00EC776F">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2F0CF4"/>
    <w:multiLevelType w:val="hybridMultilevel"/>
    <w:tmpl w:val="8AF4518A"/>
    <w:lvl w:ilvl="0" w:tplc="4DB0C7A4">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FF73F6"/>
    <w:multiLevelType w:val="hybridMultilevel"/>
    <w:tmpl w:val="3210E624"/>
    <w:lvl w:ilvl="0" w:tplc="F6FE39A0">
      <w:start w:val="2"/>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EE0E17"/>
    <w:multiLevelType w:val="hybridMultilevel"/>
    <w:tmpl w:val="31BEA8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323478"/>
    <w:multiLevelType w:val="hybridMultilevel"/>
    <w:tmpl w:val="73E6B728"/>
    <w:lvl w:ilvl="0" w:tplc="F6FE39A0">
      <w:start w:val="4"/>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F75D84"/>
    <w:multiLevelType w:val="hybridMultilevel"/>
    <w:tmpl w:val="E21AB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76C4B79"/>
    <w:multiLevelType w:val="hybridMultilevel"/>
    <w:tmpl w:val="47724D74"/>
    <w:lvl w:ilvl="0" w:tplc="F6FE39A0">
      <w:start w:val="9"/>
      <w:numFmt w:val="bullet"/>
      <w:lvlText w:val="-"/>
      <w:lvlJc w:val="left"/>
      <w:pPr>
        <w:ind w:left="720" w:hanging="360"/>
      </w:pPr>
      <w:rPr>
        <w:rFonts w:ascii="Calibri" w:eastAsia="MS Mincho"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AE76DE"/>
    <w:multiLevelType w:val="hybridMultilevel"/>
    <w:tmpl w:val="C15C7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681B61"/>
    <w:multiLevelType w:val="hybridMultilevel"/>
    <w:tmpl w:val="00D418F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A178A8"/>
    <w:multiLevelType w:val="hybridMultilevel"/>
    <w:tmpl w:val="1A7A2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ED2FEF"/>
    <w:multiLevelType w:val="hybridMultilevel"/>
    <w:tmpl w:val="19A66FFE"/>
    <w:lvl w:ilvl="0" w:tplc="F6FE39A0">
      <w:start w:val="9"/>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C22D62"/>
    <w:multiLevelType w:val="hybridMultilevel"/>
    <w:tmpl w:val="A57AE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786FCF"/>
    <w:multiLevelType w:val="hybridMultilevel"/>
    <w:tmpl w:val="5F9A174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EA276D"/>
    <w:multiLevelType w:val="hybridMultilevel"/>
    <w:tmpl w:val="2A869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8479E7"/>
    <w:multiLevelType w:val="hybridMultilevel"/>
    <w:tmpl w:val="0BDE89BE"/>
    <w:lvl w:ilvl="0" w:tplc="DA6629F6">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21"/>
  </w:num>
  <w:num w:numId="4">
    <w:abstractNumId w:val="19"/>
  </w:num>
  <w:num w:numId="5">
    <w:abstractNumId w:val="1"/>
  </w:num>
  <w:num w:numId="6">
    <w:abstractNumId w:val="0"/>
  </w:num>
  <w:num w:numId="7">
    <w:abstractNumId w:val="4"/>
  </w:num>
  <w:num w:numId="8">
    <w:abstractNumId w:val="2"/>
  </w:num>
  <w:num w:numId="9">
    <w:abstractNumId w:val="5"/>
  </w:num>
  <w:num w:numId="10">
    <w:abstractNumId w:val="11"/>
  </w:num>
  <w:num w:numId="11">
    <w:abstractNumId w:val="16"/>
  </w:num>
  <w:num w:numId="12">
    <w:abstractNumId w:val="15"/>
  </w:num>
  <w:num w:numId="13">
    <w:abstractNumId w:val="17"/>
  </w:num>
  <w:num w:numId="14">
    <w:abstractNumId w:val="18"/>
  </w:num>
  <w:num w:numId="15">
    <w:abstractNumId w:val="7"/>
  </w:num>
  <w:num w:numId="16">
    <w:abstractNumId w:val="3"/>
  </w:num>
  <w:num w:numId="17">
    <w:abstractNumId w:val="10"/>
  </w:num>
  <w:num w:numId="18">
    <w:abstractNumId w:val="20"/>
  </w:num>
  <w:num w:numId="19">
    <w:abstractNumId w:val="6"/>
  </w:num>
  <w:num w:numId="20">
    <w:abstractNumId w:val="13"/>
  </w:num>
  <w:num w:numId="21">
    <w:abstractNumId w:val="8"/>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33FBF"/>
    <w:rsid w:val="000706A3"/>
    <w:rsid w:val="00097CB0"/>
    <w:rsid w:val="000A0704"/>
    <w:rsid w:val="000A6C94"/>
    <w:rsid w:val="000B1F19"/>
    <w:rsid w:val="000C1C9B"/>
    <w:rsid w:val="000D6F4D"/>
    <w:rsid w:val="000F3C24"/>
    <w:rsid w:val="00113071"/>
    <w:rsid w:val="001266D4"/>
    <w:rsid w:val="00140482"/>
    <w:rsid w:val="00145ADA"/>
    <w:rsid w:val="001522A5"/>
    <w:rsid w:val="00162BBA"/>
    <w:rsid w:val="00183F7A"/>
    <w:rsid w:val="001A26CA"/>
    <w:rsid w:val="001B0416"/>
    <w:rsid w:val="001B1E38"/>
    <w:rsid w:val="001B5915"/>
    <w:rsid w:val="001C4C4C"/>
    <w:rsid w:val="001C7BAF"/>
    <w:rsid w:val="001D7830"/>
    <w:rsid w:val="001E0D83"/>
    <w:rsid w:val="001F21F9"/>
    <w:rsid w:val="00211814"/>
    <w:rsid w:val="00217510"/>
    <w:rsid w:val="002650CD"/>
    <w:rsid w:val="00280082"/>
    <w:rsid w:val="00283DDE"/>
    <w:rsid w:val="0028538B"/>
    <w:rsid w:val="00291B60"/>
    <w:rsid w:val="002E3B75"/>
    <w:rsid w:val="00343829"/>
    <w:rsid w:val="00343B9E"/>
    <w:rsid w:val="00343E9C"/>
    <w:rsid w:val="003631EA"/>
    <w:rsid w:val="00363E89"/>
    <w:rsid w:val="00367A12"/>
    <w:rsid w:val="003929BA"/>
    <w:rsid w:val="003A4E76"/>
    <w:rsid w:val="003B3DA4"/>
    <w:rsid w:val="003C14DA"/>
    <w:rsid w:val="003D246C"/>
    <w:rsid w:val="003D5E9F"/>
    <w:rsid w:val="003D7060"/>
    <w:rsid w:val="003F58F9"/>
    <w:rsid w:val="00443E07"/>
    <w:rsid w:val="004521D0"/>
    <w:rsid w:val="004522E6"/>
    <w:rsid w:val="00464015"/>
    <w:rsid w:val="004818D8"/>
    <w:rsid w:val="00482296"/>
    <w:rsid w:val="004C6FD4"/>
    <w:rsid w:val="004D78AA"/>
    <w:rsid w:val="004F6025"/>
    <w:rsid w:val="004F751F"/>
    <w:rsid w:val="005010F8"/>
    <w:rsid w:val="005061BA"/>
    <w:rsid w:val="0051485E"/>
    <w:rsid w:val="00567B1D"/>
    <w:rsid w:val="00575F36"/>
    <w:rsid w:val="005B7B22"/>
    <w:rsid w:val="005C2ACA"/>
    <w:rsid w:val="005D47D4"/>
    <w:rsid w:val="005E593C"/>
    <w:rsid w:val="00622E8A"/>
    <w:rsid w:val="00625541"/>
    <w:rsid w:val="00652C13"/>
    <w:rsid w:val="00694503"/>
    <w:rsid w:val="0069580E"/>
    <w:rsid w:val="006D6846"/>
    <w:rsid w:val="006E4213"/>
    <w:rsid w:val="00701AE2"/>
    <w:rsid w:val="00714CE6"/>
    <w:rsid w:val="00727BF7"/>
    <w:rsid w:val="0074709E"/>
    <w:rsid w:val="00756030"/>
    <w:rsid w:val="00765664"/>
    <w:rsid w:val="00776CD9"/>
    <w:rsid w:val="007879D1"/>
    <w:rsid w:val="007A20DA"/>
    <w:rsid w:val="007B4D1C"/>
    <w:rsid w:val="007B7B10"/>
    <w:rsid w:val="007C7303"/>
    <w:rsid w:val="007E66DA"/>
    <w:rsid w:val="007F06A7"/>
    <w:rsid w:val="007F6CFC"/>
    <w:rsid w:val="00802269"/>
    <w:rsid w:val="0080446B"/>
    <w:rsid w:val="0081511D"/>
    <w:rsid w:val="008214BC"/>
    <w:rsid w:val="00830B7B"/>
    <w:rsid w:val="00837334"/>
    <w:rsid w:val="00841E84"/>
    <w:rsid w:val="0085743B"/>
    <w:rsid w:val="0086669A"/>
    <w:rsid w:val="008800A4"/>
    <w:rsid w:val="00887FFA"/>
    <w:rsid w:val="00893912"/>
    <w:rsid w:val="008A30A6"/>
    <w:rsid w:val="008B1A1E"/>
    <w:rsid w:val="008C734C"/>
    <w:rsid w:val="008D0CDE"/>
    <w:rsid w:val="009021B9"/>
    <w:rsid w:val="0091257E"/>
    <w:rsid w:val="0092276F"/>
    <w:rsid w:val="00922A8E"/>
    <w:rsid w:val="00922B9C"/>
    <w:rsid w:val="00926B03"/>
    <w:rsid w:val="009310D4"/>
    <w:rsid w:val="00933237"/>
    <w:rsid w:val="009606C4"/>
    <w:rsid w:val="00971207"/>
    <w:rsid w:val="00982218"/>
    <w:rsid w:val="00995F65"/>
    <w:rsid w:val="009978DE"/>
    <w:rsid w:val="009A0B1C"/>
    <w:rsid w:val="009A24A6"/>
    <w:rsid w:val="009A2F1A"/>
    <w:rsid w:val="009A64D1"/>
    <w:rsid w:val="00A03851"/>
    <w:rsid w:val="00A133A7"/>
    <w:rsid w:val="00A20577"/>
    <w:rsid w:val="00A21489"/>
    <w:rsid w:val="00A35AA8"/>
    <w:rsid w:val="00A40ED4"/>
    <w:rsid w:val="00A45A45"/>
    <w:rsid w:val="00A678C0"/>
    <w:rsid w:val="00A746A0"/>
    <w:rsid w:val="00A90EEC"/>
    <w:rsid w:val="00A96A5D"/>
    <w:rsid w:val="00AA1FDB"/>
    <w:rsid w:val="00AA4C70"/>
    <w:rsid w:val="00AA62D7"/>
    <w:rsid w:val="00AB7D90"/>
    <w:rsid w:val="00AC134F"/>
    <w:rsid w:val="00AD57D4"/>
    <w:rsid w:val="00AE20EB"/>
    <w:rsid w:val="00B067D0"/>
    <w:rsid w:val="00B26098"/>
    <w:rsid w:val="00B31057"/>
    <w:rsid w:val="00B3406E"/>
    <w:rsid w:val="00B40E65"/>
    <w:rsid w:val="00B44E11"/>
    <w:rsid w:val="00B457D4"/>
    <w:rsid w:val="00B540C8"/>
    <w:rsid w:val="00B62B1E"/>
    <w:rsid w:val="00B727D8"/>
    <w:rsid w:val="00B83023"/>
    <w:rsid w:val="00B9491F"/>
    <w:rsid w:val="00BA66D3"/>
    <w:rsid w:val="00BA6B0A"/>
    <w:rsid w:val="00BB283B"/>
    <w:rsid w:val="00BC7577"/>
    <w:rsid w:val="00BE4C60"/>
    <w:rsid w:val="00C070B0"/>
    <w:rsid w:val="00C1000A"/>
    <w:rsid w:val="00C12FF7"/>
    <w:rsid w:val="00C221EA"/>
    <w:rsid w:val="00C33595"/>
    <w:rsid w:val="00C3423B"/>
    <w:rsid w:val="00C43D15"/>
    <w:rsid w:val="00C444F4"/>
    <w:rsid w:val="00C57689"/>
    <w:rsid w:val="00C60EC8"/>
    <w:rsid w:val="00C65EB2"/>
    <w:rsid w:val="00C77C0A"/>
    <w:rsid w:val="00CB0F41"/>
    <w:rsid w:val="00CB5DDB"/>
    <w:rsid w:val="00CC7462"/>
    <w:rsid w:val="00CE6DA3"/>
    <w:rsid w:val="00CF605A"/>
    <w:rsid w:val="00D103DA"/>
    <w:rsid w:val="00D12DE8"/>
    <w:rsid w:val="00D252A7"/>
    <w:rsid w:val="00D50DB6"/>
    <w:rsid w:val="00D529B3"/>
    <w:rsid w:val="00D53037"/>
    <w:rsid w:val="00D5515F"/>
    <w:rsid w:val="00D66DD4"/>
    <w:rsid w:val="00D91E87"/>
    <w:rsid w:val="00DB106F"/>
    <w:rsid w:val="00DD071C"/>
    <w:rsid w:val="00E334E7"/>
    <w:rsid w:val="00E351C1"/>
    <w:rsid w:val="00E35B86"/>
    <w:rsid w:val="00E438E3"/>
    <w:rsid w:val="00E52109"/>
    <w:rsid w:val="00E62EAE"/>
    <w:rsid w:val="00EA5560"/>
    <w:rsid w:val="00EB44AB"/>
    <w:rsid w:val="00EC776F"/>
    <w:rsid w:val="00F00BF4"/>
    <w:rsid w:val="00F1144C"/>
    <w:rsid w:val="00F138F4"/>
    <w:rsid w:val="00F358FF"/>
    <w:rsid w:val="00F35CCA"/>
    <w:rsid w:val="00F370B0"/>
    <w:rsid w:val="00F84B2D"/>
    <w:rsid w:val="00F868A9"/>
    <w:rsid w:val="00F904C9"/>
    <w:rsid w:val="00FC06B7"/>
    <w:rsid w:val="00FC4F18"/>
    <w:rsid w:val="00FE1975"/>
    <w:rsid w:val="00FF1C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1234</TotalTime>
  <Pages>5</Pages>
  <Words>1047</Words>
  <Characters>5973</Characters>
  <Application>Microsoft Office Word</Application>
  <DocSecurity>0</DocSecurity>
  <Lines>49</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7006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51</cp:revision>
  <cp:lastPrinted>2015-10-09T10:36:00Z</cp:lastPrinted>
  <dcterms:created xsi:type="dcterms:W3CDTF">2016-01-07T06:52:00Z</dcterms:created>
  <dcterms:modified xsi:type="dcterms:W3CDTF">2016-11-16T05:50:00Z</dcterms:modified>
</cp:coreProperties>
</file>