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664" w:rsidRDefault="00765664" w:rsidP="006D6846">
      <w:pPr>
        <w:tabs>
          <w:tab w:val="left" w:pos="9356"/>
        </w:tabs>
        <w:ind w:right="-279"/>
        <w:jc w:val="center"/>
        <w:rPr>
          <w:sz w:val="36"/>
          <w:lang w:val="fr-FR"/>
        </w:rPr>
      </w:pPr>
    </w:p>
    <w:p w:rsidR="00575F36" w:rsidRPr="00B3406E" w:rsidRDefault="00870555" w:rsidP="00AA1FDB">
      <w:pPr>
        <w:pBdr>
          <w:top w:val="single" w:sz="4" w:space="0" w:color="auto"/>
          <w:left w:val="single" w:sz="4" w:space="4" w:color="auto"/>
          <w:bottom w:val="single" w:sz="4" w:space="1" w:color="auto"/>
          <w:right w:val="single" w:sz="4" w:space="4" w:color="auto"/>
        </w:pBdr>
        <w:shd w:val="pct12" w:color="000000" w:fill="FFFFFF"/>
        <w:jc w:val="center"/>
        <w:rPr>
          <w:b/>
          <w:noProof/>
          <w:sz w:val="36"/>
        </w:rPr>
      </w:pPr>
      <w:r>
        <w:rPr>
          <w:b/>
          <w:noProof/>
          <w:sz w:val="36"/>
        </w:rPr>
        <w:t>Transformations in mandatory reorganizations</w:t>
      </w:r>
    </w:p>
    <w:p w:rsidR="001B1E38" w:rsidRPr="00B3406E" w:rsidRDefault="001B1E38" w:rsidP="006D6846">
      <w:pPr>
        <w:tabs>
          <w:tab w:val="left" w:pos="9356"/>
        </w:tabs>
        <w:ind w:right="-279"/>
      </w:pPr>
    </w:p>
    <w:tbl>
      <w:tblPr>
        <w:tblStyle w:val="TableGrid"/>
        <w:tblW w:w="0" w:type="auto"/>
        <w:tblLook w:val="04A0" w:firstRow="1" w:lastRow="0" w:firstColumn="1" w:lastColumn="0" w:noHBand="0" w:noVBand="1"/>
      </w:tblPr>
      <w:tblGrid>
        <w:gridCol w:w="2093"/>
        <w:gridCol w:w="2551"/>
        <w:gridCol w:w="4932"/>
      </w:tblGrid>
      <w:tr w:rsidR="004F6025" w:rsidTr="0091257E">
        <w:tc>
          <w:tcPr>
            <w:tcW w:w="2093" w:type="dxa"/>
            <w:vMerge w:val="restart"/>
            <w:shd w:val="clear" w:color="auto" w:fill="BFBFBF" w:themeFill="background1" w:themeFillShade="BF"/>
          </w:tcPr>
          <w:p w:rsidR="004F6025" w:rsidRPr="004F6025" w:rsidRDefault="004F6025" w:rsidP="006D6846">
            <w:pPr>
              <w:tabs>
                <w:tab w:val="left" w:pos="9356"/>
              </w:tabs>
              <w:ind w:right="-279"/>
              <w:rPr>
                <w:b/>
                <w:lang w:val="fr-FR"/>
              </w:rPr>
            </w:pPr>
            <w:proofErr w:type="spellStart"/>
            <w:r w:rsidRPr="004F6025">
              <w:rPr>
                <w:b/>
                <w:lang w:val="fr-FR"/>
              </w:rPr>
              <w:t>Versioning</w:t>
            </w:r>
            <w:proofErr w:type="spellEnd"/>
          </w:p>
        </w:tc>
        <w:tc>
          <w:tcPr>
            <w:tcW w:w="2551" w:type="dxa"/>
            <w:shd w:val="clear" w:color="auto" w:fill="F2F2F2" w:themeFill="background1" w:themeFillShade="F2"/>
          </w:tcPr>
          <w:p w:rsidR="004F6025" w:rsidRDefault="004F6025" w:rsidP="006D6846">
            <w:pPr>
              <w:tabs>
                <w:tab w:val="left" w:pos="9356"/>
              </w:tabs>
              <w:ind w:right="-279"/>
              <w:rPr>
                <w:lang w:val="fr-FR"/>
              </w:rPr>
            </w:pPr>
            <w:r>
              <w:rPr>
                <w:lang w:val="fr-FR"/>
              </w:rPr>
              <w:t>Version</w:t>
            </w:r>
          </w:p>
        </w:tc>
        <w:tc>
          <w:tcPr>
            <w:tcW w:w="4932" w:type="dxa"/>
          </w:tcPr>
          <w:p w:rsidR="004F6025" w:rsidRDefault="00870555" w:rsidP="00776CD9">
            <w:pPr>
              <w:tabs>
                <w:tab w:val="left" w:pos="9356"/>
              </w:tabs>
              <w:ind w:right="-279"/>
              <w:rPr>
                <w:lang w:val="fr-FR"/>
              </w:rPr>
            </w:pPr>
            <w:r>
              <w:rPr>
                <w:lang w:val="fr-FR"/>
              </w:rPr>
              <w:t>1</w:t>
            </w:r>
            <w:r w:rsidR="00140482">
              <w:rPr>
                <w:lang w:val="fr-FR"/>
              </w:rPr>
              <w:t>.</w:t>
            </w:r>
            <w:r w:rsidR="00776CD9">
              <w:rPr>
                <w:lang w:val="fr-FR"/>
              </w:rPr>
              <w:t>0</w:t>
            </w:r>
          </w:p>
        </w:tc>
      </w:tr>
      <w:tr w:rsidR="00B3406E" w:rsidRPr="00AA1FDB" w:rsidTr="0091257E">
        <w:tc>
          <w:tcPr>
            <w:tcW w:w="2093" w:type="dxa"/>
            <w:vMerge/>
            <w:shd w:val="clear" w:color="auto" w:fill="BFBFBF" w:themeFill="background1" w:themeFillShade="BF"/>
          </w:tcPr>
          <w:p w:rsidR="00B3406E" w:rsidRPr="004F6025" w:rsidRDefault="00B3406E" w:rsidP="006D6846">
            <w:pPr>
              <w:tabs>
                <w:tab w:val="left" w:pos="9356"/>
              </w:tabs>
              <w:ind w:right="-279"/>
              <w:rPr>
                <w:b/>
                <w:lang w:val="fr-FR"/>
              </w:rPr>
            </w:pPr>
          </w:p>
        </w:tc>
        <w:tc>
          <w:tcPr>
            <w:tcW w:w="2551" w:type="dxa"/>
            <w:shd w:val="clear" w:color="auto" w:fill="F2F2F2" w:themeFill="background1" w:themeFillShade="F2"/>
          </w:tcPr>
          <w:p w:rsidR="00B3406E" w:rsidRDefault="00B3406E" w:rsidP="00A0160C">
            <w:pPr>
              <w:tabs>
                <w:tab w:val="left" w:pos="9356"/>
              </w:tabs>
              <w:ind w:right="-279"/>
              <w:rPr>
                <w:lang w:val="fr-FR"/>
              </w:rPr>
            </w:pPr>
            <w:r>
              <w:rPr>
                <w:lang w:val="fr-FR"/>
              </w:rPr>
              <w:t>Publication date</w:t>
            </w:r>
          </w:p>
        </w:tc>
        <w:tc>
          <w:tcPr>
            <w:tcW w:w="4932" w:type="dxa"/>
          </w:tcPr>
          <w:p w:rsidR="00B3406E" w:rsidRDefault="00870555" w:rsidP="00756030">
            <w:pPr>
              <w:tabs>
                <w:tab w:val="left" w:pos="9356"/>
              </w:tabs>
              <w:ind w:right="-279"/>
              <w:rPr>
                <w:lang w:val="fr-FR"/>
              </w:rPr>
            </w:pPr>
            <w:proofErr w:type="spellStart"/>
            <w:r>
              <w:rPr>
                <w:lang w:val="fr-FR"/>
              </w:rPr>
              <w:t>September</w:t>
            </w:r>
            <w:proofErr w:type="spellEnd"/>
            <w:r>
              <w:rPr>
                <w:lang w:val="fr-FR"/>
              </w:rPr>
              <w:t xml:space="preserve"> 7th</w:t>
            </w:r>
            <w:r w:rsidR="00B3406E">
              <w:rPr>
                <w:lang w:val="fr-FR"/>
              </w:rPr>
              <w:t>, 2016</w:t>
            </w:r>
          </w:p>
        </w:tc>
      </w:tr>
    </w:tbl>
    <w:p w:rsidR="00B26098" w:rsidRDefault="00B26098" w:rsidP="00B26098">
      <w:pPr>
        <w:spacing w:after="0" w:line="240" w:lineRule="auto"/>
        <w:rPr>
          <w:rFonts w:eastAsia="MS Mincho" w:cs="Times New Roman"/>
          <w:noProof/>
          <w:szCs w:val="32"/>
          <w:lang w:val="fr-FR"/>
        </w:rPr>
      </w:pPr>
    </w:p>
    <w:p w:rsidR="00EC776F" w:rsidRDefault="00EC776F" w:rsidP="00B26098">
      <w:pPr>
        <w:spacing w:after="0" w:line="240" w:lineRule="auto"/>
        <w:rPr>
          <w:rFonts w:eastAsia="MS Mincho" w:cs="Times New Roman"/>
          <w:noProof/>
          <w:szCs w:val="32"/>
          <w:lang w:val="fr-FR"/>
        </w:rPr>
      </w:pPr>
    </w:p>
    <w:p w:rsidR="00B3406E" w:rsidRPr="000C4CA6" w:rsidRDefault="00B3406E" w:rsidP="00B3406E">
      <w:pPr>
        <w:pStyle w:val="ListParagraph"/>
        <w:numPr>
          <w:ilvl w:val="0"/>
          <w:numId w:val="1"/>
        </w:numPr>
        <w:spacing w:after="0" w:line="240" w:lineRule="auto"/>
        <w:ind w:left="284" w:hanging="284"/>
        <w:rPr>
          <w:rFonts w:eastAsia="MS Mincho" w:cs="Times New Roman"/>
          <w:b/>
          <w:caps/>
          <w:noProof/>
          <w:sz w:val="32"/>
          <w:szCs w:val="32"/>
        </w:rPr>
      </w:pPr>
      <w:r w:rsidRPr="003348A6">
        <w:rPr>
          <w:rFonts w:eastAsia="MS Mincho" w:cs="Times New Roman"/>
          <w:b/>
          <w:caps/>
          <w:noProof/>
          <w:sz w:val="32"/>
          <w:szCs w:val="32"/>
        </w:rPr>
        <w:t>Description of the existing practice &amp; of the Impacts</w:t>
      </w:r>
    </w:p>
    <w:p w:rsidR="0081511D" w:rsidRPr="00B3406E" w:rsidRDefault="0081511D" w:rsidP="00B26098">
      <w:pPr>
        <w:spacing w:after="0" w:line="240" w:lineRule="auto"/>
        <w:rPr>
          <w:rFonts w:eastAsia="MS Mincho" w:cs="Times New Roman"/>
          <w:noProof/>
          <w:szCs w:val="32"/>
        </w:rPr>
      </w:pPr>
    </w:p>
    <w:tbl>
      <w:tblPr>
        <w:tblStyle w:val="TableGrid"/>
        <w:tblW w:w="9606" w:type="dxa"/>
        <w:tblLayout w:type="fixed"/>
        <w:tblLook w:val="04A0" w:firstRow="1" w:lastRow="0" w:firstColumn="1" w:lastColumn="0" w:noHBand="0" w:noVBand="1"/>
      </w:tblPr>
      <w:tblGrid>
        <w:gridCol w:w="2093"/>
        <w:gridCol w:w="7513"/>
      </w:tblGrid>
      <w:tr w:rsidR="00B3406E" w:rsidRPr="007B4D1C" w:rsidTr="0091257E">
        <w:tc>
          <w:tcPr>
            <w:tcW w:w="2093" w:type="dxa"/>
            <w:tcBorders>
              <w:bottom w:val="single" w:sz="4" w:space="0" w:color="auto"/>
            </w:tcBorders>
            <w:shd w:val="clear" w:color="auto" w:fill="BFBFBF" w:themeFill="background1" w:themeFillShade="BF"/>
          </w:tcPr>
          <w:p w:rsidR="00B3406E" w:rsidRPr="000C4CA6" w:rsidRDefault="00B3406E" w:rsidP="00A0160C">
            <w:pPr>
              <w:rPr>
                <w:rFonts w:eastAsia="MS Mincho" w:cs="Times New Roman"/>
                <w:b/>
                <w:noProof/>
                <w:szCs w:val="32"/>
              </w:rPr>
            </w:pPr>
            <w:r w:rsidRPr="005B1C9D">
              <w:rPr>
                <w:rFonts w:eastAsia="MS Mincho" w:cs="Times New Roman"/>
                <w:b/>
                <w:noProof/>
                <w:szCs w:val="32"/>
              </w:rPr>
              <w:t>Description of the existing practice</w:t>
            </w:r>
          </w:p>
        </w:tc>
        <w:tc>
          <w:tcPr>
            <w:tcW w:w="7513" w:type="dxa"/>
            <w:tcBorders>
              <w:bottom w:val="single" w:sz="4" w:space="0" w:color="auto"/>
            </w:tcBorders>
          </w:tcPr>
          <w:p w:rsidR="00FF1C23" w:rsidRDefault="00870555" w:rsidP="00870555">
            <w:pPr>
              <w:spacing w:before="120"/>
              <w:jc w:val="both"/>
              <w:rPr>
                <w:rFonts w:eastAsia="MS Mincho" w:cs="Times New Roman"/>
                <w:noProof/>
                <w:szCs w:val="32"/>
              </w:rPr>
            </w:pPr>
            <w:r>
              <w:rPr>
                <w:rFonts w:eastAsia="MS Mincho" w:cs="Times New Roman"/>
                <w:noProof/>
                <w:szCs w:val="32"/>
              </w:rPr>
              <w:t xml:space="preserve">Today in </w:t>
            </w:r>
            <w:r w:rsidR="00936535">
              <w:rPr>
                <w:rFonts w:eastAsia="MS Mincho" w:cs="Times New Roman"/>
                <w:noProof/>
                <w:szCs w:val="32"/>
              </w:rPr>
              <w:t xml:space="preserve">the </w:t>
            </w:r>
            <w:r>
              <w:rPr>
                <w:rFonts w:eastAsia="MS Mincho" w:cs="Times New Roman"/>
                <w:noProof/>
                <w:szCs w:val="32"/>
              </w:rPr>
              <w:t xml:space="preserve">ESES </w:t>
            </w:r>
            <w:r w:rsidR="00936535">
              <w:rPr>
                <w:rFonts w:eastAsia="MS Mincho" w:cs="Times New Roman"/>
                <w:noProof/>
                <w:szCs w:val="32"/>
              </w:rPr>
              <w:t>platform</w:t>
            </w:r>
            <w:r>
              <w:rPr>
                <w:rFonts w:eastAsia="MS Mincho" w:cs="Times New Roman"/>
                <w:noProof/>
                <w:szCs w:val="32"/>
              </w:rPr>
              <w:t>, the transformation process is applied to the account of participants for corporate actions consisting in mandatory reorganizations</w:t>
            </w:r>
            <w:r w:rsidR="00971207">
              <w:rPr>
                <w:rFonts w:eastAsia="MS Mincho" w:cs="Times New Roman"/>
                <w:noProof/>
                <w:szCs w:val="32"/>
              </w:rPr>
              <w:t>.</w:t>
            </w:r>
          </w:p>
          <w:p w:rsidR="00870555" w:rsidRPr="00971207" w:rsidRDefault="00870555" w:rsidP="00870555">
            <w:pPr>
              <w:spacing w:before="120"/>
              <w:jc w:val="both"/>
              <w:rPr>
                <w:rFonts w:eastAsia="MS Mincho" w:cs="Times New Roman"/>
                <w:noProof/>
                <w:szCs w:val="32"/>
              </w:rPr>
            </w:pPr>
            <w:r>
              <w:rPr>
                <w:rFonts w:eastAsia="MS Mincho" w:cs="Times New Roman"/>
                <w:noProof/>
                <w:szCs w:val="32"/>
              </w:rPr>
              <w:t>A transformation is defined as a process whereby a settlement instruction in a matched status, not settled as of the end of the day of the record date is cancelled and replaced automatically by Euroclear by one or more instructions according to the terms of the reorganization.</w:t>
            </w:r>
          </w:p>
        </w:tc>
      </w:tr>
      <w:tr w:rsidR="00B3406E" w:rsidRPr="007B4D1C" w:rsidTr="0091257E">
        <w:tc>
          <w:tcPr>
            <w:tcW w:w="2093" w:type="dxa"/>
            <w:tcBorders>
              <w:left w:val="nil"/>
              <w:right w:val="nil"/>
            </w:tcBorders>
          </w:tcPr>
          <w:p w:rsidR="00B3406E" w:rsidRPr="007B4D1C" w:rsidRDefault="00B3406E" w:rsidP="00A0160C">
            <w:pPr>
              <w:rPr>
                <w:rFonts w:eastAsia="MS Mincho" w:cs="Times New Roman"/>
                <w:b/>
                <w:noProof/>
                <w:szCs w:val="32"/>
              </w:rPr>
            </w:pPr>
          </w:p>
        </w:tc>
        <w:tc>
          <w:tcPr>
            <w:tcW w:w="7513" w:type="dxa"/>
            <w:tcBorders>
              <w:left w:val="nil"/>
              <w:right w:val="nil"/>
            </w:tcBorders>
          </w:tcPr>
          <w:p w:rsidR="00B3406E" w:rsidRPr="007B4D1C" w:rsidRDefault="00B3406E" w:rsidP="00B26098">
            <w:pPr>
              <w:rPr>
                <w:rFonts w:eastAsia="MS Mincho" w:cs="Times New Roman"/>
                <w:noProof/>
                <w:szCs w:val="32"/>
              </w:rPr>
            </w:pPr>
          </w:p>
        </w:tc>
      </w:tr>
      <w:tr w:rsidR="00B3406E" w:rsidRPr="007B4D1C" w:rsidTr="0081511D">
        <w:tc>
          <w:tcPr>
            <w:tcW w:w="2093" w:type="dxa"/>
            <w:tcBorders>
              <w:bottom w:val="single" w:sz="4" w:space="0" w:color="auto"/>
            </w:tcBorders>
            <w:shd w:val="clear" w:color="auto" w:fill="BFBFBF" w:themeFill="background1" w:themeFillShade="BF"/>
          </w:tcPr>
          <w:p w:rsidR="00B3406E" w:rsidRPr="00343E9C" w:rsidRDefault="00B3406E" w:rsidP="00A0160C">
            <w:pPr>
              <w:rPr>
                <w:rFonts w:eastAsia="MS Mincho" w:cs="Times New Roman"/>
                <w:b/>
                <w:noProof/>
                <w:szCs w:val="32"/>
              </w:rPr>
            </w:pPr>
            <w:r w:rsidRPr="00343E9C">
              <w:rPr>
                <w:rFonts w:eastAsia="MS Mincho" w:cs="Times New Roman"/>
                <w:b/>
                <w:noProof/>
                <w:szCs w:val="32"/>
              </w:rPr>
              <w:t>Description of the T2S impact</w:t>
            </w:r>
          </w:p>
        </w:tc>
        <w:tc>
          <w:tcPr>
            <w:tcW w:w="7513" w:type="dxa"/>
            <w:tcBorders>
              <w:bottom w:val="single" w:sz="4" w:space="0" w:color="auto"/>
            </w:tcBorders>
          </w:tcPr>
          <w:p w:rsidR="00870555" w:rsidRDefault="00870555" w:rsidP="000A0704">
            <w:pPr>
              <w:spacing w:before="120" w:after="60"/>
              <w:jc w:val="both"/>
              <w:rPr>
                <w:rFonts w:eastAsia="MS Mincho" w:cs="Times New Roman"/>
                <w:noProof/>
                <w:szCs w:val="32"/>
              </w:rPr>
            </w:pPr>
            <w:r>
              <w:rPr>
                <w:rFonts w:eastAsia="MS Mincho" w:cs="Times New Roman"/>
                <w:noProof/>
                <w:szCs w:val="32"/>
              </w:rPr>
              <w:t xml:space="preserve">In the context of T2S, the ESES </w:t>
            </w:r>
            <w:r w:rsidR="00936535">
              <w:rPr>
                <w:rFonts w:eastAsia="MS Mincho" w:cs="Times New Roman"/>
                <w:noProof/>
                <w:szCs w:val="32"/>
              </w:rPr>
              <w:t xml:space="preserve">platform was initially </w:t>
            </w:r>
            <w:r>
              <w:rPr>
                <w:rFonts w:eastAsia="MS Mincho" w:cs="Times New Roman"/>
                <w:noProof/>
                <w:szCs w:val="32"/>
              </w:rPr>
              <w:t>scheduled in the DSD Mark</w:t>
            </w:r>
            <w:r w:rsidR="006A4780">
              <w:rPr>
                <w:rFonts w:eastAsia="MS Mincho" w:cs="Times New Roman"/>
                <w:noProof/>
                <w:szCs w:val="32"/>
              </w:rPr>
              <w:t>et</w:t>
            </w:r>
            <w:r>
              <w:rPr>
                <w:rFonts w:eastAsia="MS Mincho" w:cs="Times New Roman"/>
                <w:noProof/>
                <w:szCs w:val="32"/>
              </w:rPr>
              <w:t xml:space="preserve"> Claims and Transformations </w:t>
            </w:r>
            <w:r w:rsidR="00936535">
              <w:rPr>
                <w:rFonts w:eastAsia="MS Mincho" w:cs="Times New Roman"/>
                <w:noProof/>
                <w:szCs w:val="32"/>
              </w:rPr>
              <w:t xml:space="preserve">to apply </w:t>
            </w:r>
            <w:r>
              <w:rPr>
                <w:rFonts w:eastAsia="MS Mincho" w:cs="Times New Roman"/>
                <w:noProof/>
                <w:szCs w:val="32"/>
              </w:rPr>
              <w:t>the standard defined by the Corporate Actions Sub-Group on the detect</w:t>
            </w:r>
            <w:r w:rsidR="00936535">
              <w:rPr>
                <w:rFonts w:eastAsia="MS Mincho" w:cs="Times New Roman"/>
                <w:noProof/>
                <w:szCs w:val="32"/>
              </w:rPr>
              <w:t>ion, the management and the pay</w:t>
            </w:r>
            <w:r>
              <w:rPr>
                <w:rFonts w:eastAsia="MS Mincho" w:cs="Times New Roman"/>
                <w:noProof/>
                <w:szCs w:val="32"/>
              </w:rPr>
              <w:t>m</w:t>
            </w:r>
            <w:r w:rsidR="00936535">
              <w:rPr>
                <w:rFonts w:eastAsia="MS Mincho" w:cs="Times New Roman"/>
                <w:noProof/>
                <w:szCs w:val="32"/>
              </w:rPr>
              <w:t>e</w:t>
            </w:r>
            <w:r>
              <w:rPr>
                <w:rFonts w:eastAsia="MS Mincho" w:cs="Times New Roman"/>
                <w:noProof/>
                <w:szCs w:val="32"/>
              </w:rPr>
              <w:t>nt of transformations on mandatory reorganizations in T2S.</w:t>
            </w:r>
          </w:p>
          <w:p w:rsidR="00870555" w:rsidRDefault="00870555" w:rsidP="000A0704">
            <w:pPr>
              <w:spacing w:before="120" w:after="60"/>
              <w:jc w:val="both"/>
              <w:rPr>
                <w:rFonts w:eastAsia="MS Mincho" w:cs="Times New Roman"/>
                <w:noProof/>
                <w:szCs w:val="32"/>
              </w:rPr>
            </w:pPr>
            <w:r>
              <w:rPr>
                <w:rFonts w:eastAsia="MS Mincho" w:cs="Times New Roman"/>
                <w:noProof/>
                <w:szCs w:val="32"/>
              </w:rPr>
              <w:t>The transformation process defined by Euroclear consisted in two steps on the record date, end of day (Close of Business – COB), for settlement instructions in a ‘matched’ status and with an intended settlement date on or before the record date:</w:t>
            </w:r>
          </w:p>
          <w:p w:rsidR="00870555" w:rsidRDefault="00870555" w:rsidP="00870555">
            <w:pPr>
              <w:pStyle w:val="ListParagraph"/>
              <w:numPr>
                <w:ilvl w:val="0"/>
                <w:numId w:val="21"/>
              </w:numPr>
              <w:spacing w:before="120" w:after="60"/>
              <w:jc w:val="both"/>
              <w:rPr>
                <w:rFonts w:eastAsia="MS Mincho" w:cs="Times New Roman"/>
                <w:noProof/>
                <w:szCs w:val="32"/>
              </w:rPr>
            </w:pPr>
            <w:r>
              <w:rPr>
                <w:rFonts w:eastAsia="MS Mincho" w:cs="Times New Roman"/>
                <w:noProof/>
                <w:szCs w:val="32"/>
              </w:rPr>
              <w:t>Cancellation of the initial settlement instruction</w:t>
            </w:r>
          </w:p>
          <w:p w:rsidR="000A0704" w:rsidRPr="00936535" w:rsidRDefault="00870555" w:rsidP="00802269">
            <w:pPr>
              <w:pStyle w:val="ListParagraph"/>
              <w:numPr>
                <w:ilvl w:val="0"/>
                <w:numId w:val="21"/>
              </w:numPr>
              <w:spacing w:before="120" w:after="60"/>
              <w:jc w:val="both"/>
              <w:rPr>
                <w:rFonts w:eastAsia="MS Mincho" w:cs="Times New Roman"/>
                <w:noProof/>
                <w:szCs w:val="32"/>
              </w:rPr>
            </w:pPr>
            <w:r>
              <w:rPr>
                <w:rFonts w:eastAsia="MS Mincho" w:cs="Times New Roman"/>
                <w:noProof/>
                <w:szCs w:val="32"/>
              </w:rPr>
              <w:t>Creation of one or more new settlement instructions</w:t>
            </w:r>
            <w:r w:rsidR="00936535">
              <w:rPr>
                <w:rFonts w:eastAsia="MS Mincho" w:cs="Times New Roman"/>
                <w:noProof/>
                <w:szCs w:val="32"/>
              </w:rPr>
              <w:t xml:space="preserve"> ‘already matched’ identified with the code ‘TRAN’ in the field settlement conditions, according to the terms of the mandatory reorganization in cash or securities – with possibly an indemnification in case of fractions.</w:t>
            </w:r>
          </w:p>
        </w:tc>
      </w:tr>
      <w:tr w:rsidR="0081511D" w:rsidRPr="007B4D1C" w:rsidTr="0081511D">
        <w:tc>
          <w:tcPr>
            <w:tcW w:w="2093" w:type="dxa"/>
            <w:tcBorders>
              <w:left w:val="nil"/>
              <w:right w:val="nil"/>
            </w:tcBorders>
            <w:shd w:val="clear" w:color="auto" w:fill="auto"/>
          </w:tcPr>
          <w:p w:rsidR="0081511D" w:rsidRPr="007B4D1C" w:rsidRDefault="0081511D" w:rsidP="00EC776F">
            <w:pPr>
              <w:rPr>
                <w:rFonts w:eastAsia="MS Mincho" w:cs="Times New Roman"/>
                <w:b/>
                <w:noProof/>
                <w:szCs w:val="32"/>
              </w:rPr>
            </w:pPr>
          </w:p>
        </w:tc>
        <w:tc>
          <w:tcPr>
            <w:tcW w:w="7513" w:type="dxa"/>
            <w:tcBorders>
              <w:left w:val="nil"/>
              <w:right w:val="nil"/>
            </w:tcBorders>
            <w:shd w:val="clear" w:color="auto" w:fill="auto"/>
          </w:tcPr>
          <w:p w:rsidR="0081511D" w:rsidRPr="007B4D1C" w:rsidRDefault="0081511D" w:rsidP="0081511D">
            <w:pPr>
              <w:rPr>
                <w:rFonts w:eastAsia="MS Mincho" w:cs="Times New Roman"/>
                <w:b/>
                <w:noProof/>
                <w:szCs w:val="32"/>
              </w:rPr>
            </w:pPr>
          </w:p>
        </w:tc>
      </w:tr>
      <w:tr w:rsidR="00B3406E" w:rsidRPr="00CB5DDB" w:rsidTr="0081511D">
        <w:tc>
          <w:tcPr>
            <w:tcW w:w="2093" w:type="dxa"/>
            <w:shd w:val="clear" w:color="auto" w:fill="BFBFBF" w:themeFill="background1" w:themeFillShade="BF"/>
          </w:tcPr>
          <w:p w:rsidR="00B3406E" w:rsidRPr="000C4CA6" w:rsidRDefault="00B3406E" w:rsidP="00A0160C">
            <w:pPr>
              <w:rPr>
                <w:rFonts w:eastAsia="MS Mincho" w:cs="Times New Roman"/>
                <w:b/>
                <w:noProof/>
                <w:szCs w:val="32"/>
              </w:rPr>
            </w:pPr>
            <w:r w:rsidRPr="003348A6">
              <w:rPr>
                <w:rFonts w:eastAsia="MS Mincho" w:cs="Times New Roman"/>
                <w:b/>
                <w:noProof/>
                <w:szCs w:val="32"/>
              </w:rPr>
              <w:t>Description of the major issue</w:t>
            </w:r>
          </w:p>
        </w:tc>
        <w:tc>
          <w:tcPr>
            <w:tcW w:w="7513" w:type="dxa"/>
          </w:tcPr>
          <w:p w:rsidR="00936535" w:rsidRDefault="00936535" w:rsidP="00936535">
            <w:pPr>
              <w:spacing w:before="120" w:after="60"/>
              <w:ind w:left="34"/>
              <w:jc w:val="both"/>
              <w:rPr>
                <w:rFonts w:eastAsia="MS Mincho" w:cs="Times New Roman"/>
                <w:bCs/>
                <w:noProof/>
                <w:szCs w:val="32"/>
              </w:rPr>
            </w:pPr>
            <w:r>
              <w:rPr>
                <w:rFonts w:eastAsia="MS Mincho" w:cs="Times New Roman"/>
                <w:bCs/>
                <w:noProof/>
                <w:szCs w:val="32"/>
              </w:rPr>
              <w:t>Euroclear informed the market on January 2016 that from September 12</w:t>
            </w:r>
            <w:r w:rsidRPr="00936535">
              <w:rPr>
                <w:rFonts w:eastAsia="MS Mincho" w:cs="Times New Roman"/>
                <w:bCs/>
                <w:noProof/>
                <w:szCs w:val="32"/>
                <w:vertAlign w:val="superscript"/>
              </w:rPr>
              <w:t>th</w:t>
            </w:r>
            <w:r>
              <w:rPr>
                <w:rFonts w:eastAsia="MS Mincho" w:cs="Times New Roman"/>
                <w:bCs/>
                <w:noProof/>
                <w:szCs w:val="32"/>
              </w:rPr>
              <w:t xml:space="preserve"> 2016 onwards, with the launch of T2S, the full transformation process would not be available.</w:t>
            </w:r>
          </w:p>
          <w:p w:rsidR="00936535" w:rsidRDefault="00936535" w:rsidP="00936535">
            <w:pPr>
              <w:spacing w:before="120" w:after="60"/>
              <w:ind w:left="34"/>
              <w:jc w:val="both"/>
              <w:rPr>
                <w:rFonts w:eastAsia="MS Mincho" w:cs="Times New Roman"/>
                <w:bCs/>
                <w:noProof/>
                <w:szCs w:val="32"/>
              </w:rPr>
            </w:pPr>
            <w:r>
              <w:rPr>
                <w:rFonts w:eastAsia="MS Mincho" w:cs="Times New Roman"/>
                <w:bCs/>
                <w:noProof/>
                <w:szCs w:val="32"/>
              </w:rPr>
              <w:t>Only the first step, consisting in the cancellation of the underlying instruction, would be available, operation carried out either by:</w:t>
            </w:r>
          </w:p>
          <w:p w:rsidR="00936535" w:rsidRDefault="00936535" w:rsidP="00936535">
            <w:pPr>
              <w:pStyle w:val="ListParagraph"/>
              <w:numPr>
                <w:ilvl w:val="0"/>
                <w:numId w:val="21"/>
              </w:numPr>
              <w:spacing w:before="120" w:after="60"/>
              <w:jc w:val="both"/>
              <w:rPr>
                <w:rFonts w:eastAsia="MS Mincho" w:cs="Times New Roman"/>
                <w:bCs/>
                <w:noProof/>
                <w:szCs w:val="32"/>
              </w:rPr>
            </w:pPr>
            <w:r>
              <w:rPr>
                <w:rFonts w:eastAsia="MS Mincho" w:cs="Times New Roman"/>
                <w:bCs/>
                <w:noProof/>
                <w:szCs w:val="32"/>
              </w:rPr>
              <w:t>The ESES platform (CTHP qualifier in sese.024 messages)</w:t>
            </w:r>
          </w:p>
          <w:p w:rsidR="00936535" w:rsidRPr="00936535" w:rsidRDefault="00936535" w:rsidP="00936535">
            <w:pPr>
              <w:pStyle w:val="ListParagraph"/>
              <w:numPr>
                <w:ilvl w:val="0"/>
                <w:numId w:val="21"/>
              </w:numPr>
              <w:spacing w:before="120" w:after="60"/>
              <w:jc w:val="both"/>
              <w:rPr>
                <w:rFonts w:eastAsia="MS Mincho" w:cs="Times New Roman"/>
                <w:bCs/>
                <w:noProof/>
                <w:szCs w:val="32"/>
              </w:rPr>
            </w:pPr>
            <w:r>
              <w:rPr>
                <w:rFonts w:eastAsia="MS Mincho" w:cs="Times New Roman"/>
                <w:bCs/>
                <w:noProof/>
                <w:szCs w:val="32"/>
              </w:rPr>
              <w:lastRenderedPageBreak/>
              <w:t>The T2S platform (qualifier CANS in sese.024 messages – business rules MVIC 313) based on data communicated by ESES</w:t>
            </w:r>
          </w:p>
          <w:p w:rsidR="00936535" w:rsidRPr="00936535" w:rsidRDefault="00936535" w:rsidP="00936535">
            <w:pPr>
              <w:spacing w:before="120" w:after="60"/>
              <w:ind w:left="34"/>
              <w:jc w:val="both"/>
              <w:rPr>
                <w:rFonts w:eastAsia="MS Mincho" w:cs="Times New Roman"/>
                <w:bCs/>
                <w:noProof/>
                <w:szCs w:val="32"/>
                <w:u w:val="single"/>
              </w:rPr>
            </w:pPr>
            <w:r w:rsidRPr="00936535">
              <w:rPr>
                <w:rFonts w:eastAsia="MS Mincho" w:cs="Times New Roman"/>
                <w:bCs/>
                <w:noProof/>
                <w:szCs w:val="32"/>
                <w:u w:val="single"/>
              </w:rPr>
              <w:t>yet the creation of one or more new settlement instructions corresponding to the se</w:t>
            </w:r>
            <w:r w:rsidR="006A4780">
              <w:rPr>
                <w:rFonts w:eastAsia="MS Mincho" w:cs="Times New Roman"/>
                <w:bCs/>
                <w:noProof/>
                <w:szCs w:val="32"/>
                <w:u w:val="single"/>
              </w:rPr>
              <w:t>c</w:t>
            </w:r>
            <w:r w:rsidRPr="00936535">
              <w:rPr>
                <w:rFonts w:eastAsia="MS Mincho" w:cs="Times New Roman"/>
                <w:bCs/>
                <w:noProof/>
                <w:szCs w:val="32"/>
                <w:u w:val="single"/>
              </w:rPr>
              <w:t>ond step of the transformation would not be carried out by the ESES platform yet.</w:t>
            </w:r>
          </w:p>
          <w:p w:rsidR="00936535" w:rsidRDefault="00936535" w:rsidP="00936535">
            <w:pPr>
              <w:spacing w:before="120" w:after="60"/>
              <w:ind w:left="34"/>
              <w:jc w:val="both"/>
              <w:rPr>
                <w:rFonts w:eastAsia="MS Mincho" w:cs="Times New Roman"/>
                <w:bCs/>
                <w:noProof/>
                <w:szCs w:val="32"/>
              </w:rPr>
            </w:pPr>
            <w:r>
              <w:rPr>
                <w:rFonts w:eastAsia="MS Mincho" w:cs="Times New Roman"/>
                <w:bCs/>
                <w:noProof/>
                <w:szCs w:val="32"/>
              </w:rPr>
              <w:t>This represents a regression in terms of service to custodians by Euroclear. A market practice must thus be defined allowing for custodians, from September 12</w:t>
            </w:r>
            <w:r w:rsidRPr="00936535">
              <w:rPr>
                <w:rFonts w:eastAsia="MS Mincho" w:cs="Times New Roman"/>
                <w:bCs/>
                <w:noProof/>
                <w:szCs w:val="32"/>
                <w:vertAlign w:val="superscript"/>
              </w:rPr>
              <w:t>th</w:t>
            </w:r>
            <w:r>
              <w:rPr>
                <w:rFonts w:eastAsia="MS Mincho" w:cs="Times New Roman"/>
                <w:bCs/>
                <w:noProof/>
                <w:szCs w:val="32"/>
              </w:rPr>
              <w:t xml:space="preserve">  2016, to keep on managing transformations on behalf of their clients.</w:t>
            </w:r>
          </w:p>
          <w:p w:rsidR="00936535" w:rsidRDefault="00936535" w:rsidP="00936535">
            <w:pPr>
              <w:spacing w:before="120" w:after="60"/>
              <w:ind w:left="34"/>
              <w:jc w:val="both"/>
              <w:rPr>
                <w:rFonts w:eastAsia="MS Mincho" w:cs="Times New Roman"/>
                <w:bCs/>
                <w:noProof/>
                <w:szCs w:val="32"/>
              </w:rPr>
            </w:pPr>
            <w:r>
              <w:rPr>
                <w:rFonts w:eastAsia="MS Mincho" w:cs="Times New Roman"/>
                <w:bCs/>
                <w:noProof/>
                <w:szCs w:val="32"/>
              </w:rPr>
              <w:t>This market practice should get as close as possible to CAJWG standards and to CASG recommendations in order to make up for the regression by the time of the launch.</w:t>
            </w:r>
          </w:p>
          <w:p w:rsidR="00936535" w:rsidRDefault="00936535" w:rsidP="00936535">
            <w:pPr>
              <w:spacing w:before="120" w:after="60"/>
              <w:ind w:left="34"/>
              <w:jc w:val="both"/>
              <w:rPr>
                <w:rFonts w:eastAsia="MS Mincho" w:cs="Times New Roman"/>
                <w:bCs/>
                <w:noProof/>
                <w:szCs w:val="32"/>
              </w:rPr>
            </w:pPr>
            <w:r>
              <w:rPr>
                <w:rFonts w:eastAsia="MS Mincho" w:cs="Times New Roman"/>
                <w:bCs/>
                <w:noProof/>
                <w:szCs w:val="32"/>
              </w:rPr>
              <w:t xml:space="preserve">Custodians will only handle the creation of one or more new settlement instructions </w:t>
            </w:r>
            <w:r w:rsidR="00547FC1">
              <w:rPr>
                <w:rFonts w:eastAsia="MS Mincho" w:cs="Times New Roman"/>
                <w:bCs/>
                <w:noProof/>
                <w:szCs w:val="32"/>
              </w:rPr>
              <w:t>for transformation purposes, in accordance with the terms of the mandatory reorganization in securities and</w:t>
            </w:r>
            <w:r w:rsidR="006A4780">
              <w:rPr>
                <w:rFonts w:eastAsia="MS Mincho" w:cs="Times New Roman"/>
                <w:bCs/>
                <w:noProof/>
                <w:szCs w:val="32"/>
              </w:rPr>
              <w:t>/</w:t>
            </w:r>
            <w:r w:rsidR="00547FC1">
              <w:rPr>
                <w:rFonts w:eastAsia="MS Mincho" w:cs="Times New Roman"/>
                <w:bCs/>
                <w:noProof/>
                <w:szCs w:val="32"/>
              </w:rPr>
              <w:t>or cash, and must define a market practice allowing for the quick and efficient matching of settlement instructions in T2S, except when the cash leg of the instruction is in T2 (when the ISIN code no longer ex</w:t>
            </w:r>
            <w:r w:rsidR="006A4780">
              <w:rPr>
                <w:rFonts w:eastAsia="MS Mincho" w:cs="Times New Roman"/>
                <w:bCs/>
                <w:noProof/>
                <w:szCs w:val="32"/>
              </w:rPr>
              <w:t>ists and that no instruction ca</w:t>
            </w:r>
            <w:r w:rsidR="00547FC1">
              <w:rPr>
                <w:rFonts w:eastAsia="MS Mincho" w:cs="Times New Roman"/>
                <w:bCs/>
                <w:noProof/>
                <w:szCs w:val="32"/>
              </w:rPr>
              <w:t>n be input in T2S).</w:t>
            </w:r>
          </w:p>
          <w:p w:rsidR="00547FC1" w:rsidRDefault="00547FC1" w:rsidP="00936535">
            <w:pPr>
              <w:spacing w:before="120" w:after="60"/>
              <w:ind w:left="34"/>
              <w:jc w:val="both"/>
              <w:rPr>
                <w:rFonts w:eastAsia="MS Mincho" w:cs="Times New Roman"/>
                <w:bCs/>
                <w:noProof/>
                <w:szCs w:val="32"/>
              </w:rPr>
            </w:pPr>
            <w:r>
              <w:rPr>
                <w:rFonts w:eastAsia="MS Mincho" w:cs="Times New Roman"/>
                <w:bCs/>
                <w:noProof/>
                <w:szCs w:val="32"/>
              </w:rPr>
              <w:t xml:space="preserve">This market practice </w:t>
            </w:r>
            <w:r w:rsidR="00050E68">
              <w:rPr>
                <w:rFonts w:eastAsia="MS Mincho" w:cs="Times New Roman"/>
                <w:bCs/>
                <w:noProof/>
                <w:szCs w:val="32"/>
              </w:rPr>
              <w:t>will be composed of 2 parts:</w:t>
            </w:r>
          </w:p>
          <w:p w:rsidR="00050E68" w:rsidRDefault="005C7194" w:rsidP="00050E68">
            <w:pPr>
              <w:pStyle w:val="ListParagraph"/>
              <w:numPr>
                <w:ilvl w:val="0"/>
                <w:numId w:val="21"/>
              </w:numPr>
              <w:spacing w:before="120" w:after="60"/>
              <w:jc w:val="both"/>
              <w:rPr>
                <w:rFonts w:eastAsia="MS Mincho" w:cs="Times New Roman"/>
                <w:bCs/>
                <w:noProof/>
                <w:szCs w:val="32"/>
              </w:rPr>
            </w:pPr>
            <w:r>
              <w:rPr>
                <w:rFonts w:eastAsia="MS Mincho" w:cs="Times New Roman"/>
                <w:bCs/>
                <w:noProof/>
                <w:szCs w:val="32"/>
              </w:rPr>
              <w:t>P</w:t>
            </w:r>
            <w:r w:rsidR="00050E68">
              <w:rPr>
                <w:rFonts w:eastAsia="MS Mincho" w:cs="Times New Roman"/>
                <w:bCs/>
                <w:noProof/>
                <w:szCs w:val="32"/>
              </w:rPr>
              <w:t xml:space="preserve">art </w:t>
            </w:r>
            <w:r>
              <w:rPr>
                <w:rFonts w:eastAsia="MS Mincho" w:cs="Times New Roman"/>
                <w:bCs/>
                <w:noProof/>
                <w:szCs w:val="32"/>
              </w:rPr>
              <w:t xml:space="preserve">One </w:t>
            </w:r>
            <w:r w:rsidR="00050E68">
              <w:rPr>
                <w:rFonts w:eastAsia="MS Mincho" w:cs="Times New Roman"/>
                <w:bCs/>
                <w:noProof/>
                <w:szCs w:val="32"/>
              </w:rPr>
              <w:t>will be dedicated to the implementation for mandatory reorganizations in securities. Participants will be in a capacity to send settlement instructions in T2S corresponding to transformation-related market claims.</w:t>
            </w:r>
          </w:p>
          <w:p w:rsidR="00BB283B" w:rsidRPr="006A4780" w:rsidRDefault="005C7194" w:rsidP="006A4780">
            <w:pPr>
              <w:pStyle w:val="ListParagraph"/>
              <w:numPr>
                <w:ilvl w:val="0"/>
                <w:numId w:val="21"/>
              </w:numPr>
              <w:spacing w:before="120" w:after="60"/>
              <w:jc w:val="both"/>
              <w:rPr>
                <w:rFonts w:eastAsia="MS Mincho" w:cs="Times New Roman"/>
                <w:bCs/>
                <w:noProof/>
                <w:szCs w:val="32"/>
              </w:rPr>
            </w:pPr>
            <w:r>
              <w:rPr>
                <w:rFonts w:eastAsia="MS Mincho" w:cs="Times New Roman"/>
                <w:bCs/>
                <w:noProof/>
                <w:szCs w:val="32"/>
              </w:rPr>
              <w:t>P</w:t>
            </w:r>
            <w:r w:rsidR="00050E68">
              <w:rPr>
                <w:rFonts w:eastAsia="MS Mincho" w:cs="Times New Roman"/>
                <w:bCs/>
                <w:noProof/>
                <w:szCs w:val="32"/>
              </w:rPr>
              <w:t xml:space="preserve">art </w:t>
            </w:r>
            <w:r>
              <w:rPr>
                <w:rFonts w:eastAsia="MS Mincho" w:cs="Times New Roman"/>
                <w:bCs/>
                <w:noProof/>
                <w:szCs w:val="32"/>
              </w:rPr>
              <w:t xml:space="preserve">Two </w:t>
            </w:r>
            <w:r w:rsidR="00050E68">
              <w:rPr>
                <w:rFonts w:eastAsia="MS Mincho" w:cs="Times New Roman"/>
                <w:bCs/>
                <w:noProof/>
                <w:szCs w:val="32"/>
              </w:rPr>
              <w:t>will be dedicated to the design of a solution allowing to handle adjustments related to the transformation process for operations where the underlying security reaches its maturity. T2S will in effect reject instructions on securities which reached their maturity, the ISIN code no longer being presented in the referential. This applies to mandatory reorganizations in cash.</w:t>
            </w:r>
          </w:p>
        </w:tc>
      </w:tr>
      <w:tr w:rsidR="00B3406E" w:rsidRPr="00CB5DDB" w:rsidTr="00A0160C">
        <w:tc>
          <w:tcPr>
            <w:tcW w:w="2093" w:type="dxa"/>
            <w:tcBorders>
              <w:left w:val="nil"/>
              <w:right w:val="nil"/>
            </w:tcBorders>
            <w:shd w:val="clear" w:color="auto" w:fill="auto"/>
          </w:tcPr>
          <w:p w:rsidR="00B3406E" w:rsidRPr="00CB5DDB" w:rsidRDefault="00B3406E" w:rsidP="00A0160C">
            <w:pPr>
              <w:rPr>
                <w:rFonts w:eastAsia="MS Mincho" w:cs="Times New Roman"/>
                <w:b/>
                <w:noProof/>
                <w:szCs w:val="32"/>
              </w:rPr>
            </w:pPr>
          </w:p>
        </w:tc>
        <w:tc>
          <w:tcPr>
            <w:tcW w:w="7513" w:type="dxa"/>
            <w:tcBorders>
              <w:left w:val="nil"/>
              <w:right w:val="nil"/>
            </w:tcBorders>
            <w:shd w:val="clear" w:color="auto" w:fill="auto"/>
          </w:tcPr>
          <w:p w:rsidR="00B3406E" w:rsidRPr="00CB5DDB" w:rsidRDefault="00B3406E" w:rsidP="00A0160C">
            <w:pPr>
              <w:rPr>
                <w:rFonts w:eastAsia="MS Mincho" w:cs="Times New Roman"/>
                <w:b/>
                <w:noProof/>
                <w:szCs w:val="32"/>
              </w:rPr>
            </w:pPr>
          </w:p>
        </w:tc>
      </w:tr>
      <w:tr w:rsidR="00B3406E" w:rsidRPr="005E593C" w:rsidTr="0081511D">
        <w:tc>
          <w:tcPr>
            <w:tcW w:w="2093" w:type="dxa"/>
            <w:shd w:val="clear" w:color="auto" w:fill="BFBFBF" w:themeFill="background1" w:themeFillShade="BF"/>
          </w:tcPr>
          <w:p w:rsidR="00B3406E" w:rsidRPr="003348A6" w:rsidRDefault="00B3406E" w:rsidP="00A0160C">
            <w:pPr>
              <w:rPr>
                <w:rFonts w:eastAsia="MS Mincho" w:cs="Times New Roman"/>
                <w:b/>
                <w:noProof/>
                <w:szCs w:val="32"/>
              </w:rPr>
            </w:pPr>
            <w:r w:rsidRPr="003348A6">
              <w:rPr>
                <w:rFonts w:eastAsia="MS Mincho" w:cs="Times New Roman"/>
                <w:b/>
                <w:noProof/>
                <w:szCs w:val="32"/>
              </w:rPr>
              <w:t>Description of the roles and responsibilities of the ac</w:t>
            </w:r>
            <w:r>
              <w:rPr>
                <w:rFonts w:eastAsia="MS Mincho" w:cs="Times New Roman"/>
                <w:b/>
                <w:noProof/>
                <w:szCs w:val="32"/>
              </w:rPr>
              <w:t>to</w:t>
            </w:r>
            <w:r w:rsidRPr="003348A6">
              <w:rPr>
                <w:rFonts w:eastAsia="MS Mincho" w:cs="Times New Roman"/>
                <w:b/>
                <w:noProof/>
                <w:szCs w:val="32"/>
              </w:rPr>
              <w:t xml:space="preserve">rs involved </w:t>
            </w:r>
          </w:p>
          <w:p w:rsidR="00B3406E" w:rsidRPr="00D103DA" w:rsidRDefault="00B3406E" w:rsidP="00A0160C">
            <w:pPr>
              <w:rPr>
                <w:rFonts w:eastAsia="MS Mincho" w:cs="Times New Roman"/>
                <w:b/>
                <w:noProof/>
                <w:szCs w:val="32"/>
                <w:lang w:val="fr-FR"/>
              </w:rPr>
            </w:pPr>
            <w:r>
              <w:rPr>
                <w:rFonts w:eastAsia="MS Mincho" w:cs="Times New Roman"/>
                <w:b/>
                <w:noProof/>
                <w:szCs w:val="32"/>
                <w:lang w:val="fr-FR"/>
              </w:rPr>
              <w:t>(OPTIONAL)</w:t>
            </w:r>
          </w:p>
        </w:tc>
        <w:tc>
          <w:tcPr>
            <w:tcW w:w="7513" w:type="dxa"/>
          </w:tcPr>
          <w:p w:rsidR="00B3406E" w:rsidRPr="005E593C" w:rsidRDefault="00B3406E" w:rsidP="005E593C">
            <w:pPr>
              <w:spacing w:beforeLines="60" w:before="144"/>
              <w:jc w:val="both"/>
              <w:rPr>
                <w:rFonts w:cs="Tahoma"/>
                <w:lang w:eastAsia="fr-FR"/>
              </w:rPr>
            </w:pPr>
          </w:p>
        </w:tc>
      </w:tr>
      <w:tr w:rsidR="00B3406E" w:rsidRPr="005E593C" w:rsidTr="00A0160C">
        <w:tc>
          <w:tcPr>
            <w:tcW w:w="2093" w:type="dxa"/>
            <w:tcBorders>
              <w:left w:val="nil"/>
              <w:right w:val="nil"/>
            </w:tcBorders>
            <w:shd w:val="clear" w:color="auto" w:fill="auto"/>
          </w:tcPr>
          <w:p w:rsidR="00B3406E" w:rsidRPr="005E593C" w:rsidRDefault="00B3406E" w:rsidP="00A0160C">
            <w:pPr>
              <w:rPr>
                <w:rFonts w:eastAsia="MS Mincho" w:cs="Times New Roman"/>
                <w:b/>
                <w:noProof/>
                <w:szCs w:val="32"/>
              </w:rPr>
            </w:pPr>
          </w:p>
        </w:tc>
        <w:tc>
          <w:tcPr>
            <w:tcW w:w="7513" w:type="dxa"/>
            <w:tcBorders>
              <w:left w:val="nil"/>
              <w:right w:val="nil"/>
            </w:tcBorders>
            <w:shd w:val="clear" w:color="auto" w:fill="auto"/>
          </w:tcPr>
          <w:p w:rsidR="00B3406E" w:rsidRPr="005E593C" w:rsidRDefault="00B3406E" w:rsidP="00A0160C">
            <w:pPr>
              <w:rPr>
                <w:rFonts w:eastAsia="MS Mincho" w:cs="Times New Roman"/>
                <w:b/>
                <w:noProof/>
                <w:szCs w:val="32"/>
              </w:rPr>
            </w:pPr>
          </w:p>
        </w:tc>
      </w:tr>
      <w:tr w:rsidR="00B3406E" w:rsidRPr="0081511D" w:rsidTr="0081511D">
        <w:tc>
          <w:tcPr>
            <w:tcW w:w="2093" w:type="dxa"/>
            <w:shd w:val="clear" w:color="auto" w:fill="BFBFBF" w:themeFill="background1" w:themeFillShade="BF"/>
          </w:tcPr>
          <w:p w:rsidR="00B3406E" w:rsidRDefault="00B3406E" w:rsidP="00A0160C">
            <w:pPr>
              <w:rPr>
                <w:rFonts w:eastAsia="MS Mincho" w:cs="Times New Roman"/>
                <w:b/>
                <w:noProof/>
                <w:szCs w:val="32"/>
                <w:lang w:val="fr-FR"/>
              </w:rPr>
            </w:pPr>
            <w:r>
              <w:rPr>
                <w:rFonts w:eastAsia="MS Mincho" w:cs="Times New Roman"/>
                <w:b/>
                <w:noProof/>
                <w:szCs w:val="32"/>
                <w:lang w:val="fr-FR"/>
              </w:rPr>
              <w:t>Workflows</w:t>
            </w:r>
          </w:p>
          <w:p w:rsidR="00B3406E" w:rsidRDefault="00B3406E" w:rsidP="00A0160C">
            <w:pPr>
              <w:rPr>
                <w:rFonts w:eastAsia="MS Mincho" w:cs="Times New Roman"/>
                <w:b/>
                <w:noProof/>
                <w:szCs w:val="32"/>
                <w:lang w:val="fr-FR"/>
              </w:rPr>
            </w:pPr>
            <w:r>
              <w:rPr>
                <w:rFonts w:eastAsia="MS Mincho" w:cs="Times New Roman"/>
                <w:b/>
                <w:noProof/>
                <w:szCs w:val="32"/>
                <w:lang w:val="fr-FR"/>
              </w:rPr>
              <w:t>(OPTIONAL)</w:t>
            </w:r>
          </w:p>
        </w:tc>
        <w:tc>
          <w:tcPr>
            <w:tcW w:w="7513" w:type="dxa"/>
          </w:tcPr>
          <w:p w:rsidR="00B3406E" w:rsidRPr="00FD2FD6" w:rsidRDefault="00B3406E" w:rsidP="0081511D">
            <w:pPr>
              <w:rPr>
                <w:rFonts w:eastAsia="MS Mincho" w:cs="Times New Roman"/>
                <w:noProof/>
                <w:szCs w:val="32"/>
                <w:lang w:val="fr-FR"/>
              </w:rPr>
            </w:pPr>
          </w:p>
        </w:tc>
      </w:tr>
      <w:tr w:rsidR="00B3406E" w:rsidRPr="0081511D" w:rsidTr="00A0160C">
        <w:tc>
          <w:tcPr>
            <w:tcW w:w="2093" w:type="dxa"/>
            <w:tcBorders>
              <w:left w:val="nil"/>
              <w:right w:val="nil"/>
            </w:tcBorders>
            <w:shd w:val="clear" w:color="auto" w:fill="auto"/>
          </w:tcPr>
          <w:p w:rsidR="00B3406E" w:rsidRDefault="00B3406E" w:rsidP="00A0160C">
            <w:pPr>
              <w:rPr>
                <w:rFonts w:eastAsia="MS Mincho" w:cs="Times New Roman"/>
                <w:b/>
                <w:noProof/>
                <w:szCs w:val="32"/>
                <w:lang w:val="fr-FR"/>
              </w:rPr>
            </w:pPr>
          </w:p>
        </w:tc>
        <w:tc>
          <w:tcPr>
            <w:tcW w:w="7513" w:type="dxa"/>
            <w:tcBorders>
              <w:left w:val="nil"/>
              <w:right w:val="nil"/>
            </w:tcBorders>
            <w:shd w:val="clear" w:color="auto" w:fill="auto"/>
          </w:tcPr>
          <w:p w:rsidR="00B3406E" w:rsidRPr="0081511D" w:rsidRDefault="00B3406E" w:rsidP="00A0160C">
            <w:pPr>
              <w:rPr>
                <w:rFonts w:eastAsia="MS Mincho" w:cs="Times New Roman"/>
                <w:b/>
                <w:noProof/>
                <w:szCs w:val="32"/>
                <w:lang w:val="fr-FR"/>
              </w:rPr>
            </w:pPr>
          </w:p>
        </w:tc>
      </w:tr>
      <w:tr w:rsidR="00B3406E" w:rsidRPr="00113071" w:rsidTr="0091257E">
        <w:tc>
          <w:tcPr>
            <w:tcW w:w="2093" w:type="dxa"/>
            <w:tcBorders>
              <w:bottom w:val="single" w:sz="4" w:space="0" w:color="auto"/>
            </w:tcBorders>
            <w:shd w:val="clear" w:color="auto" w:fill="BFBFBF" w:themeFill="background1" w:themeFillShade="BF"/>
          </w:tcPr>
          <w:p w:rsidR="00B3406E" w:rsidRPr="003348A6" w:rsidRDefault="00B3406E" w:rsidP="00A0160C">
            <w:pPr>
              <w:rPr>
                <w:rFonts w:eastAsia="MS Mincho" w:cs="Times New Roman"/>
                <w:b/>
                <w:noProof/>
                <w:szCs w:val="32"/>
              </w:rPr>
            </w:pPr>
            <w:r w:rsidRPr="003348A6">
              <w:rPr>
                <w:rFonts w:eastAsia="MS Mincho" w:cs="Times New Roman"/>
                <w:b/>
                <w:noProof/>
                <w:szCs w:val="32"/>
              </w:rPr>
              <w:t>Links with other market practices</w:t>
            </w:r>
          </w:p>
        </w:tc>
        <w:tc>
          <w:tcPr>
            <w:tcW w:w="7513" w:type="dxa"/>
            <w:tcBorders>
              <w:bottom w:val="single" w:sz="4" w:space="0" w:color="auto"/>
            </w:tcBorders>
          </w:tcPr>
          <w:p w:rsidR="00B3406E" w:rsidRPr="003A7B29" w:rsidRDefault="003A7B29" w:rsidP="003A7B29">
            <w:pPr>
              <w:spacing w:before="120"/>
              <w:jc w:val="both"/>
              <w:rPr>
                <w:rFonts w:eastAsia="MS Mincho" w:cs="Times New Roman"/>
                <w:noProof/>
                <w:szCs w:val="32"/>
              </w:rPr>
            </w:pPr>
            <w:r>
              <w:rPr>
                <w:rFonts w:eastAsia="MS Mincho" w:cs="Times New Roman"/>
                <w:noProof/>
                <w:szCs w:val="32"/>
              </w:rPr>
              <w:t>OF-OST-RETRO-01</w:t>
            </w:r>
            <w:r w:rsidR="006A4780" w:rsidRPr="006A4780">
              <w:rPr>
                <w:rFonts w:eastAsia="MS Mincho" w:cs="Times New Roman"/>
                <w:i/>
                <w:noProof/>
                <w:szCs w:val="32"/>
              </w:rPr>
              <w:t xml:space="preserve"> - Payment mode for cash flows on corporate actions outside ESES</w:t>
            </w:r>
          </w:p>
        </w:tc>
      </w:tr>
    </w:tbl>
    <w:p w:rsidR="001E0D83" w:rsidRPr="00AE20EB" w:rsidRDefault="001E0D83" w:rsidP="00D103DA">
      <w:pPr>
        <w:spacing w:after="0" w:line="240" w:lineRule="auto"/>
        <w:rPr>
          <w:rFonts w:eastAsia="MS Mincho" w:cs="Times New Roman"/>
          <w:noProof/>
          <w:szCs w:val="32"/>
        </w:rPr>
      </w:pPr>
    </w:p>
    <w:p w:rsidR="0081511D" w:rsidRPr="00AE20EB" w:rsidRDefault="0081511D" w:rsidP="00D103DA">
      <w:pPr>
        <w:spacing w:after="0" w:line="240" w:lineRule="auto"/>
        <w:rPr>
          <w:rFonts w:eastAsia="MS Mincho" w:cs="Times New Roman"/>
          <w:noProof/>
          <w:szCs w:val="32"/>
        </w:rPr>
      </w:pPr>
    </w:p>
    <w:p w:rsidR="00B3406E" w:rsidRPr="004F6025" w:rsidRDefault="00B3406E" w:rsidP="00B3406E">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Recommended market practice</w:t>
      </w:r>
    </w:p>
    <w:p w:rsidR="0081511D" w:rsidRDefault="0081511D" w:rsidP="00D103DA">
      <w:pPr>
        <w:spacing w:after="0" w:line="240" w:lineRule="auto"/>
        <w:rPr>
          <w:rFonts w:eastAsia="MS Mincho" w:cs="Times New Roman"/>
          <w:noProof/>
          <w:szCs w:val="32"/>
          <w:lang w:val="fr-FR"/>
        </w:rPr>
      </w:pPr>
    </w:p>
    <w:tbl>
      <w:tblPr>
        <w:tblStyle w:val="TableGrid"/>
        <w:tblW w:w="9606" w:type="dxa"/>
        <w:tblLook w:val="04A0" w:firstRow="1" w:lastRow="0" w:firstColumn="1" w:lastColumn="0" w:noHBand="0" w:noVBand="1"/>
      </w:tblPr>
      <w:tblGrid>
        <w:gridCol w:w="2093"/>
        <w:gridCol w:w="7483"/>
        <w:gridCol w:w="30"/>
      </w:tblGrid>
      <w:tr w:rsidR="00B3406E" w:rsidRPr="008D0CDE" w:rsidTr="0081511D">
        <w:trPr>
          <w:gridAfter w:val="1"/>
          <w:wAfter w:w="30" w:type="dxa"/>
        </w:trPr>
        <w:tc>
          <w:tcPr>
            <w:tcW w:w="2093" w:type="dxa"/>
            <w:shd w:val="clear" w:color="auto" w:fill="BFBFBF" w:themeFill="background1" w:themeFillShade="BF"/>
          </w:tcPr>
          <w:p w:rsidR="00B3406E" w:rsidRPr="00D103DA" w:rsidRDefault="00B3406E" w:rsidP="00A0160C">
            <w:pPr>
              <w:rPr>
                <w:rFonts w:eastAsia="MS Mincho" w:cs="Times New Roman"/>
                <w:b/>
                <w:noProof/>
                <w:szCs w:val="32"/>
                <w:lang w:val="fr-FR"/>
              </w:rPr>
            </w:pPr>
            <w:r>
              <w:rPr>
                <w:rFonts w:eastAsia="MS Mincho" w:cs="Times New Roman"/>
                <w:b/>
                <w:noProof/>
                <w:szCs w:val="32"/>
                <w:lang w:val="fr-FR"/>
              </w:rPr>
              <w:t>Recommended practice</w:t>
            </w:r>
          </w:p>
        </w:tc>
        <w:tc>
          <w:tcPr>
            <w:tcW w:w="7483" w:type="dxa"/>
          </w:tcPr>
          <w:p w:rsidR="008214BC" w:rsidRDefault="003A7B29" w:rsidP="003A7B29">
            <w:pPr>
              <w:spacing w:before="120"/>
              <w:jc w:val="both"/>
              <w:rPr>
                <w:rFonts w:cs="Tahoma"/>
                <w:lang w:eastAsia="fr-FR"/>
              </w:rPr>
            </w:pPr>
            <w:r>
              <w:rPr>
                <w:rFonts w:cs="Tahoma"/>
                <w:lang w:eastAsia="fr-FR"/>
              </w:rPr>
              <w:t>When transfor</w:t>
            </w:r>
            <w:r w:rsidR="00223D2C">
              <w:rPr>
                <w:rFonts w:cs="Tahoma"/>
                <w:lang w:eastAsia="fr-FR"/>
              </w:rPr>
              <w:t>mations are made in securities (</w:t>
            </w:r>
            <w:r>
              <w:rPr>
                <w:rFonts w:cs="Tahoma"/>
                <w:lang w:eastAsia="fr-FR"/>
              </w:rPr>
              <w:t>principal and indemnification</w:t>
            </w:r>
            <w:r w:rsidR="00223D2C">
              <w:rPr>
                <w:rFonts w:cs="Tahoma"/>
                <w:lang w:eastAsia="fr-FR"/>
              </w:rPr>
              <w:t>)</w:t>
            </w:r>
            <w:r>
              <w:rPr>
                <w:rFonts w:cs="Tahoma"/>
                <w:lang w:eastAsia="fr-FR"/>
              </w:rPr>
              <w:t xml:space="preserve">, regularizations must be carried out in T2S: Free of Payment for principal, PFOD (Payment Free of Delivery) for cash indemnifications when the price of the security </w:t>
            </w:r>
            <w:r w:rsidR="00223D2C">
              <w:rPr>
                <w:rFonts w:cs="Tahoma"/>
                <w:lang w:eastAsia="fr-FR"/>
              </w:rPr>
              <w:t>is</w:t>
            </w:r>
            <w:r>
              <w:rPr>
                <w:rFonts w:cs="Tahoma"/>
                <w:lang w:eastAsia="fr-FR"/>
              </w:rPr>
              <w:t xml:space="preserve"> known before the Record Date, with predefined characteristics facilitating matching for participants.</w:t>
            </w:r>
          </w:p>
          <w:p w:rsidR="003A7B29" w:rsidRDefault="003A7B29" w:rsidP="003A7B29">
            <w:pPr>
              <w:spacing w:before="120"/>
              <w:jc w:val="both"/>
              <w:rPr>
                <w:rFonts w:cs="Tahoma"/>
                <w:lang w:eastAsia="fr-FR"/>
              </w:rPr>
            </w:pPr>
            <w:r>
              <w:rPr>
                <w:rFonts w:cs="Tahoma"/>
                <w:lang w:eastAsia="fr-FR"/>
              </w:rPr>
              <w:t>When the price of the security is known before the record date, the regularization of fractions can be carried out based on a bilateral agreement between the parties.</w:t>
            </w:r>
          </w:p>
          <w:p w:rsidR="003A7B29" w:rsidRDefault="0097645B" w:rsidP="003A7B29">
            <w:pPr>
              <w:spacing w:before="120"/>
              <w:jc w:val="both"/>
              <w:rPr>
                <w:rFonts w:cs="Tahoma"/>
                <w:lang w:eastAsia="fr-FR"/>
              </w:rPr>
            </w:pPr>
            <w:r>
              <w:rPr>
                <w:rFonts w:cs="Tahoma"/>
                <w:u w:val="single"/>
                <w:lang w:eastAsia="fr-FR"/>
              </w:rPr>
              <w:t>In s</w:t>
            </w:r>
            <w:r w:rsidR="003A7B29" w:rsidRPr="0097645B">
              <w:rPr>
                <w:rFonts w:cs="Tahoma"/>
                <w:u w:val="single"/>
                <w:lang w:eastAsia="fr-FR"/>
              </w:rPr>
              <w:t>cope of the procedure</w:t>
            </w:r>
            <w:r w:rsidR="003A7B29">
              <w:rPr>
                <w:rFonts w:cs="Tahoma"/>
                <w:lang w:eastAsia="fr-FR"/>
              </w:rPr>
              <w:t>:</w:t>
            </w:r>
          </w:p>
          <w:p w:rsidR="003A7B29" w:rsidRDefault="003A7B29" w:rsidP="003A7B29">
            <w:pPr>
              <w:pStyle w:val="ListParagraph"/>
              <w:numPr>
                <w:ilvl w:val="0"/>
                <w:numId w:val="21"/>
              </w:numPr>
              <w:spacing w:before="120"/>
              <w:jc w:val="both"/>
              <w:rPr>
                <w:rFonts w:cs="Tahoma"/>
                <w:lang w:eastAsia="fr-FR"/>
              </w:rPr>
            </w:pPr>
            <w:r>
              <w:rPr>
                <w:rFonts w:cs="Tahoma"/>
                <w:lang w:eastAsia="fr-FR"/>
              </w:rPr>
              <w:t>OTC transactions</w:t>
            </w:r>
          </w:p>
          <w:p w:rsidR="003A7B29" w:rsidRDefault="0097645B" w:rsidP="003A7B29">
            <w:pPr>
              <w:pStyle w:val="ListParagraph"/>
              <w:numPr>
                <w:ilvl w:val="0"/>
                <w:numId w:val="21"/>
              </w:numPr>
              <w:spacing w:before="120"/>
              <w:jc w:val="both"/>
              <w:rPr>
                <w:rFonts w:cs="Tahoma"/>
                <w:lang w:eastAsia="fr-FR"/>
              </w:rPr>
            </w:pPr>
            <w:r>
              <w:rPr>
                <w:rFonts w:cs="Tahoma"/>
                <w:lang w:eastAsia="fr-FR"/>
              </w:rPr>
              <w:t>Transactions on markets cleared by CCPs other than LCH SA are considered as OTC transactions for the purpose of the procedure.</w:t>
            </w:r>
          </w:p>
          <w:p w:rsidR="0097645B" w:rsidRPr="0097645B" w:rsidRDefault="0097645B" w:rsidP="0097645B">
            <w:pPr>
              <w:spacing w:before="120"/>
              <w:jc w:val="both"/>
              <w:rPr>
                <w:rFonts w:cs="Tahoma"/>
                <w:lang w:eastAsia="fr-FR"/>
              </w:rPr>
            </w:pPr>
            <w:r w:rsidRPr="0097645B">
              <w:rPr>
                <w:rFonts w:cs="Tahoma"/>
                <w:lang w:eastAsia="fr-FR"/>
              </w:rPr>
              <w:t xml:space="preserve">To be noted </w:t>
            </w:r>
            <w:r>
              <w:rPr>
                <w:rFonts w:cs="Tahoma"/>
                <w:lang w:eastAsia="fr-FR"/>
              </w:rPr>
              <w:t xml:space="preserve">that this procedure can also apply to mandatory reorganizations with multiple proceeds (ex: credit of securities and cash, or credit several ISIN codes). Euroclear does not handle, and does not anticipate </w:t>
            </w:r>
            <w:proofErr w:type="gramStart"/>
            <w:r>
              <w:rPr>
                <w:rFonts w:cs="Tahoma"/>
                <w:lang w:eastAsia="fr-FR"/>
              </w:rPr>
              <w:t>to handle</w:t>
            </w:r>
            <w:proofErr w:type="gramEnd"/>
            <w:r>
              <w:rPr>
                <w:rFonts w:cs="Tahoma"/>
                <w:lang w:eastAsia="fr-FR"/>
              </w:rPr>
              <w:t xml:space="preserve"> these cases. Participants must thus continue to manage these transformations bilaterally.</w:t>
            </w:r>
          </w:p>
          <w:p w:rsidR="003A7B29" w:rsidRDefault="0097645B" w:rsidP="003A7B29">
            <w:pPr>
              <w:spacing w:before="120"/>
              <w:jc w:val="both"/>
              <w:rPr>
                <w:rFonts w:cs="Tahoma"/>
                <w:lang w:eastAsia="fr-FR"/>
              </w:rPr>
            </w:pPr>
            <w:r w:rsidRPr="0097645B">
              <w:rPr>
                <w:rFonts w:cs="Tahoma"/>
                <w:u w:val="single"/>
                <w:lang w:eastAsia="fr-FR"/>
              </w:rPr>
              <w:t>Out of the scope of the procedure</w:t>
            </w:r>
            <w:r>
              <w:rPr>
                <w:rFonts w:cs="Tahoma"/>
                <w:lang w:eastAsia="fr-FR"/>
              </w:rPr>
              <w:t>:</w:t>
            </w:r>
          </w:p>
          <w:p w:rsidR="0097645B" w:rsidRDefault="0097645B" w:rsidP="0097645B">
            <w:pPr>
              <w:pStyle w:val="ListParagraph"/>
              <w:numPr>
                <w:ilvl w:val="0"/>
                <w:numId w:val="21"/>
              </w:numPr>
              <w:spacing w:before="120"/>
              <w:jc w:val="both"/>
              <w:rPr>
                <w:rFonts w:cs="Tahoma"/>
                <w:lang w:eastAsia="fr-FR"/>
              </w:rPr>
            </w:pPr>
            <w:r>
              <w:rPr>
                <w:rFonts w:cs="Tahoma"/>
                <w:lang w:eastAsia="fr-FR"/>
              </w:rPr>
              <w:t>Transactions on regulated market cleared by LCH SA are subject to transformations managed by LCH SA, and will remain so, LCH SA ensuring both the cancellation and the transformation according to CASG rules.</w:t>
            </w:r>
          </w:p>
          <w:p w:rsidR="0097645B" w:rsidRPr="0097645B" w:rsidRDefault="0097645B" w:rsidP="0097645B">
            <w:pPr>
              <w:pStyle w:val="ListParagraph"/>
              <w:numPr>
                <w:ilvl w:val="0"/>
                <w:numId w:val="21"/>
              </w:numPr>
              <w:spacing w:before="120"/>
              <w:jc w:val="both"/>
              <w:rPr>
                <w:rFonts w:cs="Tahoma"/>
                <w:lang w:eastAsia="fr-FR"/>
              </w:rPr>
            </w:pPr>
            <w:r>
              <w:rPr>
                <w:rFonts w:cs="Tahoma"/>
                <w:lang w:eastAsia="fr-FR"/>
              </w:rPr>
              <w:t xml:space="preserve">Settlement instructions mentioned in the Euroclear DSD as excluded from the transformation process: ‘AUTO’, ‘CORP’, ‘COLO’, ‘ISSU’, ‘PLAC’, ‘NETT’, ‘TRPO’, ‘INSP’, TURN’, ‘OWNE’, ‘OWNI’ (*). </w:t>
            </w:r>
            <w:r w:rsidRPr="0097645B">
              <w:rPr>
                <w:rFonts w:cs="Tahoma"/>
                <w:i/>
                <w:lang w:eastAsia="fr-FR"/>
              </w:rPr>
              <w:t>NB</w:t>
            </w:r>
            <w:r>
              <w:rPr>
                <w:rFonts w:cs="Tahoma"/>
                <w:i/>
                <w:lang w:eastAsia="fr-FR"/>
              </w:rPr>
              <w:t>: because of defect #27092 during the test phases, instructions types ‘OWNE’ and ‘OWNI’ are wrongfully not excluded from the transformation process.</w:t>
            </w:r>
          </w:p>
          <w:p w:rsidR="0097645B" w:rsidRDefault="0097645B" w:rsidP="003A7B29">
            <w:pPr>
              <w:spacing w:before="120"/>
              <w:jc w:val="both"/>
              <w:rPr>
                <w:rFonts w:cs="Tahoma"/>
                <w:lang w:eastAsia="fr-FR"/>
              </w:rPr>
            </w:pPr>
            <w:r>
              <w:rPr>
                <w:rFonts w:cs="Tahoma"/>
                <w:u w:val="single"/>
                <w:lang w:eastAsia="fr-FR"/>
              </w:rPr>
              <w:t>Instructions eligible to transformation</w:t>
            </w:r>
            <w:r>
              <w:rPr>
                <w:rFonts w:cs="Tahoma"/>
                <w:lang w:eastAsia="fr-FR"/>
              </w:rPr>
              <w:t>:</w:t>
            </w:r>
          </w:p>
          <w:p w:rsidR="0097645B" w:rsidRPr="0097645B" w:rsidRDefault="0097645B" w:rsidP="0097645B">
            <w:pPr>
              <w:spacing w:before="120"/>
              <w:jc w:val="both"/>
              <w:rPr>
                <w:rFonts w:cs="Tahoma"/>
                <w:lang w:eastAsia="fr-FR"/>
              </w:rPr>
            </w:pPr>
            <w:r w:rsidRPr="0097645B">
              <w:rPr>
                <w:rFonts w:cs="Tahoma"/>
                <w:lang w:eastAsia="fr-FR"/>
              </w:rPr>
              <w:t>Free of Payment with matching, or Delivery Versus Pa</w:t>
            </w:r>
            <w:r w:rsidR="00223D2C">
              <w:rPr>
                <w:rFonts w:cs="Tahoma"/>
                <w:lang w:eastAsia="fr-FR"/>
              </w:rPr>
              <w:t>yment w</w:t>
            </w:r>
            <w:r w:rsidRPr="0097645B">
              <w:rPr>
                <w:rFonts w:cs="Tahoma"/>
                <w:lang w:eastAsia="fr-FR"/>
              </w:rPr>
              <w:t>ith matching:</w:t>
            </w:r>
          </w:p>
          <w:p w:rsidR="0097645B" w:rsidRDefault="0097645B" w:rsidP="0097645B">
            <w:pPr>
              <w:pStyle w:val="ListParagraph"/>
              <w:numPr>
                <w:ilvl w:val="0"/>
                <w:numId w:val="21"/>
              </w:numPr>
              <w:spacing w:before="120"/>
              <w:jc w:val="both"/>
              <w:rPr>
                <w:rFonts w:cs="Tahoma"/>
                <w:lang w:eastAsia="fr-FR"/>
              </w:rPr>
            </w:pPr>
            <w:r>
              <w:rPr>
                <w:rFonts w:cs="Tahoma"/>
                <w:lang w:eastAsia="fr-FR"/>
              </w:rPr>
              <w:t>In ‘matched’ sta</w:t>
            </w:r>
            <w:r w:rsidR="00223D2C">
              <w:rPr>
                <w:rFonts w:cs="Tahoma"/>
                <w:lang w:eastAsia="fr-FR"/>
              </w:rPr>
              <w:t>tus at the time of the Record D</w:t>
            </w:r>
            <w:r>
              <w:rPr>
                <w:rFonts w:cs="Tahoma"/>
                <w:lang w:eastAsia="fr-FR"/>
              </w:rPr>
              <w:t>a</w:t>
            </w:r>
            <w:r w:rsidR="00223D2C">
              <w:rPr>
                <w:rFonts w:cs="Tahoma"/>
                <w:lang w:eastAsia="fr-FR"/>
              </w:rPr>
              <w:t>t</w:t>
            </w:r>
            <w:r>
              <w:rPr>
                <w:rFonts w:cs="Tahoma"/>
                <w:lang w:eastAsia="fr-FR"/>
              </w:rPr>
              <w:t>e (RD) at end of day, “Close of Business” (COB).</w:t>
            </w:r>
          </w:p>
          <w:p w:rsidR="0097645B" w:rsidRDefault="0097645B" w:rsidP="0097645B">
            <w:pPr>
              <w:pStyle w:val="ListParagraph"/>
              <w:numPr>
                <w:ilvl w:val="0"/>
                <w:numId w:val="21"/>
              </w:numPr>
              <w:spacing w:before="120"/>
              <w:jc w:val="both"/>
              <w:rPr>
                <w:rFonts w:cs="Tahoma"/>
                <w:lang w:eastAsia="fr-FR"/>
              </w:rPr>
            </w:pPr>
            <w:r>
              <w:rPr>
                <w:rFonts w:cs="Tahoma"/>
                <w:lang w:eastAsia="fr-FR"/>
              </w:rPr>
              <w:t>With a Trade Date (TD) or on before the RD, whatever their intended settlement date (ISD) and of which the actual settlement date (ASD) is not on or before to RD COB.</w:t>
            </w:r>
          </w:p>
          <w:p w:rsidR="0097645B" w:rsidRPr="0097645B" w:rsidRDefault="0097645B" w:rsidP="0097645B">
            <w:pPr>
              <w:pStyle w:val="ListParagraph"/>
              <w:numPr>
                <w:ilvl w:val="0"/>
                <w:numId w:val="21"/>
              </w:numPr>
              <w:spacing w:before="120"/>
              <w:jc w:val="both"/>
              <w:rPr>
                <w:rFonts w:cs="Tahoma"/>
                <w:lang w:eastAsia="fr-FR"/>
              </w:rPr>
            </w:pPr>
            <w:r>
              <w:rPr>
                <w:rFonts w:cs="Tahoma"/>
                <w:lang w:eastAsia="fr-FR"/>
              </w:rPr>
              <w:t>Without the OPT-OUT indicator (**).</w:t>
            </w:r>
          </w:p>
          <w:p w:rsidR="0097645B" w:rsidRPr="0097645B" w:rsidRDefault="0097645B" w:rsidP="003A7B29">
            <w:pPr>
              <w:spacing w:before="120"/>
              <w:jc w:val="both"/>
              <w:rPr>
                <w:rFonts w:cs="Tahoma"/>
                <w:i/>
                <w:sz w:val="18"/>
                <w:lang w:eastAsia="fr-FR"/>
              </w:rPr>
            </w:pPr>
            <w:r w:rsidRPr="0097645B">
              <w:rPr>
                <w:rFonts w:cs="Tahoma"/>
                <w:i/>
                <w:sz w:val="18"/>
                <w:lang w:eastAsia="fr-FR"/>
              </w:rPr>
              <w:t>(*)</w:t>
            </w:r>
            <w:r>
              <w:rPr>
                <w:rFonts w:cs="Tahoma"/>
                <w:i/>
                <w:sz w:val="18"/>
                <w:lang w:eastAsia="fr-FR"/>
              </w:rPr>
              <w:t xml:space="preserve"> </w:t>
            </w:r>
            <w:r w:rsidR="002B7106">
              <w:rPr>
                <w:rFonts w:cs="Tahoma"/>
                <w:i/>
                <w:sz w:val="18"/>
                <w:lang w:eastAsia="fr-FR"/>
              </w:rPr>
              <w:t xml:space="preserve">No configuration should normally lead to the processing of market claims for this type of </w:t>
            </w:r>
            <w:r w:rsidR="002B7106">
              <w:rPr>
                <w:rFonts w:cs="Tahoma"/>
                <w:i/>
                <w:sz w:val="18"/>
                <w:lang w:eastAsia="fr-FR"/>
              </w:rPr>
              <w:lastRenderedPageBreak/>
              <w:t>instruction</w:t>
            </w:r>
          </w:p>
          <w:p w:rsidR="0097645B" w:rsidRPr="0097645B" w:rsidRDefault="0097645B" w:rsidP="003A7B29">
            <w:pPr>
              <w:spacing w:before="120"/>
              <w:jc w:val="both"/>
              <w:rPr>
                <w:rFonts w:cs="Tahoma"/>
                <w:i/>
                <w:sz w:val="18"/>
                <w:lang w:eastAsia="fr-FR"/>
              </w:rPr>
            </w:pPr>
            <w:r w:rsidRPr="0097645B">
              <w:rPr>
                <w:rFonts w:cs="Tahoma"/>
                <w:i/>
                <w:sz w:val="18"/>
                <w:lang w:eastAsia="fr-FR"/>
              </w:rPr>
              <w:t>(**)</w:t>
            </w:r>
            <w:r w:rsidR="002B7106">
              <w:rPr>
                <w:rFonts w:cs="Tahoma"/>
                <w:i/>
                <w:sz w:val="18"/>
                <w:lang w:eastAsia="fr-FR"/>
              </w:rPr>
              <w:t xml:space="preserve"> The OPT-OUT indicator being defined as ‘NOMC’ mentioned on the underlying instruction.</w:t>
            </w:r>
          </w:p>
          <w:p w:rsidR="0097645B" w:rsidRDefault="0097645B" w:rsidP="003A7B29">
            <w:pPr>
              <w:spacing w:before="120"/>
              <w:jc w:val="both"/>
              <w:rPr>
                <w:rFonts w:cs="Tahoma"/>
                <w:lang w:eastAsia="fr-FR"/>
              </w:rPr>
            </w:pPr>
          </w:p>
          <w:p w:rsidR="002B7106" w:rsidRDefault="002B7106" w:rsidP="003A7B29">
            <w:pPr>
              <w:spacing w:before="120"/>
              <w:jc w:val="both"/>
              <w:rPr>
                <w:rFonts w:cs="Tahoma"/>
                <w:lang w:eastAsia="fr-FR"/>
              </w:rPr>
            </w:pPr>
            <w:r>
              <w:rPr>
                <w:rFonts w:cs="Tahoma"/>
                <w:lang w:eastAsia="fr-FR"/>
              </w:rPr>
              <w:t>NB: CUM/EX indicators are not applicable to transformations. If they are mentioned on the underlying instructions, they should be ignored.</w:t>
            </w:r>
          </w:p>
          <w:p w:rsidR="002B7106" w:rsidRDefault="002B7106" w:rsidP="003A7B29">
            <w:pPr>
              <w:spacing w:before="120"/>
              <w:jc w:val="both"/>
              <w:rPr>
                <w:rFonts w:cs="Tahoma"/>
                <w:lang w:eastAsia="fr-FR"/>
              </w:rPr>
            </w:pPr>
          </w:p>
          <w:p w:rsidR="002B7106" w:rsidRDefault="002B7106" w:rsidP="003A7B29">
            <w:pPr>
              <w:spacing w:before="120"/>
              <w:jc w:val="both"/>
              <w:rPr>
                <w:rFonts w:cs="Tahoma"/>
                <w:lang w:eastAsia="fr-FR"/>
              </w:rPr>
            </w:pPr>
            <w:r w:rsidRPr="002B7106">
              <w:rPr>
                <w:rFonts w:cs="Tahoma"/>
                <w:u w:val="single"/>
                <w:lang w:eastAsia="fr-FR"/>
              </w:rPr>
              <w:t>Eligibility rules to ensure the generation of transformations</w:t>
            </w:r>
            <w:r>
              <w:rPr>
                <w:rFonts w:cs="Tahoma"/>
                <w:lang w:eastAsia="fr-FR"/>
              </w:rPr>
              <w:t>:</w:t>
            </w:r>
          </w:p>
          <w:p w:rsidR="00617D97" w:rsidRPr="00617D97" w:rsidRDefault="00617D97" w:rsidP="003A7B29">
            <w:pPr>
              <w:spacing w:before="120"/>
              <w:jc w:val="both"/>
              <w:rPr>
                <w:rFonts w:cs="Tahoma"/>
                <w:sz w:val="10"/>
                <w:szCs w:val="10"/>
                <w:lang w:eastAsia="fr-FR"/>
              </w:rPr>
            </w:pPr>
          </w:p>
          <w:tbl>
            <w:tblPr>
              <w:tblStyle w:val="TableGrid"/>
              <w:tblW w:w="0" w:type="auto"/>
              <w:tblLook w:val="04A0" w:firstRow="1" w:lastRow="0" w:firstColumn="1" w:lastColumn="0" w:noHBand="0" w:noVBand="1"/>
            </w:tblPr>
            <w:tblGrid>
              <w:gridCol w:w="1131"/>
              <w:gridCol w:w="1130"/>
              <w:gridCol w:w="1161"/>
              <w:gridCol w:w="1178"/>
              <w:gridCol w:w="1178"/>
              <w:gridCol w:w="1479"/>
            </w:tblGrid>
            <w:tr w:rsidR="00617D97" w:rsidRPr="00617D97" w:rsidTr="006F4569">
              <w:tc>
                <w:tcPr>
                  <w:tcW w:w="1208" w:type="dxa"/>
                  <w:shd w:val="clear" w:color="auto" w:fill="DDD9C3" w:themeFill="background2" w:themeFillShade="E6"/>
                </w:tcPr>
                <w:p w:rsidR="00617D97" w:rsidRPr="00617D97" w:rsidRDefault="00617D97" w:rsidP="00617D97">
                  <w:pPr>
                    <w:spacing w:before="120"/>
                    <w:jc w:val="center"/>
                    <w:rPr>
                      <w:rFonts w:cs="Tahoma"/>
                      <w:b/>
                      <w:sz w:val="20"/>
                      <w:lang w:eastAsia="fr-FR"/>
                    </w:rPr>
                  </w:pPr>
                  <w:r w:rsidRPr="00617D97">
                    <w:rPr>
                      <w:rFonts w:cs="Tahoma"/>
                      <w:b/>
                      <w:sz w:val="20"/>
                      <w:lang w:eastAsia="fr-FR"/>
                    </w:rPr>
                    <w:t>Case</w:t>
                  </w:r>
                </w:p>
              </w:tc>
              <w:tc>
                <w:tcPr>
                  <w:tcW w:w="1208" w:type="dxa"/>
                  <w:shd w:val="clear" w:color="auto" w:fill="DDD9C3" w:themeFill="background2" w:themeFillShade="E6"/>
                </w:tcPr>
                <w:p w:rsidR="00617D97" w:rsidRPr="00617D97" w:rsidRDefault="00617D97" w:rsidP="00617D97">
                  <w:pPr>
                    <w:spacing w:before="120"/>
                    <w:jc w:val="center"/>
                    <w:rPr>
                      <w:rFonts w:cs="Tahoma"/>
                      <w:b/>
                      <w:sz w:val="20"/>
                      <w:lang w:eastAsia="fr-FR"/>
                    </w:rPr>
                  </w:pPr>
                  <w:r w:rsidRPr="00617D97">
                    <w:rPr>
                      <w:rFonts w:cs="Tahoma"/>
                      <w:b/>
                      <w:sz w:val="20"/>
                      <w:lang w:eastAsia="fr-FR"/>
                    </w:rPr>
                    <w:t>TD &lt;or= RD</w:t>
                  </w:r>
                </w:p>
              </w:tc>
              <w:tc>
                <w:tcPr>
                  <w:tcW w:w="1209" w:type="dxa"/>
                  <w:shd w:val="clear" w:color="auto" w:fill="DDD9C3" w:themeFill="background2" w:themeFillShade="E6"/>
                </w:tcPr>
                <w:p w:rsidR="00617D97" w:rsidRPr="00617D97" w:rsidRDefault="00617D97" w:rsidP="00617D97">
                  <w:pPr>
                    <w:spacing w:before="120"/>
                    <w:jc w:val="center"/>
                    <w:rPr>
                      <w:rFonts w:cs="Tahoma"/>
                      <w:b/>
                      <w:sz w:val="20"/>
                      <w:lang w:eastAsia="fr-FR"/>
                    </w:rPr>
                  </w:pPr>
                  <w:r w:rsidRPr="00617D97">
                    <w:rPr>
                      <w:rFonts w:cs="Tahoma"/>
                      <w:b/>
                      <w:sz w:val="20"/>
                      <w:lang w:eastAsia="fr-FR"/>
                    </w:rPr>
                    <w:t>ASD &lt;or=RD</w:t>
                  </w:r>
                </w:p>
              </w:tc>
              <w:tc>
                <w:tcPr>
                  <w:tcW w:w="1209" w:type="dxa"/>
                  <w:shd w:val="clear" w:color="auto" w:fill="DDD9C3" w:themeFill="background2" w:themeFillShade="E6"/>
                </w:tcPr>
                <w:p w:rsidR="00617D97" w:rsidRPr="00617D97" w:rsidRDefault="00617D97" w:rsidP="00617D97">
                  <w:pPr>
                    <w:spacing w:before="120"/>
                    <w:jc w:val="center"/>
                    <w:rPr>
                      <w:rFonts w:cs="Tahoma"/>
                      <w:b/>
                      <w:sz w:val="20"/>
                      <w:lang w:eastAsia="fr-FR"/>
                    </w:rPr>
                  </w:pPr>
                  <w:r w:rsidRPr="00617D97">
                    <w:rPr>
                      <w:rFonts w:cs="Tahoma"/>
                      <w:b/>
                      <w:sz w:val="20"/>
                      <w:lang w:eastAsia="fr-FR"/>
                    </w:rPr>
                    <w:t>OPT-OUT Indicator</w:t>
                  </w:r>
                </w:p>
              </w:tc>
              <w:tc>
                <w:tcPr>
                  <w:tcW w:w="1209" w:type="dxa"/>
                  <w:shd w:val="clear" w:color="auto" w:fill="DDD9C3" w:themeFill="background2" w:themeFillShade="E6"/>
                </w:tcPr>
                <w:p w:rsidR="00617D97" w:rsidRPr="00617D97" w:rsidRDefault="00617D97" w:rsidP="00617D97">
                  <w:pPr>
                    <w:spacing w:before="120"/>
                    <w:jc w:val="center"/>
                    <w:rPr>
                      <w:rFonts w:cs="Tahoma"/>
                      <w:b/>
                      <w:sz w:val="20"/>
                      <w:lang w:eastAsia="fr-FR"/>
                    </w:rPr>
                  </w:pPr>
                  <w:r w:rsidRPr="00617D97">
                    <w:rPr>
                      <w:rFonts w:cs="Tahoma"/>
                      <w:b/>
                      <w:sz w:val="20"/>
                      <w:lang w:eastAsia="fr-FR"/>
                    </w:rPr>
                    <w:t>CUM/EX Indicator</w:t>
                  </w:r>
                </w:p>
              </w:tc>
              <w:tc>
                <w:tcPr>
                  <w:tcW w:w="1209" w:type="dxa"/>
                  <w:shd w:val="clear" w:color="auto" w:fill="DDD9C3" w:themeFill="background2" w:themeFillShade="E6"/>
                </w:tcPr>
                <w:p w:rsidR="00617D97" w:rsidRPr="00617D97" w:rsidRDefault="00617D97" w:rsidP="00617D97">
                  <w:pPr>
                    <w:spacing w:before="120"/>
                    <w:jc w:val="center"/>
                    <w:rPr>
                      <w:rFonts w:cs="Tahoma"/>
                      <w:b/>
                      <w:sz w:val="20"/>
                      <w:lang w:eastAsia="fr-FR"/>
                    </w:rPr>
                  </w:pPr>
                  <w:r w:rsidRPr="00617D97">
                    <w:rPr>
                      <w:rFonts w:cs="Tahoma"/>
                      <w:b/>
                      <w:sz w:val="20"/>
                      <w:lang w:eastAsia="fr-FR"/>
                    </w:rPr>
                    <w:t>Creation of a transformation</w:t>
                  </w:r>
                </w:p>
              </w:tc>
            </w:tr>
            <w:tr w:rsidR="00617D97" w:rsidRPr="00617D97" w:rsidTr="00617D97">
              <w:tc>
                <w:tcPr>
                  <w:tcW w:w="1208" w:type="dxa"/>
                </w:tcPr>
                <w:p w:rsidR="00617D97" w:rsidRPr="00617D97" w:rsidRDefault="00617D97" w:rsidP="00617D97">
                  <w:pPr>
                    <w:spacing w:before="120"/>
                    <w:jc w:val="center"/>
                    <w:rPr>
                      <w:rFonts w:cs="Tahoma"/>
                      <w:sz w:val="20"/>
                      <w:lang w:eastAsia="fr-FR"/>
                    </w:rPr>
                  </w:pPr>
                  <w:r>
                    <w:rPr>
                      <w:rFonts w:cs="Tahoma"/>
                      <w:sz w:val="20"/>
                      <w:lang w:eastAsia="fr-FR"/>
                    </w:rPr>
                    <w:t>1</w:t>
                  </w:r>
                </w:p>
              </w:tc>
              <w:tc>
                <w:tcPr>
                  <w:tcW w:w="1208" w:type="dxa"/>
                </w:tcPr>
                <w:p w:rsidR="00617D97" w:rsidRPr="00617D97" w:rsidRDefault="00617D97" w:rsidP="00617D97">
                  <w:pPr>
                    <w:spacing w:before="120"/>
                    <w:jc w:val="center"/>
                    <w:rPr>
                      <w:rFonts w:cs="Tahoma"/>
                      <w:sz w:val="20"/>
                      <w:lang w:eastAsia="fr-FR"/>
                    </w:rPr>
                  </w:pPr>
                  <w:r>
                    <w:rPr>
                      <w:rFonts w:cs="Tahoma"/>
                      <w:sz w:val="20"/>
                      <w:lang w:eastAsia="fr-FR"/>
                    </w:rPr>
                    <w:t>Yes</w:t>
                  </w:r>
                </w:p>
              </w:tc>
              <w:tc>
                <w:tcPr>
                  <w:tcW w:w="1209" w:type="dxa"/>
                </w:tcPr>
                <w:p w:rsidR="00617D97" w:rsidRPr="00617D97" w:rsidRDefault="00617D97" w:rsidP="00617D97">
                  <w:pPr>
                    <w:spacing w:before="120"/>
                    <w:jc w:val="center"/>
                    <w:rPr>
                      <w:rFonts w:cs="Tahoma"/>
                      <w:sz w:val="20"/>
                      <w:lang w:eastAsia="fr-FR"/>
                    </w:rPr>
                  </w:pPr>
                  <w:r>
                    <w:rPr>
                      <w:rFonts w:cs="Tahoma"/>
                      <w:sz w:val="20"/>
                      <w:lang w:eastAsia="fr-FR"/>
                    </w:rPr>
                    <w:t>Yes</w:t>
                  </w:r>
                </w:p>
              </w:tc>
              <w:tc>
                <w:tcPr>
                  <w:tcW w:w="1209" w:type="dxa"/>
                </w:tcPr>
                <w:p w:rsidR="00617D97" w:rsidRPr="00617D97" w:rsidRDefault="00617D97" w:rsidP="00617D97">
                  <w:pPr>
                    <w:spacing w:before="120"/>
                    <w:jc w:val="center"/>
                    <w:rPr>
                      <w:rFonts w:cs="Tahoma"/>
                      <w:sz w:val="20"/>
                      <w:lang w:eastAsia="fr-FR"/>
                    </w:rPr>
                  </w:pPr>
                  <w:r>
                    <w:rPr>
                      <w:rFonts w:cs="Tahoma"/>
                      <w:sz w:val="20"/>
                      <w:lang w:eastAsia="fr-FR"/>
                    </w:rPr>
                    <w:t>No</w:t>
                  </w:r>
                </w:p>
              </w:tc>
              <w:tc>
                <w:tcPr>
                  <w:tcW w:w="1209" w:type="dxa"/>
                </w:tcPr>
                <w:p w:rsidR="00617D97" w:rsidRPr="00617D97" w:rsidRDefault="00617D97" w:rsidP="00617D97">
                  <w:pPr>
                    <w:spacing w:before="120"/>
                    <w:jc w:val="center"/>
                    <w:rPr>
                      <w:rFonts w:cs="Tahoma"/>
                      <w:sz w:val="20"/>
                      <w:lang w:eastAsia="fr-FR"/>
                    </w:rPr>
                  </w:pPr>
                  <w:r>
                    <w:rPr>
                      <w:rFonts w:cs="Tahoma"/>
                      <w:sz w:val="20"/>
                      <w:lang w:eastAsia="fr-FR"/>
                    </w:rPr>
                    <w:t>N/A</w:t>
                  </w:r>
                </w:p>
              </w:tc>
              <w:tc>
                <w:tcPr>
                  <w:tcW w:w="1209" w:type="dxa"/>
                </w:tcPr>
                <w:p w:rsidR="00617D97" w:rsidRPr="00617D97" w:rsidRDefault="00617D97" w:rsidP="00617D97">
                  <w:pPr>
                    <w:spacing w:before="120"/>
                    <w:jc w:val="center"/>
                    <w:rPr>
                      <w:rFonts w:cs="Tahoma"/>
                      <w:sz w:val="20"/>
                      <w:lang w:eastAsia="fr-FR"/>
                    </w:rPr>
                  </w:pPr>
                  <w:r>
                    <w:rPr>
                      <w:rFonts w:cs="Tahoma"/>
                      <w:sz w:val="20"/>
                      <w:lang w:eastAsia="fr-FR"/>
                    </w:rPr>
                    <w:t>No</w:t>
                  </w:r>
                </w:p>
              </w:tc>
            </w:tr>
            <w:tr w:rsidR="00617D97" w:rsidRPr="00617D97" w:rsidTr="00617D97">
              <w:tc>
                <w:tcPr>
                  <w:tcW w:w="1208" w:type="dxa"/>
                </w:tcPr>
                <w:p w:rsidR="00617D97" w:rsidRDefault="00617D97" w:rsidP="00617D97">
                  <w:pPr>
                    <w:spacing w:before="120"/>
                    <w:jc w:val="center"/>
                    <w:rPr>
                      <w:rFonts w:cs="Tahoma"/>
                      <w:sz w:val="20"/>
                      <w:lang w:eastAsia="fr-FR"/>
                    </w:rPr>
                  </w:pPr>
                  <w:r>
                    <w:rPr>
                      <w:rFonts w:cs="Tahoma"/>
                      <w:sz w:val="20"/>
                      <w:lang w:eastAsia="fr-FR"/>
                    </w:rPr>
                    <w:t>2</w:t>
                  </w:r>
                </w:p>
              </w:tc>
              <w:tc>
                <w:tcPr>
                  <w:tcW w:w="1208" w:type="dxa"/>
                </w:tcPr>
                <w:p w:rsidR="00617D97" w:rsidRPr="00617D97" w:rsidRDefault="00617D97" w:rsidP="00617D97">
                  <w:pPr>
                    <w:spacing w:before="120"/>
                    <w:jc w:val="center"/>
                    <w:rPr>
                      <w:rFonts w:cs="Tahoma"/>
                      <w:sz w:val="20"/>
                      <w:lang w:eastAsia="fr-FR"/>
                    </w:rPr>
                  </w:pPr>
                  <w:r>
                    <w:rPr>
                      <w:rFonts w:cs="Tahoma"/>
                      <w:sz w:val="20"/>
                      <w:lang w:eastAsia="fr-FR"/>
                    </w:rPr>
                    <w:t>Yes</w:t>
                  </w:r>
                </w:p>
              </w:tc>
              <w:tc>
                <w:tcPr>
                  <w:tcW w:w="1209" w:type="dxa"/>
                </w:tcPr>
                <w:p w:rsidR="00617D97" w:rsidRPr="00617D97" w:rsidRDefault="00617D97" w:rsidP="00617D97">
                  <w:pPr>
                    <w:spacing w:before="120"/>
                    <w:jc w:val="center"/>
                    <w:rPr>
                      <w:rFonts w:cs="Tahoma"/>
                      <w:sz w:val="20"/>
                      <w:lang w:eastAsia="fr-FR"/>
                    </w:rPr>
                  </w:pPr>
                  <w:r>
                    <w:rPr>
                      <w:rFonts w:cs="Tahoma"/>
                      <w:sz w:val="20"/>
                      <w:lang w:eastAsia="fr-FR"/>
                    </w:rPr>
                    <w:t>No</w:t>
                  </w:r>
                </w:p>
              </w:tc>
              <w:tc>
                <w:tcPr>
                  <w:tcW w:w="1209" w:type="dxa"/>
                </w:tcPr>
                <w:p w:rsidR="00617D97" w:rsidRPr="00617D97" w:rsidRDefault="00617D97" w:rsidP="00617D97">
                  <w:pPr>
                    <w:spacing w:before="120"/>
                    <w:jc w:val="center"/>
                    <w:rPr>
                      <w:rFonts w:cs="Tahoma"/>
                      <w:sz w:val="20"/>
                      <w:lang w:eastAsia="fr-FR"/>
                    </w:rPr>
                  </w:pPr>
                  <w:r>
                    <w:rPr>
                      <w:rFonts w:cs="Tahoma"/>
                      <w:sz w:val="20"/>
                      <w:lang w:eastAsia="fr-FR"/>
                    </w:rPr>
                    <w:t>No</w:t>
                  </w:r>
                </w:p>
              </w:tc>
              <w:tc>
                <w:tcPr>
                  <w:tcW w:w="1209" w:type="dxa"/>
                </w:tcPr>
                <w:p w:rsidR="00617D97" w:rsidRPr="00617D97" w:rsidRDefault="00617D97" w:rsidP="00617D97">
                  <w:pPr>
                    <w:spacing w:before="120"/>
                    <w:jc w:val="center"/>
                    <w:rPr>
                      <w:rFonts w:cs="Tahoma"/>
                      <w:sz w:val="20"/>
                      <w:lang w:eastAsia="fr-FR"/>
                    </w:rPr>
                  </w:pPr>
                  <w:r>
                    <w:rPr>
                      <w:rFonts w:cs="Tahoma"/>
                      <w:sz w:val="20"/>
                      <w:lang w:eastAsia="fr-FR"/>
                    </w:rPr>
                    <w:t>N/A</w:t>
                  </w:r>
                </w:p>
              </w:tc>
              <w:tc>
                <w:tcPr>
                  <w:tcW w:w="1209" w:type="dxa"/>
                </w:tcPr>
                <w:p w:rsidR="00617D97" w:rsidRPr="00617D97" w:rsidRDefault="00617D97" w:rsidP="00617D97">
                  <w:pPr>
                    <w:spacing w:before="120"/>
                    <w:jc w:val="center"/>
                    <w:rPr>
                      <w:rFonts w:cs="Tahoma"/>
                      <w:sz w:val="20"/>
                      <w:lang w:eastAsia="fr-FR"/>
                    </w:rPr>
                  </w:pPr>
                  <w:r>
                    <w:rPr>
                      <w:rFonts w:cs="Tahoma"/>
                      <w:sz w:val="20"/>
                      <w:lang w:eastAsia="fr-FR"/>
                    </w:rPr>
                    <w:t>Yes</w:t>
                  </w:r>
                </w:p>
              </w:tc>
            </w:tr>
            <w:tr w:rsidR="00617D97" w:rsidRPr="00617D97" w:rsidTr="00617D97">
              <w:tc>
                <w:tcPr>
                  <w:tcW w:w="1208" w:type="dxa"/>
                </w:tcPr>
                <w:p w:rsidR="00617D97" w:rsidRDefault="00617D97" w:rsidP="00617D97">
                  <w:pPr>
                    <w:spacing w:before="120"/>
                    <w:jc w:val="center"/>
                    <w:rPr>
                      <w:rFonts w:cs="Tahoma"/>
                      <w:sz w:val="20"/>
                      <w:lang w:eastAsia="fr-FR"/>
                    </w:rPr>
                  </w:pPr>
                  <w:r>
                    <w:rPr>
                      <w:rFonts w:cs="Tahoma"/>
                      <w:sz w:val="20"/>
                      <w:lang w:eastAsia="fr-FR"/>
                    </w:rPr>
                    <w:t>3</w:t>
                  </w:r>
                </w:p>
              </w:tc>
              <w:tc>
                <w:tcPr>
                  <w:tcW w:w="1208" w:type="dxa"/>
                </w:tcPr>
                <w:p w:rsidR="00617D97" w:rsidRPr="00617D97" w:rsidRDefault="00617D97" w:rsidP="00617D97">
                  <w:pPr>
                    <w:spacing w:before="120"/>
                    <w:jc w:val="center"/>
                    <w:rPr>
                      <w:rFonts w:cs="Tahoma"/>
                      <w:sz w:val="20"/>
                      <w:lang w:eastAsia="fr-FR"/>
                    </w:rPr>
                  </w:pPr>
                  <w:r>
                    <w:rPr>
                      <w:rFonts w:cs="Tahoma"/>
                      <w:sz w:val="20"/>
                      <w:lang w:eastAsia="fr-FR"/>
                    </w:rPr>
                    <w:t>Yes</w:t>
                  </w:r>
                </w:p>
              </w:tc>
              <w:tc>
                <w:tcPr>
                  <w:tcW w:w="1209" w:type="dxa"/>
                </w:tcPr>
                <w:p w:rsidR="00617D97" w:rsidRPr="00617D97" w:rsidRDefault="00617D97" w:rsidP="00617D97">
                  <w:pPr>
                    <w:spacing w:before="120"/>
                    <w:jc w:val="center"/>
                    <w:rPr>
                      <w:rFonts w:cs="Tahoma"/>
                      <w:sz w:val="20"/>
                      <w:lang w:eastAsia="fr-FR"/>
                    </w:rPr>
                  </w:pPr>
                  <w:r>
                    <w:rPr>
                      <w:rFonts w:cs="Tahoma"/>
                      <w:sz w:val="20"/>
                      <w:lang w:eastAsia="fr-FR"/>
                    </w:rPr>
                    <w:t>Yes</w:t>
                  </w:r>
                </w:p>
              </w:tc>
              <w:tc>
                <w:tcPr>
                  <w:tcW w:w="1209" w:type="dxa"/>
                </w:tcPr>
                <w:p w:rsidR="00617D97" w:rsidRPr="00617D97" w:rsidRDefault="00617D97" w:rsidP="00617D97">
                  <w:pPr>
                    <w:spacing w:before="120"/>
                    <w:jc w:val="center"/>
                    <w:rPr>
                      <w:rFonts w:cs="Tahoma"/>
                      <w:sz w:val="20"/>
                      <w:lang w:eastAsia="fr-FR"/>
                    </w:rPr>
                  </w:pPr>
                  <w:r>
                    <w:rPr>
                      <w:rFonts w:cs="Tahoma"/>
                      <w:sz w:val="20"/>
                      <w:lang w:eastAsia="fr-FR"/>
                    </w:rPr>
                    <w:t>Yes</w:t>
                  </w:r>
                </w:p>
              </w:tc>
              <w:tc>
                <w:tcPr>
                  <w:tcW w:w="1209" w:type="dxa"/>
                </w:tcPr>
                <w:p w:rsidR="00617D97" w:rsidRPr="00617D97" w:rsidRDefault="00617D97" w:rsidP="00617D97">
                  <w:pPr>
                    <w:spacing w:before="120"/>
                    <w:jc w:val="center"/>
                    <w:rPr>
                      <w:rFonts w:cs="Tahoma"/>
                      <w:sz w:val="20"/>
                      <w:lang w:eastAsia="fr-FR"/>
                    </w:rPr>
                  </w:pPr>
                  <w:r>
                    <w:rPr>
                      <w:rFonts w:cs="Tahoma"/>
                      <w:sz w:val="20"/>
                      <w:lang w:eastAsia="fr-FR"/>
                    </w:rPr>
                    <w:t>N/A</w:t>
                  </w:r>
                </w:p>
              </w:tc>
              <w:tc>
                <w:tcPr>
                  <w:tcW w:w="1209" w:type="dxa"/>
                </w:tcPr>
                <w:p w:rsidR="00617D97" w:rsidRPr="00617D97" w:rsidRDefault="00617D97" w:rsidP="00617D97">
                  <w:pPr>
                    <w:spacing w:before="120"/>
                    <w:jc w:val="center"/>
                    <w:rPr>
                      <w:rFonts w:cs="Tahoma"/>
                      <w:sz w:val="20"/>
                      <w:lang w:eastAsia="fr-FR"/>
                    </w:rPr>
                  </w:pPr>
                  <w:r>
                    <w:rPr>
                      <w:rFonts w:cs="Tahoma"/>
                      <w:sz w:val="20"/>
                      <w:lang w:eastAsia="fr-FR"/>
                    </w:rPr>
                    <w:t>No</w:t>
                  </w:r>
                </w:p>
              </w:tc>
            </w:tr>
            <w:tr w:rsidR="00617D97" w:rsidRPr="00617D97" w:rsidTr="00617D97">
              <w:tc>
                <w:tcPr>
                  <w:tcW w:w="1208" w:type="dxa"/>
                </w:tcPr>
                <w:p w:rsidR="00617D97" w:rsidRDefault="00617D97" w:rsidP="00617D97">
                  <w:pPr>
                    <w:spacing w:before="120"/>
                    <w:jc w:val="center"/>
                    <w:rPr>
                      <w:rFonts w:cs="Tahoma"/>
                      <w:sz w:val="20"/>
                      <w:lang w:eastAsia="fr-FR"/>
                    </w:rPr>
                  </w:pPr>
                  <w:r>
                    <w:rPr>
                      <w:rFonts w:cs="Tahoma"/>
                      <w:sz w:val="20"/>
                      <w:lang w:eastAsia="fr-FR"/>
                    </w:rPr>
                    <w:t>4</w:t>
                  </w:r>
                </w:p>
              </w:tc>
              <w:tc>
                <w:tcPr>
                  <w:tcW w:w="1208" w:type="dxa"/>
                </w:tcPr>
                <w:p w:rsidR="00617D97" w:rsidRPr="00617D97" w:rsidRDefault="00617D97" w:rsidP="00617D97">
                  <w:pPr>
                    <w:spacing w:before="120"/>
                    <w:jc w:val="center"/>
                    <w:rPr>
                      <w:rFonts w:cs="Tahoma"/>
                      <w:sz w:val="20"/>
                      <w:lang w:eastAsia="fr-FR"/>
                    </w:rPr>
                  </w:pPr>
                  <w:r>
                    <w:rPr>
                      <w:rFonts w:cs="Tahoma"/>
                      <w:sz w:val="20"/>
                      <w:lang w:eastAsia="fr-FR"/>
                    </w:rPr>
                    <w:t>Yes</w:t>
                  </w:r>
                </w:p>
              </w:tc>
              <w:tc>
                <w:tcPr>
                  <w:tcW w:w="1209" w:type="dxa"/>
                </w:tcPr>
                <w:p w:rsidR="00617D97" w:rsidRPr="00617D97" w:rsidRDefault="00617D97" w:rsidP="00617D97">
                  <w:pPr>
                    <w:spacing w:before="120"/>
                    <w:jc w:val="center"/>
                    <w:rPr>
                      <w:rFonts w:cs="Tahoma"/>
                      <w:sz w:val="20"/>
                      <w:lang w:eastAsia="fr-FR"/>
                    </w:rPr>
                  </w:pPr>
                  <w:r>
                    <w:rPr>
                      <w:rFonts w:cs="Tahoma"/>
                      <w:sz w:val="20"/>
                      <w:lang w:eastAsia="fr-FR"/>
                    </w:rPr>
                    <w:t>No</w:t>
                  </w:r>
                </w:p>
              </w:tc>
              <w:tc>
                <w:tcPr>
                  <w:tcW w:w="1209" w:type="dxa"/>
                </w:tcPr>
                <w:p w:rsidR="00617D97" w:rsidRPr="00617D97" w:rsidRDefault="00617D97" w:rsidP="00617D97">
                  <w:pPr>
                    <w:spacing w:before="120"/>
                    <w:jc w:val="center"/>
                    <w:rPr>
                      <w:rFonts w:cs="Tahoma"/>
                      <w:sz w:val="20"/>
                      <w:lang w:eastAsia="fr-FR"/>
                    </w:rPr>
                  </w:pPr>
                  <w:r>
                    <w:rPr>
                      <w:rFonts w:cs="Tahoma"/>
                      <w:sz w:val="20"/>
                      <w:lang w:eastAsia="fr-FR"/>
                    </w:rPr>
                    <w:t>Yes</w:t>
                  </w:r>
                </w:p>
              </w:tc>
              <w:tc>
                <w:tcPr>
                  <w:tcW w:w="1209" w:type="dxa"/>
                </w:tcPr>
                <w:p w:rsidR="00617D97" w:rsidRPr="00617D97" w:rsidRDefault="00617D97" w:rsidP="00617D97">
                  <w:pPr>
                    <w:spacing w:before="120"/>
                    <w:jc w:val="center"/>
                    <w:rPr>
                      <w:rFonts w:cs="Tahoma"/>
                      <w:sz w:val="20"/>
                      <w:lang w:eastAsia="fr-FR"/>
                    </w:rPr>
                  </w:pPr>
                  <w:r>
                    <w:rPr>
                      <w:rFonts w:cs="Tahoma"/>
                      <w:sz w:val="20"/>
                      <w:lang w:eastAsia="fr-FR"/>
                    </w:rPr>
                    <w:t>N/A</w:t>
                  </w:r>
                </w:p>
              </w:tc>
              <w:tc>
                <w:tcPr>
                  <w:tcW w:w="1209" w:type="dxa"/>
                </w:tcPr>
                <w:p w:rsidR="00617D97" w:rsidRPr="00617D97" w:rsidRDefault="00617D97" w:rsidP="00617D97">
                  <w:pPr>
                    <w:spacing w:before="120"/>
                    <w:jc w:val="center"/>
                    <w:rPr>
                      <w:rFonts w:cs="Tahoma"/>
                      <w:sz w:val="20"/>
                      <w:lang w:eastAsia="fr-FR"/>
                    </w:rPr>
                  </w:pPr>
                  <w:r>
                    <w:rPr>
                      <w:rFonts w:cs="Tahoma"/>
                      <w:sz w:val="20"/>
                      <w:lang w:eastAsia="fr-FR"/>
                    </w:rPr>
                    <w:t>Cancellation only</w:t>
                  </w:r>
                </w:p>
              </w:tc>
            </w:tr>
            <w:tr w:rsidR="00617D97" w:rsidRPr="00617D97" w:rsidTr="00617D97">
              <w:tc>
                <w:tcPr>
                  <w:tcW w:w="1208" w:type="dxa"/>
                </w:tcPr>
                <w:p w:rsidR="00617D97" w:rsidRDefault="00617D97" w:rsidP="00617D97">
                  <w:pPr>
                    <w:spacing w:before="120"/>
                    <w:jc w:val="center"/>
                    <w:rPr>
                      <w:rFonts w:cs="Tahoma"/>
                      <w:sz w:val="20"/>
                      <w:lang w:eastAsia="fr-FR"/>
                    </w:rPr>
                  </w:pPr>
                  <w:r>
                    <w:rPr>
                      <w:rFonts w:cs="Tahoma"/>
                      <w:sz w:val="20"/>
                      <w:lang w:eastAsia="fr-FR"/>
                    </w:rPr>
                    <w:t>5</w:t>
                  </w:r>
                </w:p>
              </w:tc>
              <w:tc>
                <w:tcPr>
                  <w:tcW w:w="1208" w:type="dxa"/>
                </w:tcPr>
                <w:p w:rsidR="00617D97" w:rsidRPr="00617D97" w:rsidRDefault="00617D97" w:rsidP="00617D97">
                  <w:pPr>
                    <w:spacing w:before="120"/>
                    <w:jc w:val="center"/>
                    <w:rPr>
                      <w:rFonts w:cs="Tahoma"/>
                      <w:sz w:val="20"/>
                      <w:lang w:eastAsia="fr-FR"/>
                    </w:rPr>
                  </w:pPr>
                  <w:r>
                    <w:rPr>
                      <w:rFonts w:cs="Tahoma"/>
                      <w:sz w:val="20"/>
                      <w:lang w:eastAsia="fr-FR"/>
                    </w:rPr>
                    <w:t>No</w:t>
                  </w:r>
                </w:p>
              </w:tc>
              <w:tc>
                <w:tcPr>
                  <w:tcW w:w="1209" w:type="dxa"/>
                </w:tcPr>
                <w:p w:rsidR="00617D97" w:rsidRPr="00617D97" w:rsidRDefault="00617D97" w:rsidP="00617D97">
                  <w:pPr>
                    <w:spacing w:before="120"/>
                    <w:jc w:val="center"/>
                    <w:rPr>
                      <w:rFonts w:cs="Tahoma"/>
                      <w:sz w:val="20"/>
                      <w:lang w:eastAsia="fr-FR"/>
                    </w:rPr>
                  </w:pPr>
                  <w:r>
                    <w:rPr>
                      <w:rFonts w:cs="Tahoma"/>
                      <w:sz w:val="20"/>
                      <w:lang w:eastAsia="fr-FR"/>
                    </w:rPr>
                    <w:t>No</w:t>
                  </w:r>
                </w:p>
              </w:tc>
              <w:tc>
                <w:tcPr>
                  <w:tcW w:w="1209" w:type="dxa"/>
                </w:tcPr>
                <w:p w:rsidR="00617D97" w:rsidRPr="00617D97" w:rsidRDefault="00617D97" w:rsidP="00617D97">
                  <w:pPr>
                    <w:spacing w:before="120"/>
                    <w:jc w:val="center"/>
                    <w:rPr>
                      <w:rFonts w:cs="Tahoma"/>
                      <w:sz w:val="20"/>
                      <w:lang w:eastAsia="fr-FR"/>
                    </w:rPr>
                  </w:pPr>
                  <w:r>
                    <w:rPr>
                      <w:rFonts w:cs="Tahoma"/>
                      <w:sz w:val="20"/>
                      <w:lang w:eastAsia="fr-FR"/>
                    </w:rPr>
                    <w:t>No</w:t>
                  </w:r>
                </w:p>
              </w:tc>
              <w:tc>
                <w:tcPr>
                  <w:tcW w:w="1209" w:type="dxa"/>
                </w:tcPr>
                <w:p w:rsidR="00617D97" w:rsidRPr="00617D97" w:rsidRDefault="00617D97" w:rsidP="00617D97">
                  <w:pPr>
                    <w:spacing w:before="120"/>
                    <w:jc w:val="center"/>
                    <w:rPr>
                      <w:rFonts w:cs="Tahoma"/>
                      <w:sz w:val="20"/>
                      <w:lang w:eastAsia="fr-FR"/>
                    </w:rPr>
                  </w:pPr>
                  <w:r>
                    <w:rPr>
                      <w:rFonts w:cs="Tahoma"/>
                      <w:sz w:val="20"/>
                      <w:lang w:eastAsia="fr-FR"/>
                    </w:rPr>
                    <w:t>N/A</w:t>
                  </w:r>
                </w:p>
              </w:tc>
              <w:tc>
                <w:tcPr>
                  <w:tcW w:w="1209" w:type="dxa"/>
                </w:tcPr>
                <w:p w:rsidR="00617D97" w:rsidRPr="00617D97" w:rsidRDefault="00617D97" w:rsidP="00617D97">
                  <w:pPr>
                    <w:spacing w:before="120"/>
                    <w:jc w:val="center"/>
                    <w:rPr>
                      <w:rFonts w:cs="Tahoma"/>
                      <w:sz w:val="20"/>
                      <w:lang w:eastAsia="fr-FR"/>
                    </w:rPr>
                  </w:pPr>
                  <w:r>
                    <w:rPr>
                      <w:rFonts w:cs="Tahoma"/>
                      <w:sz w:val="20"/>
                      <w:lang w:eastAsia="fr-FR"/>
                    </w:rPr>
                    <w:t>No</w:t>
                  </w:r>
                </w:p>
              </w:tc>
            </w:tr>
            <w:tr w:rsidR="00617D97" w:rsidRPr="00617D97" w:rsidTr="00617D97">
              <w:tc>
                <w:tcPr>
                  <w:tcW w:w="1208" w:type="dxa"/>
                </w:tcPr>
                <w:p w:rsidR="00617D97" w:rsidRDefault="00617D97" w:rsidP="00617D97">
                  <w:pPr>
                    <w:spacing w:before="120"/>
                    <w:jc w:val="center"/>
                    <w:rPr>
                      <w:rFonts w:cs="Tahoma"/>
                      <w:sz w:val="20"/>
                      <w:lang w:eastAsia="fr-FR"/>
                    </w:rPr>
                  </w:pPr>
                  <w:r>
                    <w:rPr>
                      <w:rFonts w:cs="Tahoma"/>
                      <w:sz w:val="20"/>
                      <w:lang w:eastAsia="fr-FR"/>
                    </w:rPr>
                    <w:t>6</w:t>
                  </w:r>
                </w:p>
              </w:tc>
              <w:tc>
                <w:tcPr>
                  <w:tcW w:w="1208" w:type="dxa"/>
                </w:tcPr>
                <w:p w:rsidR="00617D97" w:rsidRPr="00617D97" w:rsidRDefault="00617D97" w:rsidP="00617D97">
                  <w:pPr>
                    <w:spacing w:before="120"/>
                    <w:jc w:val="center"/>
                    <w:rPr>
                      <w:rFonts w:cs="Tahoma"/>
                      <w:sz w:val="20"/>
                      <w:lang w:eastAsia="fr-FR"/>
                    </w:rPr>
                  </w:pPr>
                  <w:r>
                    <w:rPr>
                      <w:rFonts w:cs="Tahoma"/>
                      <w:sz w:val="20"/>
                      <w:lang w:eastAsia="fr-FR"/>
                    </w:rPr>
                    <w:t>No</w:t>
                  </w:r>
                </w:p>
              </w:tc>
              <w:tc>
                <w:tcPr>
                  <w:tcW w:w="1209" w:type="dxa"/>
                </w:tcPr>
                <w:p w:rsidR="00617D97" w:rsidRPr="00617D97" w:rsidRDefault="00617D97" w:rsidP="00617D97">
                  <w:pPr>
                    <w:spacing w:before="120"/>
                    <w:jc w:val="center"/>
                    <w:rPr>
                      <w:rFonts w:cs="Tahoma"/>
                      <w:sz w:val="20"/>
                      <w:lang w:eastAsia="fr-FR"/>
                    </w:rPr>
                  </w:pPr>
                  <w:r>
                    <w:rPr>
                      <w:rFonts w:cs="Tahoma"/>
                      <w:sz w:val="20"/>
                      <w:lang w:eastAsia="fr-FR"/>
                    </w:rPr>
                    <w:t>No</w:t>
                  </w:r>
                </w:p>
              </w:tc>
              <w:tc>
                <w:tcPr>
                  <w:tcW w:w="1209" w:type="dxa"/>
                </w:tcPr>
                <w:p w:rsidR="00617D97" w:rsidRPr="00617D97" w:rsidRDefault="00617D97" w:rsidP="00617D97">
                  <w:pPr>
                    <w:spacing w:before="120"/>
                    <w:jc w:val="center"/>
                    <w:rPr>
                      <w:rFonts w:cs="Tahoma"/>
                      <w:sz w:val="20"/>
                      <w:lang w:eastAsia="fr-FR"/>
                    </w:rPr>
                  </w:pPr>
                  <w:r>
                    <w:rPr>
                      <w:rFonts w:cs="Tahoma"/>
                      <w:sz w:val="20"/>
                      <w:lang w:eastAsia="fr-FR"/>
                    </w:rPr>
                    <w:t>Yes</w:t>
                  </w:r>
                </w:p>
              </w:tc>
              <w:tc>
                <w:tcPr>
                  <w:tcW w:w="1209" w:type="dxa"/>
                </w:tcPr>
                <w:p w:rsidR="00617D97" w:rsidRPr="00617D97" w:rsidRDefault="00617D97" w:rsidP="00617D97">
                  <w:pPr>
                    <w:spacing w:before="120"/>
                    <w:jc w:val="center"/>
                    <w:rPr>
                      <w:rFonts w:cs="Tahoma"/>
                      <w:sz w:val="20"/>
                      <w:lang w:eastAsia="fr-FR"/>
                    </w:rPr>
                  </w:pPr>
                  <w:r>
                    <w:rPr>
                      <w:rFonts w:cs="Tahoma"/>
                      <w:sz w:val="20"/>
                      <w:lang w:eastAsia="fr-FR"/>
                    </w:rPr>
                    <w:t>N/A</w:t>
                  </w:r>
                </w:p>
              </w:tc>
              <w:tc>
                <w:tcPr>
                  <w:tcW w:w="1209" w:type="dxa"/>
                </w:tcPr>
                <w:p w:rsidR="00617D97" w:rsidRPr="00617D97" w:rsidRDefault="00617D97" w:rsidP="00617D97">
                  <w:pPr>
                    <w:spacing w:before="120"/>
                    <w:jc w:val="center"/>
                    <w:rPr>
                      <w:rFonts w:cs="Tahoma"/>
                      <w:sz w:val="20"/>
                      <w:lang w:eastAsia="fr-FR"/>
                    </w:rPr>
                  </w:pPr>
                  <w:r>
                    <w:rPr>
                      <w:rFonts w:cs="Tahoma"/>
                      <w:sz w:val="20"/>
                      <w:lang w:eastAsia="fr-FR"/>
                    </w:rPr>
                    <w:t>No</w:t>
                  </w:r>
                </w:p>
              </w:tc>
            </w:tr>
          </w:tbl>
          <w:p w:rsidR="0097645B" w:rsidRDefault="0097645B" w:rsidP="003A7B29">
            <w:pPr>
              <w:spacing w:before="120"/>
              <w:jc w:val="both"/>
              <w:rPr>
                <w:rFonts w:cs="Tahoma"/>
                <w:lang w:eastAsia="fr-FR"/>
              </w:rPr>
            </w:pPr>
          </w:p>
          <w:p w:rsidR="005C7194" w:rsidRPr="00821F27" w:rsidRDefault="005C7194" w:rsidP="003A7B29">
            <w:pPr>
              <w:spacing w:before="120"/>
              <w:jc w:val="both"/>
              <w:rPr>
                <w:rFonts w:cs="Tahoma"/>
                <w:b/>
                <w:sz w:val="28"/>
                <w:lang w:eastAsia="fr-FR"/>
              </w:rPr>
            </w:pPr>
            <w:r w:rsidRPr="00821F27">
              <w:rPr>
                <w:rFonts w:cs="Tahoma"/>
                <w:b/>
                <w:sz w:val="28"/>
                <w:lang w:eastAsia="fr-FR"/>
              </w:rPr>
              <w:t>Part One</w:t>
            </w:r>
          </w:p>
          <w:p w:rsidR="002B7106" w:rsidRPr="00821F27" w:rsidRDefault="00821F27" w:rsidP="00821F27">
            <w:pPr>
              <w:spacing w:before="240"/>
              <w:jc w:val="both"/>
              <w:rPr>
                <w:rFonts w:cs="Tahoma"/>
                <w:b/>
                <w:u w:val="single"/>
                <w:lang w:eastAsia="fr-FR"/>
              </w:rPr>
            </w:pPr>
            <w:r w:rsidRPr="00821F27">
              <w:rPr>
                <w:rFonts w:cs="Tahoma"/>
                <w:b/>
                <w:u w:val="single"/>
                <w:lang w:eastAsia="fr-FR"/>
              </w:rPr>
              <w:t>Transformations in securities</w:t>
            </w:r>
          </w:p>
          <w:p w:rsidR="00821F27" w:rsidRDefault="00821F27" w:rsidP="003A7B29">
            <w:pPr>
              <w:spacing w:before="120"/>
              <w:jc w:val="both"/>
              <w:rPr>
                <w:rFonts w:cs="Tahoma"/>
                <w:lang w:eastAsia="fr-FR"/>
              </w:rPr>
            </w:pPr>
            <w:r>
              <w:rPr>
                <w:rFonts w:cs="Tahoma"/>
                <w:lang w:eastAsia="fr-FR"/>
              </w:rPr>
              <w:t>This first part will be dedicated to transformations in securities, included cases of reorganizations with an indemnification of fractions in T2S.</w:t>
            </w:r>
          </w:p>
          <w:p w:rsidR="005C7194" w:rsidRPr="0073357F" w:rsidRDefault="0073357F" w:rsidP="003A7B29">
            <w:pPr>
              <w:spacing w:before="120"/>
              <w:jc w:val="both"/>
              <w:rPr>
                <w:rFonts w:cs="Tahoma"/>
                <w:u w:val="single"/>
                <w:lang w:eastAsia="fr-FR"/>
              </w:rPr>
            </w:pPr>
            <w:r w:rsidRPr="0073357F">
              <w:rPr>
                <w:rFonts w:cs="Tahoma"/>
                <w:u w:val="single"/>
                <w:lang w:eastAsia="fr-FR"/>
              </w:rPr>
              <w:t xml:space="preserve">Scope of </w:t>
            </w:r>
            <w:r w:rsidR="00071BAE">
              <w:rPr>
                <w:rFonts w:cs="Tahoma"/>
                <w:u w:val="single"/>
                <w:lang w:eastAsia="fr-FR"/>
              </w:rPr>
              <w:t>operations</w:t>
            </w:r>
          </w:p>
          <w:p w:rsidR="0097645B" w:rsidRDefault="0073357F" w:rsidP="003A7B29">
            <w:pPr>
              <w:spacing w:before="120"/>
              <w:jc w:val="both"/>
              <w:rPr>
                <w:rFonts w:cs="Tahoma"/>
                <w:lang w:eastAsia="fr-FR"/>
              </w:rPr>
            </w:pPr>
            <w:r>
              <w:rPr>
                <w:rFonts w:cs="Tahoma"/>
                <w:lang w:eastAsia="fr-FR"/>
              </w:rPr>
              <w:t>The below mentioned list is not exhaustive, all corporate action event (CAEV) the settlement of which is due in securities will be subject to the transformation procedure described in the present market practice.</w:t>
            </w:r>
          </w:p>
          <w:p w:rsidR="0073357F" w:rsidRDefault="0073357F" w:rsidP="003A7B29">
            <w:pPr>
              <w:spacing w:before="120"/>
              <w:jc w:val="both"/>
              <w:rPr>
                <w:rFonts w:cs="Tahoma"/>
                <w:lang w:eastAsia="fr-FR"/>
              </w:rPr>
            </w:pPr>
            <w:r>
              <w:rPr>
                <w:rFonts w:cs="Tahoma"/>
                <w:lang w:eastAsia="fr-FR"/>
              </w:rPr>
              <w:t>As examples, the following CAEV can result in transformation in securities:</w:t>
            </w:r>
          </w:p>
          <w:p w:rsidR="0073357F" w:rsidRPr="0073357F" w:rsidRDefault="0073357F" w:rsidP="0073357F">
            <w:pPr>
              <w:pStyle w:val="ListParagraph"/>
              <w:numPr>
                <w:ilvl w:val="0"/>
                <w:numId w:val="23"/>
              </w:numPr>
              <w:jc w:val="both"/>
              <w:rPr>
                <w:rFonts w:eastAsia="MS Mincho" w:cs="Times New Roman"/>
                <w:szCs w:val="32"/>
              </w:rPr>
            </w:pPr>
            <w:r w:rsidRPr="0073357F">
              <w:rPr>
                <w:rFonts w:eastAsia="MS Mincho" w:cs="Times New Roman"/>
                <w:szCs w:val="32"/>
              </w:rPr>
              <w:t>CHAN : Change in the characteristics of the security (</w:t>
            </w:r>
            <w:r>
              <w:rPr>
                <w:rFonts w:eastAsia="MS Mincho" w:cs="Times New Roman"/>
                <w:szCs w:val="32"/>
              </w:rPr>
              <w:t>with change in the ISIN code</w:t>
            </w:r>
            <w:r w:rsidRPr="0073357F">
              <w:rPr>
                <w:rFonts w:eastAsia="MS Mincho" w:cs="Times New Roman"/>
                <w:szCs w:val="32"/>
              </w:rPr>
              <w:t>)</w:t>
            </w:r>
          </w:p>
          <w:p w:rsidR="0073357F" w:rsidRPr="00DD50BE" w:rsidRDefault="0073357F" w:rsidP="0073357F">
            <w:pPr>
              <w:pStyle w:val="ListParagraph"/>
              <w:numPr>
                <w:ilvl w:val="0"/>
                <w:numId w:val="23"/>
              </w:numPr>
              <w:jc w:val="both"/>
              <w:rPr>
                <w:rFonts w:eastAsia="MS Mincho" w:cs="Times New Roman"/>
                <w:szCs w:val="32"/>
                <w:lang w:val="fr-FR"/>
              </w:rPr>
            </w:pPr>
            <w:r w:rsidRPr="00DD50BE">
              <w:rPr>
                <w:rFonts w:eastAsia="MS Mincho" w:cs="Times New Roman"/>
                <w:szCs w:val="32"/>
                <w:lang w:val="fr-FR"/>
              </w:rPr>
              <w:t xml:space="preserve">CONV : </w:t>
            </w:r>
            <w:r>
              <w:rPr>
                <w:rFonts w:eastAsia="MS Mincho" w:cs="Times New Roman"/>
                <w:szCs w:val="32"/>
                <w:lang w:val="fr-FR"/>
              </w:rPr>
              <w:t>C</w:t>
            </w:r>
            <w:r w:rsidRPr="00DD50BE">
              <w:rPr>
                <w:rFonts w:eastAsia="MS Mincho" w:cs="Times New Roman"/>
                <w:szCs w:val="32"/>
                <w:lang w:val="fr-FR"/>
              </w:rPr>
              <w:t xml:space="preserve">onversions </w:t>
            </w:r>
            <w:r>
              <w:rPr>
                <w:rFonts w:eastAsia="MS Mincho" w:cs="Times New Roman"/>
                <w:szCs w:val="32"/>
                <w:lang w:val="fr-FR"/>
              </w:rPr>
              <w:t xml:space="preserve">in </w:t>
            </w:r>
            <w:proofErr w:type="spellStart"/>
            <w:r>
              <w:rPr>
                <w:rFonts w:eastAsia="MS Mincho" w:cs="Times New Roman"/>
                <w:szCs w:val="32"/>
                <w:lang w:val="fr-FR"/>
              </w:rPr>
              <w:t>securities</w:t>
            </w:r>
            <w:proofErr w:type="spellEnd"/>
          </w:p>
          <w:p w:rsidR="0073357F" w:rsidRPr="00DD50BE" w:rsidRDefault="0073357F" w:rsidP="0073357F">
            <w:pPr>
              <w:pStyle w:val="ListParagraph"/>
              <w:numPr>
                <w:ilvl w:val="0"/>
                <w:numId w:val="23"/>
              </w:numPr>
              <w:jc w:val="both"/>
              <w:rPr>
                <w:rFonts w:eastAsia="MS Mincho" w:cs="Times New Roman"/>
                <w:szCs w:val="32"/>
                <w:lang w:val="fr-FR"/>
              </w:rPr>
            </w:pPr>
            <w:r w:rsidRPr="00DD50BE">
              <w:rPr>
                <w:rFonts w:eastAsia="MS Mincho" w:cs="Times New Roman"/>
                <w:szCs w:val="32"/>
                <w:lang w:val="fr-FR"/>
              </w:rPr>
              <w:t>EXOF : E</w:t>
            </w:r>
            <w:r>
              <w:rPr>
                <w:rFonts w:eastAsia="MS Mincho" w:cs="Times New Roman"/>
                <w:szCs w:val="32"/>
                <w:lang w:val="fr-FR"/>
              </w:rPr>
              <w:t>x</w:t>
            </w:r>
            <w:r w:rsidRPr="00DD50BE">
              <w:rPr>
                <w:rFonts w:eastAsia="MS Mincho" w:cs="Times New Roman"/>
                <w:szCs w:val="32"/>
                <w:lang w:val="fr-FR"/>
              </w:rPr>
              <w:t xml:space="preserve">change </w:t>
            </w:r>
            <w:r>
              <w:rPr>
                <w:rFonts w:eastAsia="MS Mincho" w:cs="Times New Roman"/>
                <w:szCs w:val="32"/>
                <w:lang w:val="fr-FR"/>
              </w:rPr>
              <w:t xml:space="preserve">of </w:t>
            </w:r>
            <w:proofErr w:type="spellStart"/>
            <w:r>
              <w:rPr>
                <w:rFonts w:eastAsia="MS Mincho" w:cs="Times New Roman"/>
                <w:szCs w:val="32"/>
                <w:lang w:val="fr-FR"/>
              </w:rPr>
              <w:t>securities</w:t>
            </w:r>
            <w:proofErr w:type="spellEnd"/>
          </w:p>
          <w:p w:rsidR="0073357F" w:rsidRPr="0073357F" w:rsidRDefault="0073357F" w:rsidP="0073357F">
            <w:pPr>
              <w:pStyle w:val="ListParagraph"/>
              <w:numPr>
                <w:ilvl w:val="0"/>
                <w:numId w:val="23"/>
              </w:numPr>
              <w:jc w:val="both"/>
              <w:rPr>
                <w:rFonts w:eastAsia="MS Mincho" w:cs="Times New Roman"/>
                <w:szCs w:val="32"/>
              </w:rPr>
            </w:pPr>
            <w:r w:rsidRPr="0073357F">
              <w:rPr>
                <w:rFonts w:eastAsia="MS Mincho" w:cs="Times New Roman"/>
                <w:szCs w:val="32"/>
              </w:rPr>
              <w:t>EXWA : Warrants exercise (against securities)</w:t>
            </w:r>
          </w:p>
          <w:p w:rsidR="0073357F" w:rsidRPr="00DD50BE" w:rsidRDefault="0073357F" w:rsidP="0073357F">
            <w:pPr>
              <w:pStyle w:val="ListParagraph"/>
              <w:numPr>
                <w:ilvl w:val="0"/>
                <w:numId w:val="23"/>
              </w:numPr>
              <w:jc w:val="both"/>
              <w:rPr>
                <w:rFonts w:eastAsia="MS Mincho" w:cs="Times New Roman"/>
                <w:szCs w:val="32"/>
                <w:lang w:val="fr-FR"/>
              </w:rPr>
            </w:pPr>
            <w:r w:rsidRPr="00DD50BE">
              <w:rPr>
                <w:rFonts w:eastAsia="MS Mincho" w:cs="Times New Roman"/>
                <w:szCs w:val="32"/>
                <w:lang w:val="fr-FR"/>
              </w:rPr>
              <w:t xml:space="preserve">MRGR : </w:t>
            </w:r>
            <w:proofErr w:type="spellStart"/>
            <w:r>
              <w:rPr>
                <w:rFonts w:eastAsia="MS Mincho" w:cs="Times New Roman"/>
                <w:szCs w:val="32"/>
                <w:lang w:val="fr-FR"/>
              </w:rPr>
              <w:t>Mergers</w:t>
            </w:r>
            <w:proofErr w:type="spellEnd"/>
          </w:p>
          <w:p w:rsidR="0073357F" w:rsidRPr="00DD50BE" w:rsidRDefault="0073357F" w:rsidP="0073357F">
            <w:pPr>
              <w:pStyle w:val="ListParagraph"/>
              <w:numPr>
                <w:ilvl w:val="0"/>
                <w:numId w:val="23"/>
              </w:numPr>
              <w:jc w:val="both"/>
              <w:rPr>
                <w:rFonts w:eastAsia="MS Mincho" w:cs="Times New Roman"/>
                <w:szCs w:val="32"/>
                <w:lang w:val="fr-FR"/>
              </w:rPr>
            </w:pPr>
            <w:r w:rsidRPr="00DD50BE">
              <w:rPr>
                <w:rFonts w:eastAsia="MS Mincho" w:cs="Times New Roman"/>
                <w:szCs w:val="32"/>
                <w:lang w:val="fr-FR"/>
              </w:rPr>
              <w:t>PARI : Assimilations</w:t>
            </w:r>
          </w:p>
          <w:p w:rsidR="0073357F" w:rsidRPr="006A4780" w:rsidRDefault="0073357F" w:rsidP="0073357F">
            <w:pPr>
              <w:pStyle w:val="ListParagraph"/>
              <w:numPr>
                <w:ilvl w:val="0"/>
                <w:numId w:val="23"/>
              </w:numPr>
              <w:jc w:val="both"/>
              <w:rPr>
                <w:rFonts w:eastAsia="MS Mincho" w:cs="Times New Roman"/>
                <w:szCs w:val="32"/>
              </w:rPr>
            </w:pPr>
            <w:r w:rsidRPr="006A4780">
              <w:rPr>
                <w:rFonts w:eastAsia="MS Mincho" w:cs="Times New Roman"/>
                <w:szCs w:val="32"/>
              </w:rPr>
              <w:t xml:space="preserve">REDO : Change in the currency of the nominal </w:t>
            </w:r>
          </w:p>
          <w:p w:rsidR="0073357F" w:rsidRPr="00DD50BE" w:rsidRDefault="0073357F" w:rsidP="0073357F">
            <w:pPr>
              <w:pStyle w:val="ListParagraph"/>
              <w:numPr>
                <w:ilvl w:val="0"/>
                <w:numId w:val="23"/>
              </w:numPr>
              <w:jc w:val="both"/>
              <w:rPr>
                <w:rFonts w:eastAsia="MS Mincho" w:cs="Times New Roman"/>
                <w:szCs w:val="32"/>
                <w:lang w:val="fr-FR"/>
              </w:rPr>
            </w:pPr>
            <w:r w:rsidRPr="00DD50BE">
              <w:rPr>
                <w:rFonts w:eastAsia="MS Mincho" w:cs="Times New Roman"/>
                <w:szCs w:val="32"/>
                <w:lang w:val="fr-FR"/>
              </w:rPr>
              <w:t xml:space="preserve">SOFF : </w:t>
            </w:r>
            <w:r>
              <w:rPr>
                <w:rFonts w:eastAsia="MS Mincho" w:cs="Times New Roman"/>
                <w:szCs w:val="32"/>
                <w:lang w:val="fr-FR"/>
              </w:rPr>
              <w:t xml:space="preserve">Split of </w:t>
            </w:r>
            <w:proofErr w:type="spellStart"/>
            <w:r>
              <w:rPr>
                <w:rFonts w:eastAsia="MS Mincho" w:cs="Times New Roman"/>
                <w:szCs w:val="32"/>
                <w:lang w:val="fr-FR"/>
              </w:rPr>
              <w:t>securities</w:t>
            </w:r>
            <w:proofErr w:type="spellEnd"/>
          </w:p>
          <w:p w:rsidR="0073357F" w:rsidRPr="00DD50BE" w:rsidRDefault="0073357F" w:rsidP="0073357F">
            <w:pPr>
              <w:pStyle w:val="ListParagraph"/>
              <w:numPr>
                <w:ilvl w:val="0"/>
                <w:numId w:val="23"/>
              </w:numPr>
              <w:jc w:val="both"/>
              <w:rPr>
                <w:rFonts w:eastAsia="MS Mincho" w:cs="Times New Roman"/>
                <w:szCs w:val="32"/>
                <w:lang w:val="fr-FR"/>
              </w:rPr>
            </w:pPr>
            <w:r w:rsidRPr="00DD50BE">
              <w:rPr>
                <w:rFonts w:eastAsia="MS Mincho" w:cs="Times New Roman"/>
                <w:szCs w:val="32"/>
                <w:lang w:val="fr-FR"/>
              </w:rPr>
              <w:lastRenderedPageBreak/>
              <w:t>SPLF : Divisions</w:t>
            </w:r>
          </w:p>
          <w:p w:rsidR="0073357F" w:rsidRPr="00DD50BE" w:rsidRDefault="0073357F" w:rsidP="0073357F">
            <w:pPr>
              <w:pStyle w:val="ListParagraph"/>
              <w:numPr>
                <w:ilvl w:val="0"/>
                <w:numId w:val="23"/>
              </w:numPr>
              <w:jc w:val="both"/>
              <w:rPr>
                <w:rFonts w:eastAsia="MS Mincho" w:cs="Times New Roman"/>
                <w:szCs w:val="32"/>
                <w:lang w:val="fr-FR"/>
              </w:rPr>
            </w:pPr>
            <w:r w:rsidRPr="00DD50BE">
              <w:rPr>
                <w:rFonts w:eastAsia="MS Mincho" w:cs="Times New Roman"/>
                <w:szCs w:val="32"/>
                <w:lang w:val="fr-FR"/>
              </w:rPr>
              <w:t xml:space="preserve">SPLR : </w:t>
            </w:r>
            <w:r>
              <w:rPr>
                <w:rFonts w:eastAsia="MS Mincho" w:cs="Times New Roman"/>
                <w:szCs w:val="32"/>
                <w:lang w:val="fr-FR"/>
              </w:rPr>
              <w:t>Reconstitution</w:t>
            </w:r>
          </w:p>
          <w:p w:rsidR="0073357F" w:rsidRPr="00DD50BE" w:rsidRDefault="0073357F" w:rsidP="0073357F">
            <w:pPr>
              <w:pStyle w:val="ListParagraph"/>
              <w:numPr>
                <w:ilvl w:val="0"/>
                <w:numId w:val="23"/>
              </w:numPr>
              <w:jc w:val="both"/>
              <w:rPr>
                <w:rFonts w:eastAsia="MS Mincho" w:cs="Times New Roman"/>
                <w:szCs w:val="32"/>
                <w:lang w:val="fr-FR"/>
              </w:rPr>
            </w:pPr>
            <w:r w:rsidRPr="00DD50BE">
              <w:rPr>
                <w:rFonts w:eastAsia="MS Mincho" w:cs="Times New Roman"/>
                <w:szCs w:val="32"/>
                <w:lang w:val="fr-FR"/>
              </w:rPr>
              <w:t>LIQU :</w:t>
            </w:r>
            <w:r>
              <w:rPr>
                <w:rFonts w:eastAsia="MS Mincho" w:cs="Times New Roman"/>
                <w:szCs w:val="32"/>
                <w:lang w:val="fr-FR"/>
              </w:rPr>
              <w:t> </w:t>
            </w:r>
            <w:r w:rsidRPr="00DD50BE">
              <w:rPr>
                <w:rFonts w:eastAsia="MS Mincho" w:cs="Times New Roman"/>
                <w:szCs w:val="32"/>
                <w:lang w:val="fr-FR"/>
              </w:rPr>
              <w:t>Liquidation</w:t>
            </w:r>
          </w:p>
          <w:p w:rsidR="0073357F" w:rsidRPr="0073357F" w:rsidRDefault="0073357F" w:rsidP="003A7B29">
            <w:pPr>
              <w:spacing w:before="120"/>
              <w:jc w:val="both"/>
              <w:rPr>
                <w:rFonts w:cs="Tahoma"/>
                <w:lang w:eastAsia="fr-FR"/>
              </w:rPr>
            </w:pPr>
            <w:r w:rsidRPr="0073357F">
              <w:rPr>
                <w:rFonts w:cs="Tahoma"/>
                <w:u w:val="single"/>
                <w:lang w:eastAsia="fr-FR"/>
              </w:rPr>
              <w:t>Process steps</w:t>
            </w:r>
            <w:r>
              <w:rPr>
                <w:rFonts w:cs="Tahoma"/>
                <w:lang w:eastAsia="fr-FR"/>
              </w:rPr>
              <w:t>:</w:t>
            </w:r>
          </w:p>
          <w:p w:rsidR="0073357F" w:rsidRPr="0073357F" w:rsidRDefault="0073357F" w:rsidP="0073357F">
            <w:pPr>
              <w:pStyle w:val="ListParagraph"/>
              <w:numPr>
                <w:ilvl w:val="0"/>
                <w:numId w:val="21"/>
              </w:numPr>
              <w:spacing w:before="120"/>
              <w:jc w:val="both"/>
              <w:rPr>
                <w:rFonts w:cs="Tahoma"/>
                <w:i/>
                <w:lang w:eastAsia="fr-FR"/>
              </w:rPr>
            </w:pPr>
            <w:r>
              <w:rPr>
                <w:rFonts w:cs="Tahoma"/>
                <w:lang w:eastAsia="fr-FR"/>
              </w:rPr>
              <w:t xml:space="preserve">At the time of the record end of day (RD COB), Euroclear cancels the underlying transaction and custodians identify instructions eligible to the transformation </w:t>
            </w:r>
            <w:r w:rsidRPr="0073357F">
              <w:rPr>
                <w:rFonts w:cs="Tahoma"/>
                <w:i/>
                <w:lang w:eastAsia="fr-FR"/>
              </w:rPr>
              <w:t xml:space="preserve">(see section Transaction </w:t>
            </w:r>
            <w:r>
              <w:rPr>
                <w:rFonts w:cs="Tahoma"/>
                <w:i/>
                <w:lang w:eastAsia="fr-FR"/>
              </w:rPr>
              <w:t>eligible to the Transformation)</w:t>
            </w:r>
            <w:r>
              <w:rPr>
                <w:rFonts w:cs="Tahoma"/>
                <w:lang w:eastAsia="fr-FR"/>
              </w:rPr>
              <w:t xml:space="preserve"> (*)</w:t>
            </w:r>
          </w:p>
          <w:p w:rsidR="0073357F" w:rsidRPr="0073357F" w:rsidRDefault="0073357F" w:rsidP="0073357F">
            <w:pPr>
              <w:pStyle w:val="ListParagraph"/>
              <w:numPr>
                <w:ilvl w:val="0"/>
                <w:numId w:val="21"/>
              </w:numPr>
              <w:spacing w:before="120"/>
              <w:jc w:val="both"/>
              <w:rPr>
                <w:rFonts w:cs="Tahoma"/>
                <w:i/>
                <w:lang w:eastAsia="fr-FR"/>
              </w:rPr>
            </w:pPr>
            <w:r>
              <w:rPr>
                <w:rFonts w:cs="Tahoma"/>
                <w:lang w:eastAsia="fr-FR"/>
              </w:rPr>
              <w:t xml:space="preserve">To this end, a solution is to use the cancellation report “Cancelled by Third Party” (CTHP) when the cancellation is triggered by ESES which </w:t>
            </w:r>
            <w:r w:rsidR="00223D2C">
              <w:rPr>
                <w:rFonts w:cs="Tahoma"/>
                <w:lang w:eastAsia="fr-FR"/>
              </w:rPr>
              <w:t xml:space="preserve">is </w:t>
            </w:r>
            <w:r>
              <w:rPr>
                <w:rFonts w:cs="Tahoma"/>
                <w:lang w:eastAsia="fr-FR"/>
              </w:rPr>
              <w:t>the most frequent case</w:t>
            </w:r>
            <w:r w:rsidR="00223D2C">
              <w:rPr>
                <w:rFonts w:cs="Tahoma"/>
                <w:lang w:eastAsia="fr-FR"/>
              </w:rPr>
              <w:t>, or</w:t>
            </w:r>
            <w:r>
              <w:rPr>
                <w:rFonts w:cs="Tahoma"/>
                <w:lang w:eastAsia="fr-FR"/>
              </w:rPr>
              <w:t xml:space="preserve"> “Cancelled by T2S’ (CANS) when the cancellation is triggered by T2S (see appendix 9 of the DSD) with the motive ‘MVIC313’ in the field ‘Additional reason information’.</w:t>
            </w:r>
          </w:p>
          <w:p w:rsidR="0073357F" w:rsidRPr="00CF7206" w:rsidRDefault="0073357F" w:rsidP="0073357F">
            <w:pPr>
              <w:spacing w:before="120"/>
              <w:ind w:left="720"/>
              <w:jc w:val="both"/>
              <w:rPr>
                <w:rFonts w:cs="Tahoma"/>
                <w:i/>
                <w:lang w:eastAsia="fr-FR"/>
              </w:rPr>
            </w:pPr>
            <w:r w:rsidRPr="00CF7206">
              <w:rPr>
                <w:rFonts w:cs="Tahoma"/>
                <w:i/>
                <w:lang w:eastAsia="fr-FR"/>
              </w:rPr>
              <w:t xml:space="preserve">To be noted that when clicking on ‘Status’ in </w:t>
            </w:r>
            <w:proofErr w:type="spellStart"/>
            <w:r w:rsidRPr="00CF7206">
              <w:rPr>
                <w:rFonts w:cs="Tahoma"/>
                <w:i/>
                <w:lang w:eastAsia="fr-FR"/>
              </w:rPr>
              <w:t>EuroclearConnect</w:t>
            </w:r>
            <w:proofErr w:type="spellEnd"/>
            <w:r w:rsidRPr="00CF7206">
              <w:rPr>
                <w:rFonts w:cs="Tahoma"/>
                <w:i/>
                <w:lang w:eastAsia="fr-FR"/>
              </w:rPr>
              <w:t xml:space="preserve"> for Screens, one gets the ‘reason narrative’ of the cancellation, with the business rule when applicable (ex: ‘cancelled by yourself’, ‘no related business rule’</w:t>
            </w:r>
            <w:r w:rsidR="00CF7206" w:rsidRPr="00CF7206">
              <w:rPr>
                <w:rFonts w:cs="Tahoma"/>
                <w:i/>
                <w:lang w:eastAsia="fr-FR"/>
              </w:rPr>
              <w:t xml:space="preserve">, ‘business rule mentioned’). These reportings can be exported through a selection of the cancelled instructions (filter by status). One gets the output (list of cancelled instructions), but a priori </w:t>
            </w:r>
            <w:proofErr w:type="gramStart"/>
            <w:r w:rsidR="00CF7206" w:rsidRPr="00CF7206">
              <w:rPr>
                <w:rFonts w:cs="Tahoma"/>
                <w:i/>
                <w:lang w:eastAsia="fr-FR"/>
              </w:rPr>
              <w:t>not with the details ‘reason narrative’ nor</w:t>
            </w:r>
            <w:proofErr w:type="gramEnd"/>
            <w:r w:rsidR="00CF7206" w:rsidRPr="00CF7206">
              <w:rPr>
                <w:rFonts w:cs="Tahoma"/>
                <w:i/>
                <w:lang w:eastAsia="fr-FR"/>
              </w:rPr>
              <w:t xml:space="preserve"> the T2S reference.</w:t>
            </w:r>
          </w:p>
          <w:p w:rsidR="00CF7206" w:rsidRPr="00CF7206" w:rsidRDefault="00223D2C" w:rsidP="00CF7206">
            <w:pPr>
              <w:pStyle w:val="ListParagraph"/>
              <w:numPr>
                <w:ilvl w:val="0"/>
                <w:numId w:val="21"/>
              </w:numPr>
              <w:spacing w:before="120"/>
              <w:jc w:val="both"/>
              <w:rPr>
                <w:rFonts w:cs="Tahoma"/>
                <w:i/>
                <w:lang w:eastAsia="fr-FR"/>
              </w:rPr>
            </w:pPr>
            <w:r>
              <w:rPr>
                <w:rFonts w:cs="Tahoma"/>
                <w:lang w:eastAsia="fr-FR"/>
              </w:rPr>
              <w:t xml:space="preserve">On the next business day in the </w:t>
            </w:r>
            <w:r w:rsidR="00CF7206">
              <w:rPr>
                <w:rFonts w:cs="Tahoma"/>
                <w:lang w:eastAsia="fr-FR"/>
              </w:rPr>
              <w:t>morning, custodians send the settlement instructions resulting from the transformation according to the eligibility and management rules mentioned below.</w:t>
            </w:r>
          </w:p>
          <w:p w:rsidR="00CF7206" w:rsidRPr="0073357F" w:rsidRDefault="00CF7206" w:rsidP="00CF7206">
            <w:pPr>
              <w:pStyle w:val="ListParagraph"/>
              <w:spacing w:before="120"/>
              <w:jc w:val="both"/>
              <w:rPr>
                <w:rFonts w:cs="Tahoma"/>
                <w:i/>
                <w:lang w:eastAsia="fr-FR"/>
              </w:rPr>
            </w:pPr>
            <w:r>
              <w:rPr>
                <w:rFonts w:cs="Tahoma"/>
                <w:lang w:eastAsia="fr-FR"/>
              </w:rPr>
              <w:t>DCPs send their requests for creating instructions in T2S, and ICP</w:t>
            </w:r>
            <w:r w:rsidR="00223D2C">
              <w:rPr>
                <w:rFonts w:cs="Tahoma"/>
                <w:lang w:eastAsia="fr-FR"/>
              </w:rPr>
              <w:t>s</w:t>
            </w:r>
            <w:r>
              <w:rPr>
                <w:rFonts w:cs="Tahoma"/>
                <w:lang w:eastAsia="fr-FR"/>
              </w:rPr>
              <w:t xml:space="preserve"> send their requests for creating instructions to the CSD.</w:t>
            </w:r>
          </w:p>
          <w:p w:rsidR="0073357F" w:rsidRPr="00CF7206" w:rsidRDefault="00CF7206" w:rsidP="003A7B29">
            <w:pPr>
              <w:spacing w:before="120"/>
              <w:jc w:val="both"/>
              <w:rPr>
                <w:rFonts w:cs="Tahoma"/>
                <w:i/>
                <w:sz w:val="18"/>
                <w:lang w:eastAsia="fr-FR"/>
              </w:rPr>
            </w:pPr>
            <w:r w:rsidRPr="00CF7206">
              <w:rPr>
                <w:rFonts w:cs="Tahoma"/>
                <w:i/>
                <w:sz w:val="18"/>
                <w:lang w:eastAsia="fr-FR"/>
              </w:rPr>
              <w:t xml:space="preserve">(*) </w:t>
            </w:r>
            <w:r>
              <w:rPr>
                <w:rFonts w:cs="Tahoma"/>
                <w:i/>
                <w:sz w:val="18"/>
                <w:lang w:eastAsia="fr-FR"/>
              </w:rPr>
              <w:t>According to CASG rules, the detection period of 20 business days after the record date should not apply, in a first step, when the maturity date of the security is filled with the payment date of the corporate action (until the delivery of T2S CR-0515).</w:t>
            </w:r>
          </w:p>
          <w:p w:rsidR="00CF7206" w:rsidRDefault="002A5553" w:rsidP="003A7B29">
            <w:pPr>
              <w:spacing w:before="120"/>
              <w:jc w:val="both"/>
              <w:rPr>
                <w:rFonts w:cs="Tahoma"/>
                <w:lang w:eastAsia="fr-FR"/>
              </w:rPr>
            </w:pPr>
            <w:r w:rsidRPr="002A5553">
              <w:rPr>
                <w:rFonts w:cs="Tahoma"/>
                <w:u w:val="single"/>
                <w:lang w:eastAsia="fr-FR"/>
              </w:rPr>
              <w:t>Characteristics and format of transformation instructions</w:t>
            </w:r>
            <w:r>
              <w:rPr>
                <w:rFonts w:cs="Tahoma"/>
                <w:lang w:eastAsia="fr-FR"/>
              </w:rPr>
              <w:t>:</w:t>
            </w:r>
          </w:p>
          <w:p w:rsidR="002A5553" w:rsidRDefault="002A5553" w:rsidP="003A7B29">
            <w:pPr>
              <w:spacing w:before="120"/>
              <w:jc w:val="both"/>
              <w:rPr>
                <w:rFonts w:cs="Tahoma"/>
                <w:lang w:eastAsia="fr-FR"/>
              </w:rPr>
            </w:pPr>
            <w:r>
              <w:rPr>
                <w:rFonts w:cs="Tahoma"/>
                <w:lang w:eastAsia="fr-FR"/>
              </w:rPr>
              <w:t>In order to facilitate</w:t>
            </w:r>
            <w:r w:rsidR="00EC35CD">
              <w:rPr>
                <w:rFonts w:cs="Tahoma"/>
                <w:lang w:eastAsia="fr-FR"/>
              </w:rPr>
              <w:t xml:space="preserve"> matching and settlement in T2S, settlement instructions directly created by the custodian must respect the rules below:</w:t>
            </w:r>
          </w:p>
          <w:p w:rsidR="00EC35CD" w:rsidRDefault="00EC35CD" w:rsidP="00EC35CD">
            <w:pPr>
              <w:pStyle w:val="ListParagraph"/>
              <w:numPr>
                <w:ilvl w:val="0"/>
                <w:numId w:val="21"/>
              </w:numPr>
              <w:spacing w:before="120"/>
              <w:jc w:val="both"/>
              <w:rPr>
                <w:rFonts w:cs="Tahoma"/>
                <w:lang w:eastAsia="fr-FR"/>
              </w:rPr>
            </w:pPr>
            <w:r>
              <w:rPr>
                <w:rFonts w:cs="Tahoma"/>
                <w:lang w:eastAsia="fr-FR"/>
              </w:rPr>
              <w:t>Mention the T2S reference of the underlying T2S instruction ‘Matching reference’ in the field ‘Common Identification-CMONLD’.</w:t>
            </w:r>
          </w:p>
          <w:p w:rsidR="00EC35CD" w:rsidRDefault="00EC35CD" w:rsidP="00EC35CD">
            <w:pPr>
              <w:pStyle w:val="ListParagraph"/>
              <w:spacing w:before="120"/>
              <w:jc w:val="both"/>
              <w:rPr>
                <w:rFonts w:cs="Tahoma"/>
                <w:lang w:eastAsia="fr-FR"/>
              </w:rPr>
            </w:pPr>
          </w:p>
          <w:p w:rsidR="00EC35CD" w:rsidRDefault="00EC35CD" w:rsidP="00EC35CD">
            <w:pPr>
              <w:pStyle w:val="ListParagraph"/>
              <w:spacing w:before="120"/>
              <w:jc w:val="both"/>
              <w:rPr>
                <w:rFonts w:cs="Tahoma"/>
                <w:lang w:eastAsia="fr-FR"/>
              </w:rPr>
            </w:pPr>
            <w:r>
              <w:rPr>
                <w:rFonts w:cs="Tahoma"/>
                <w:lang w:eastAsia="fr-FR"/>
              </w:rPr>
              <w:t xml:space="preserve">The table below mentions the fields in which such data is available depending on the type of messaging (ISO 15022, ISO 20022, </w:t>
            </w:r>
            <w:proofErr w:type="spellStart"/>
            <w:proofErr w:type="gramStart"/>
            <w:r>
              <w:rPr>
                <w:rFonts w:cs="Tahoma"/>
                <w:lang w:eastAsia="fr-FR"/>
              </w:rPr>
              <w:t>EuroclearConnect</w:t>
            </w:r>
            <w:proofErr w:type="spellEnd"/>
            <w:proofErr w:type="gramEnd"/>
            <w:r>
              <w:rPr>
                <w:rFonts w:cs="Tahoma"/>
                <w:lang w:eastAsia="fr-FR"/>
              </w:rPr>
              <w:t xml:space="preserve"> for Screens).</w:t>
            </w:r>
          </w:p>
          <w:p w:rsidR="00EC35CD" w:rsidRDefault="00EC35CD" w:rsidP="00EC35CD">
            <w:pPr>
              <w:pStyle w:val="ListParagraph"/>
              <w:spacing w:before="120"/>
              <w:jc w:val="both"/>
              <w:rPr>
                <w:rFonts w:cs="Tahoma"/>
                <w:lang w:eastAsia="fr-FR"/>
              </w:rPr>
            </w:pPr>
          </w:p>
          <w:tbl>
            <w:tblPr>
              <w:tblW w:w="0" w:type="auto"/>
              <w:jc w:val="center"/>
              <w:tblCellMar>
                <w:top w:w="15" w:type="dxa"/>
                <w:left w:w="15" w:type="dxa"/>
                <w:bottom w:w="15" w:type="dxa"/>
                <w:right w:w="15" w:type="dxa"/>
              </w:tblCellMar>
              <w:tblLook w:val="00A0" w:firstRow="1" w:lastRow="0" w:firstColumn="1" w:lastColumn="0" w:noHBand="0" w:noVBand="0"/>
            </w:tblPr>
            <w:tblGrid>
              <w:gridCol w:w="983"/>
              <w:gridCol w:w="1710"/>
              <w:gridCol w:w="3104"/>
              <w:gridCol w:w="1470"/>
            </w:tblGrid>
            <w:tr w:rsidR="00EC35CD" w:rsidTr="00A0160C">
              <w:trPr>
                <w:jc w:val="center"/>
              </w:trPr>
              <w:tc>
                <w:tcPr>
                  <w:tcW w:w="983" w:type="dxa"/>
                  <w:tcBorders>
                    <w:bottom w:val="single" w:sz="6" w:space="0" w:color="000000"/>
                    <w:right w:val="single" w:sz="6" w:space="0" w:color="000000"/>
                  </w:tcBorders>
                  <w:shd w:val="clear" w:color="auto" w:fill="C0C0C0"/>
                  <w:vAlign w:val="center"/>
                </w:tcPr>
                <w:p w:rsidR="00EC35CD" w:rsidRPr="006A4780" w:rsidRDefault="00EC35CD" w:rsidP="00A0160C">
                  <w:pPr>
                    <w:keepNext/>
                    <w:keepLines/>
                    <w:autoSpaceDE w:val="0"/>
                    <w:autoSpaceDN w:val="0"/>
                    <w:adjustRightInd w:val="0"/>
                    <w:spacing w:after="0" w:line="240" w:lineRule="auto"/>
                    <w:rPr>
                      <w:rFonts w:ascii="Tms Rmn" w:hAnsi="Tms Rmn"/>
                      <w:sz w:val="24"/>
                      <w:szCs w:val="24"/>
                    </w:rPr>
                  </w:pPr>
                </w:p>
              </w:tc>
              <w:tc>
                <w:tcPr>
                  <w:tcW w:w="1783" w:type="dxa"/>
                  <w:tcBorders>
                    <w:left w:val="single" w:sz="6" w:space="0" w:color="000000"/>
                    <w:bottom w:val="single" w:sz="6" w:space="0" w:color="000000"/>
                    <w:right w:val="single" w:sz="6" w:space="0" w:color="000000"/>
                  </w:tcBorders>
                  <w:shd w:val="clear" w:color="auto" w:fill="C0C0C0"/>
                  <w:vAlign w:val="center"/>
                </w:tcPr>
                <w:p w:rsidR="00EC35CD" w:rsidRDefault="00EC35CD" w:rsidP="00A0160C">
                  <w:pPr>
                    <w:keepNext/>
                    <w:keepLines/>
                    <w:autoSpaceDE w:val="0"/>
                    <w:autoSpaceDN w:val="0"/>
                    <w:adjustRightInd w:val="0"/>
                    <w:spacing w:after="0" w:line="240" w:lineRule="auto"/>
                    <w:ind w:left="15"/>
                    <w:jc w:val="center"/>
                    <w:rPr>
                      <w:rFonts w:ascii="Helv" w:hAnsi="Helv" w:cs="Helv"/>
                      <w:color w:val="000000"/>
                      <w:sz w:val="16"/>
                      <w:szCs w:val="16"/>
                    </w:rPr>
                  </w:pPr>
                  <w:r>
                    <w:rPr>
                      <w:rFonts w:ascii="Helv" w:hAnsi="Helv" w:cs="Helv"/>
                      <w:color w:val="000000"/>
                      <w:sz w:val="16"/>
                      <w:szCs w:val="16"/>
                    </w:rPr>
                    <w:t>ISO 15022</w:t>
                  </w:r>
                </w:p>
              </w:tc>
              <w:tc>
                <w:tcPr>
                  <w:tcW w:w="3250" w:type="dxa"/>
                  <w:tcBorders>
                    <w:left w:val="single" w:sz="6" w:space="0" w:color="000000"/>
                    <w:bottom w:val="single" w:sz="6" w:space="0" w:color="000000"/>
                    <w:right w:val="single" w:sz="6" w:space="0" w:color="000000"/>
                  </w:tcBorders>
                  <w:shd w:val="clear" w:color="auto" w:fill="C0C0C0"/>
                  <w:vAlign w:val="center"/>
                </w:tcPr>
                <w:p w:rsidR="00EC35CD" w:rsidRDefault="00EC35CD" w:rsidP="00A0160C">
                  <w:pPr>
                    <w:keepNext/>
                    <w:keepLines/>
                    <w:autoSpaceDE w:val="0"/>
                    <w:autoSpaceDN w:val="0"/>
                    <w:adjustRightInd w:val="0"/>
                    <w:spacing w:after="0" w:line="240" w:lineRule="auto"/>
                    <w:ind w:left="15"/>
                    <w:jc w:val="center"/>
                    <w:rPr>
                      <w:rFonts w:ascii="Helv" w:hAnsi="Helv" w:cs="Helv"/>
                      <w:color w:val="000000"/>
                      <w:sz w:val="16"/>
                      <w:szCs w:val="16"/>
                    </w:rPr>
                  </w:pPr>
                  <w:r>
                    <w:rPr>
                      <w:rFonts w:ascii="Helv" w:hAnsi="Helv" w:cs="Helv"/>
                      <w:color w:val="000000"/>
                      <w:sz w:val="16"/>
                      <w:szCs w:val="16"/>
                    </w:rPr>
                    <w:t>ISO 20022 via Euroclear</w:t>
                  </w:r>
                </w:p>
              </w:tc>
              <w:tc>
                <w:tcPr>
                  <w:tcW w:w="1484" w:type="dxa"/>
                  <w:tcBorders>
                    <w:left w:val="single" w:sz="6" w:space="0" w:color="000000"/>
                    <w:bottom w:val="single" w:sz="6" w:space="0" w:color="000000"/>
                  </w:tcBorders>
                  <w:shd w:val="clear" w:color="auto" w:fill="C0C0C0"/>
                  <w:vAlign w:val="center"/>
                </w:tcPr>
                <w:p w:rsidR="00EC35CD" w:rsidRDefault="00EC35CD" w:rsidP="00A0160C">
                  <w:pPr>
                    <w:keepNext/>
                    <w:keepLines/>
                    <w:autoSpaceDE w:val="0"/>
                    <w:autoSpaceDN w:val="0"/>
                    <w:adjustRightInd w:val="0"/>
                    <w:spacing w:after="0" w:line="240" w:lineRule="auto"/>
                    <w:ind w:left="15"/>
                    <w:jc w:val="center"/>
                    <w:rPr>
                      <w:rFonts w:ascii="Helv" w:hAnsi="Helv" w:cs="Helv"/>
                      <w:color w:val="000000"/>
                      <w:sz w:val="16"/>
                      <w:szCs w:val="16"/>
                    </w:rPr>
                  </w:pPr>
                  <w:proofErr w:type="spellStart"/>
                  <w:r>
                    <w:rPr>
                      <w:rFonts w:ascii="Helv" w:hAnsi="Helv" w:cs="Helv"/>
                      <w:color w:val="000000"/>
                      <w:sz w:val="16"/>
                      <w:szCs w:val="16"/>
                    </w:rPr>
                    <w:t>EuroclearConnect</w:t>
                  </w:r>
                  <w:proofErr w:type="spellEnd"/>
                </w:p>
              </w:tc>
            </w:tr>
            <w:tr w:rsidR="00EC35CD" w:rsidTr="00A0160C">
              <w:trPr>
                <w:jc w:val="center"/>
              </w:trPr>
              <w:tc>
                <w:tcPr>
                  <w:tcW w:w="983" w:type="dxa"/>
                  <w:vMerge w:val="restart"/>
                  <w:tcBorders>
                    <w:top w:val="single" w:sz="6" w:space="0" w:color="000000"/>
                    <w:bottom w:val="single" w:sz="6" w:space="0" w:color="000000"/>
                    <w:right w:val="single" w:sz="6" w:space="0" w:color="000000"/>
                  </w:tcBorders>
                  <w:shd w:val="clear" w:color="auto" w:fill="C0C0C0"/>
                  <w:vAlign w:val="center"/>
                </w:tcPr>
                <w:p w:rsidR="00EC35CD" w:rsidRPr="00F7665A" w:rsidRDefault="00EC35CD" w:rsidP="00A0160C">
                  <w:pPr>
                    <w:keepNext/>
                    <w:keepLines/>
                    <w:autoSpaceDE w:val="0"/>
                    <w:autoSpaceDN w:val="0"/>
                    <w:adjustRightInd w:val="0"/>
                    <w:spacing w:after="0" w:line="240" w:lineRule="auto"/>
                    <w:jc w:val="center"/>
                    <w:rPr>
                      <w:rFonts w:ascii="Tms Rmn" w:hAnsi="Tms Rmn" w:cs="Tms Rmn"/>
                      <w:color w:val="000000"/>
                      <w:sz w:val="24"/>
                      <w:szCs w:val="24"/>
                      <w:lang w:val="fr-FR"/>
                    </w:rPr>
                  </w:pPr>
                  <w:r>
                    <w:rPr>
                      <w:rFonts w:ascii="Helv" w:hAnsi="Helv" w:cs="Helv"/>
                      <w:color w:val="000000"/>
                      <w:sz w:val="16"/>
                      <w:szCs w:val="16"/>
                      <w:lang w:val="fr-FR"/>
                    </w:rPr>
                    <w:t xml:space="preserve">Instruction </w:t>
                  </w:r>
                  <w:proofErr w:type="spellStart"/>
                  <w:r>
                    <w:rPr>
                      <w:rFonts w:ascii="Helv" w:hAnsi="Helv" w:cs="Helv"/>
                      <w:color w:val="000000"/>
                      <w:sz w:val="16"/>
                      <w:szCs w:val="16"/>
                      <w:lang w:val="fr-FR"/>
                    </w:rPr>
                    <w:t>status</w:t>
                  </w:r>
                  <w:proofErr w:type="spellEnd"/>
                  <w:r w:rsidRPr="00F7665A">
                    <w:rPr>
                      <w:rFonts w:ascii="Helv" w:hAnsi="Helv" w:cs="Helv"/>
                      <w:color w:val="000000"/>
                      <w:sz w:val="16"/>
                      <w:szCs w:val="16"/>
                      <w:lang w:val="fr-FR"/>
                    </w:rPr>
                    <w:t xml:space="preserve"> </w:t>
                  </w:r>
                </w:p>
                <w:p w:rsidR="00EC35CD" w:rsidRPr="00F7665A" w:rsidRDefault="00EC35CD" w:rsidP="00A0160C">
                  <w:pPr>
                    <w:keepNext/>
                    <w:keepLines/>
                    <w:autoSpaceDE w:val="0"/>
                    <w:autoSpaceDN w:val="0"/>
                    <w:adjustRightInd w:val="0"/>
                    <w:spacing w:before="240" w:after="0" w:line="240" w:lineRule="auto"/>
                    <w:jc w:val="center"/>
                    <w:rPr>
                      <w:rFonts w:ascii="Tms Rmn" w:hAnsi="Tms Rmn" w:cs="Tms Rmn"/>
                      <w:color w:val="000000"/>
                      <w:sz w:val="24"/>
                      <w:szCs w:val="24"/>
                      <w:lang w:val="fr-FR"/>
                    </w:rPr>
                  </w:pPr>
                  <w:r w:rsidRPr="00F7665A">
                    <w:rPr>
                      <w:rFonts w:ascii="Helv" w:hAnsi="Helv" w:cs="Helv"/>
                      <w:color w:val="000000"/>
                      <w:sz w:val="16"/>
                      <w:szCs w:val="16"/>
                      <w:lang w:val="fr-FR"/>
                    </w:rPr>
                    <w:lastRenderedPageBreak/>
                    <w:t>(</w:t>
                  </w:r>
                  <w:proofErr w:type="spellStart"/>
                  <w:r>
                    <w:rPr>
                      <w:rFonts w:ascii="Helv" w:hAnsi="Helv" w:cs="Helv"/>
                      <w:color w:val="000000"/>
                      <w:sz w:val="16"/>
                      <w:szCs w:val="16"/>
                      <w:lang w:val="fr-FR"/>
                    </w:rPr>
                    <w:t>cancellation</w:t>
                  </w:r>
                  <w:proofErr w:type="spellEnd"/>
                  <w:r w:rsidRPr="00F7665A">
                    <w:rPr>
                      <w:rFonts w:ascii="Helv" w:hAnsi="Helv" w:cs="Helv"/>
                      <w:color w:val="000000"/>
                      <w:sz w:val="16"/>
                      <w:szCs w:val="16"/>
                      <w:lang w:val="fr-FR"/>
                    </w:rPr>
                    <w:t>)</w:t>
                  </w:r>
                  <w:r w:rsidRPr="00F7665A">
                    <w:rPr>
                      <w:rFonts w:ascii="Tms Rmn" w:hAnsi="Tms Rmn" w:cs="Tms Rmn"/>
                      <w:color w:val="000000"/>
                      <w:sz w:val="24"/>
                      <w:szCs w:val="24"/>
                      <w:lang w:val="fr-FR"/>
                    </w:rPr>
                    <w:t xml:space="preserve"> </w:t>
                  </w:r>
                </w:p>
                <w:p w:rsidR="00EC35CD" w:rsidRPr="00F7665A" w:rsidRDefault="00EC35CD" w:rsidP="00A0160C">
                  <w:pPr>
                    <w:keepNext/>
                    <w:keepLines/>
                    <w:autoSpaceDE w:val="0"/>
                    <w:autoSpaceDN w:val="0"/>
                    <w:adjustRightInd w:val="0"/>
                    <w:spacing w:before="240" w:after="0" w:line="240" w:lineRule="auto"/>
                    <w:jc w:val="center"/>
                    <w:rPr>
                      <w:rFonts w:ascii="Helv" w:hAnsi="Helv" w:cs="Helv"/>
                      <w:color w:val="000000"/>
                      <w:sz w:val="16"/>
                      <w:szCs w:val="16"/>
                      <w:lang w:val="fr-FR"/>
                    </w:rPr>
                  </w:pPr>
                  <w:r w:rsidRPr="00F7665A">
                    <w:rPr>
                      <w:rFonts w:ascii="Helv" w:hAnsi="Helv" w:cs="Helv"/>
                      <w:color w:val="000000"/>
                      <w:sz w:val="16"/>
                      <w:szCs w:val="16"/>
                      <w:lang w:val="fr-FR"/>
                    </w:rPr>
                    <w:t>MITI</w:t>
                  </w:r>
                </w:p>
              </w:tc>
              <w:tc>
                <w:tcPr>
                  <w:tcW w:w="1783" w:type="dxa"/>
                  <w:tcBorders>
                    <w:top w:val="single" w:sz="6" w:space="0" w:color="000000"/>
                    <w:left w:val="single" w:sz="6" w:space="0" w:color="000000"/>
                    <w:bottom w:val="single" w:sz="6" w:space="0" w:color="000000"/>
                    <w:right w:val="single" w:sz="6" w:space="0" w:color="000000"/>
                  </w:tcBorders>
                  <w:vAlign w:val="center"/>
                </w:tcPr>
                <w:p w:rsidR="00EC35CD" w:rsidRDefault="00EC35CD" w:rsidP="00A0160C">
                  <w:pPr>
                    <w:keepNext/>
                    <w:keepLines/>
                    <w:autoSpaceDE w:val="0"/>
                    <w:autoSpaceDN w:val="0"/>
                    <w:adjustRightInd w:val="0"/>
                    <w:spacing w:after="0" w:line="240" w:lineRule="auto"/>
                    <w:ind w:left="15"/>
                    <w:jc w:val="center"/>
                    <w:rPr>
                      <w:rFonts w:ascii="Helv" w:hAnsi="Helv" w:cs="Helv"/>
                      <w:color w:val="000000"/>
                      <w:sz w:val="16"/>
                      <w:szCs w:val="16"/>
                    </w:rPr>
                  </w:pPr>
                  <w:r>
                    <w:rPr>
                      <w:rFonts w:ascii="Helv" w:hAnsi="Helv" w:cs="Helv"/>
                      <w:color w:val="000000"/>
                      <w:sz w:val="16"/>
                      <w:szCs w:val="16"/>
                    </w:rPr>
                    <w:lastRenderedPageBreak/>
                    <w:t>MT 548</w:t>
                  </w:r>
                </w:p>
              </w:tc>
              <w:tc>
                <w:tcPr>
                  <w:tcW w:w="3250" w:type="dxa"/>
                  <w:tcBorders>
                    <w:top w:val="single" w:sz="6" w:space="0" w:color="000000"/>
                    <w:left w:val="single" w:sz="6" w:space="0" w:color="000000"/>
                    <w:bottom w:val="single" w:sz="6" w:space="0" w:color="000000"/>
                    <w:right w:val="single" w:sz="6" w:space="0" w:color="000000"/>
                  </w:tcBorders>
                  <w:vAlign w:val="center"/>
                </w:tcPr>
                <w:p w:rsidR="00EC35CD" w:rsidRDefault="00EC35CD" w:rsidP="00A0160C">
                  <w:pPr>
                    <w:keepNext/>
                    <w:keepLines/>
                    <w:autoSpaceDE w:val="0"/>
                    <w:autoSpaceDN w:val="0"/>
                    <w:adjustRightInd w:val="0"/>
                    <w:spacing w:after="0" w:line="240" w:lineRule="auto"/>
                    <w:ind w:left="15"/>
                    <w:jc w:val="center"/>
                    <w:rPr>
                      <w:rFonts w:ascii="Helv" w:hAnsi="Helv" w:cs="Helv"/>
                      <w:color w:val="000000"/>
                      <w:sz w:val="16"/>
                      <w:szCs w:val="16"/>
                    </w:rPr>
                  </w:pPr>
                  <w:r>
                    <w:rPr>
                      <w:rFonts w:ascii="Helv" w:hAnsi="Helv" w:cs="Helv"/>
                      <w:color w:val="000000"/>
                      <w:sz w:val="16"/>
                      <w:szCs w:val="16"/>
                    </w:rPr>
                    <w:t>Sese.024</w:t>
                  </w:r>
                </w:p>
              </w:tc>
              <w:tc>
                <w:tcPr>
                  <w:tcW w:w="1484" w:type="dxa"/>
                  <w:vMerge w:val="restart"/>
                  <w:tcBorders>
                    <w:top w:val="single" w:sz="6" w:space="0" w:color="000000"/>
                    <w:left w:val="single" w:sz="6" w:space="0" w:color="000000"/>
                    <w:bottom w:val="single" w:sz="6" w:space="0" w:color="000000"/>
                  </w:tcBorders>
                  <w:vAlign w:val="center"/>
                </w:tcPr>
                <w:p w:rsidR="00EC35CD" w:rsidRDefault="00EC35CD" w:rsidP="00A0160C">
                  <w:pPr>
                    <w:keepNext/>
                    <w:keepLines/>
                    <w:autoSpaceDE w:val="0"/>
                    <w:autoSpaceDN w:val="0"/>
                    <w:adjustRightInd w:val="0"/>
                    <w:spacing w:after="0" w:line="240" w:lineRule="auto"/>
                    <w:ind w:left="15"/>
                    <w:jc w:val="center"/>
                    <w:rPr>
                      <w:rFonts w:ascii="Tms Rmn" w:hAnsi="Tms Rmn" w:cs="Tms Rmn"/>
                      <w:color w:val="000000"/>
                      <w:sz w:val="24"/>
                      <w:szCs w:val="24"/>
                    </w:rPr>
                  </w:pPr>
                  <w:r>
                    <w:rPr>
                      <w:rFonts w:ascii="Helv" w:hAnsi="Helv" w:cs="Helv"/>
                      <w:color w:val="000000"/>
                      <w:sz w:val="16"/>
                      <w:szCs w:val="16"/>
                    </w:rPr>
                    <w:t>View Transactions screen</w:t>
                  </w:r>
                  <w:r>
                    <w:rPr>
                      <w:rFonts w:ascii="Tms Rmn" w:hAnsi="Tms Rmn" w:cs="Tms Rmn"/>
                      <w:color w:val="000000"/>
                      <w:sz w:val="24"/>
                      <w:szCs w:val="24"/>
                    </w:rPr>
                    <w:t xml:space="preserve"> </w:t>
                  </w:r>
                </w:p>
                <w:p w:rsidR="00EC35CD" w:rsidRDefault="00EC35CD" w:rsidP="00A0160C">
                  <w:pPr>
                    <w:keepNext/>
                    <w:keepLines/>
                    <w:autoSpaceDE w:val="0"/>
                    <w:autoSpaceDN w:val="0"/>
                    <w:adjustRightInd w:val="0"/>
                    <w:spacing w:before="240" w:after="0" w:line="240" w:lineRule="auto"/>
                    <w:ind w:left="15"/>
                    <w:jc w:val="center"/>
                    <w:rPr>
                      <w:rFonts w:ascii="Helv" w:hAnsi="Helv" w:cs="Helv"/>
                      <w:color w:val="000000"/>
                      <w:sz w:val="16"/>
                      <w:szCs w:val="16"/>
                    </w:rPr>
                  </w:pPr>
                  <w:r>
                    <w:rPr>
                      <w:rFonts w:ascii="Helv" w:hAnsi="Helv" w:cs="Helv"/>
                      <w:color w:val="000000"/>
                      <w:sz w:val="16"/>
                      <w:szCs w:val="16"/>
                    </w:rPr>
                    <w:lastRenderedPageBreak/>
                    <w:t>T2S reference</w:t>
                  </w:r>
                </w:p>
              </w:tc>
            </w:tr>
            <w:tr w:rsidR="00EC35CD" w:rsidRPr="006A4780" w:rsidTr="00A0160C">
              <w:trPr>
                <w:jc w:val="center"/>
              </w:trPr>
              <w:tc>
                <w:tcPr>
                  <w:tcW w:w="983" w:type="dxa"/>
                  <w:vMerge/>
                  <w:tcBorders>
                    <w:top w:val="single" w:sz="6" w:space="0" w:color="000000"/>
                    <w:bottom w:val="single" w:sz="6" w:space="0" w:color="000000"/>
                    <w:right w:val="single" w:sz="6" w:space="0" w:color="000000"/>
                  </w:tcBorders>
                  <w:shd w:val="clear" w:color="auto" w:fill="C0C0C0"/>
                  <w:vAlign w:val="center"/>
                </w:tcPr>
                <w:p w:rsidR="00EC35CD" w:rsidRDefault="00EC35CD" w:rsidP="00A0160C">
                  <w:pPr>
                    <w:autoSpaceDE w:val="0"/>
                    <w:autoSpaceDN w:val="0"/>
                    <w:adjustRightInd w:val="0"/>
                    <w:spacing w:after="0" w:line="240" w:lineRule="auto"/>
                    <w:rPr>
                      <w:rFonts w:ascii="Helv" w:hAnsi="Helv" w:cs="Helv"/>
                      <w:color w:val="000000"/>
                      <w:sz w:val="16"/>
                      <w:szCs w:val="16"/>
                    </w:rPr>
                  </w:pPr>
                </w:p>
              </w:tc>
              <w:tc>
                <w:tcPr>
                  <w:tcW w:w="1783" w:type="dxa"/>
                  <w:tcBorders>
                    <w:top w:val="single" w:sz="6" w:space="0" w:color="000000"/>
                    <w:left w:val="single" w:sz="6" w:space="0" w:color="000000"/>
                    <w:bottom w:val="single" w:sz="6" w:space="0" w:color="000000"/>
                    <w:right w:val="single" w:sz="6" w:space="0" w:color="000000"/>
                  </w:tcBorders>
                  <w:vAlign w:val="center"/>
                </w:tcPr>
                <w:p w:rsidR="00EC35CD" w:rsidRDefault="00EC35CD" w:rsidP="00A0160C">
                  <w:pPr>
                    <w:keepNext/>
                    <w:keepLines/>
                    <w:autoSpaceDE w:val="0"/>
                    <w:autoSpaceDN w:val="0"/>
                    <w:adjustRightInd w:val="0"/>
                    <w:spacing w:after="0" w:line="240" w:lineRule="auto"/>
                    <w:ind w:left="15"/>
                    <w:jc w:val="center"/>
                    <w:rPr>
                      <w:rFonts w:ascii="Helv" w:hAnsi="Helv" w:cs="Helv"/>
                      <w:color w:val="000000"/>
                      <w:sz w:val="16"/>
                      <w:szCs w:val="16"/>
                    </w:rPr>
                  </w:pPr>
                  <w:r>
                    <w:rPr>
                      <w:rFonts w:ascii="Helv" w:hAnsi="Helv" w:cs="Helv"/>
                      <w:color w:val="000000"/>
                      <w:sz w:val="16"/>
                      <w:szCs w:val="16"/>
                    </w:rPr>
                    <w:t>:20C::MITI</w:t>
                  </w:r>
                </w:p>
              </w:tc>
              <w:tc>
                <w:tcPr>
                  <w:tcW w:w="3250" w:type="dxa"/>
                  <w:tcBorders>
                    <w:top w:val="single" w:sz="6" w:space="0" w:color="000000"/>
                    <w:left w:val="single" w:sz="6" w:space="0" w:color="000000"/>
                    <w:bottom w:val="single" w:sz="6" w:space="0" w:color="000000"/>
                    <w:right w:val="single" w:sz="6" w:space="0" w:color="000000"/>
                  </w:tcBorders>
                  <w:vAlign w:val="center"/>
                </w:tcPr>
                <w:p w:rsidR="00EC35CD" w:rsidRPr="00F7665A" w:rsidRDefault="00EC35CD" w:rsidP="00A0160C">
                  <w:pPr>
                    <w:keepNext/>
                    <w:keepLines/>
                    <w:autoSpaceDE w:val="0"/>
                    <w:autoSpaceDN w:val="0"/>
                    <w:adjustRightInd w:val="0"/>
                    <w:spacing w:after="0" w:line="240" w:lineRule="auto"/>
                    <w:ind w:left="15"/>
                    <w:jc w:val="center"/>
                    <w:rPr>
                      <w:rFonts w:ascii="Helv" w:hAnsi="Helv" w:cs="Helv"/>
                      <w:color w:val="000000"/>
                      <w:sz w:val="16"/>
                      <w:szCs w:val="16"/>
                      <w:lang w:val="fr-FR"/>
                    </w:rPr>
                  </w:pPr>
                  <w:proofErr w:type="spellStart"/>
                  <w:r w:rsidRPr="00F7665A">
                    <w:rPr>
                      <w:rFonts w:ascii="Helv" w:hAnsi="Helv" w:cs="Helv"/>
                      <w:color w:val="000000"/>
                      <w:sz w:val="16"/>
                      <w:szCs w:val="16"/>
                      <w:lang w:val="fr-FR"/>
                    </w:rPr>
                    <w:t>Market</w:t>
                  </w:r>
                  <w:proofErr w:type="spellEnd"/>
                  <w:r w:rsidRPr="00F7665A">
                    <w:rPr>
                      <w:rFonts w:ascii="Helv" w:hAnsi="Helv" w:cs="Helv"/>
                      <w:color w:val="000000"/>
                      <w:sz w:val="16"/>
                      <w:szCs w:val="16"/>
                      <w:lang w:val="fr-FR"/>
                    </w:rPr>
                    <w:t xml:space="preserve"> Infrastructure Transaction Identification </w:t>
                  </w:r>
                </w:p>
                <w:p w:rsidR="00EC35CD" w:rsidRPr="00F7665A" w:rsidRDefault="00EC35CD" w:rsidP="00A0160C">
                  <w:pPr>
                    <w:keepNext/>
                    <w:keepLines/>
                    <w:autoSpaceDE w:val="0"/>
                    <w:autoSpaceDN w:val="0"/>
                    <w:adjustRightInd w:val="0"/>
                    <w:spacing w:before="240" w:after="0" w:line="240" w:lineRule="auto"/>
                    <w:ind w:left="15"/>
                    <w:jc w:val="center"/>
                    <w:rPr>
                      <w:rFonts w:ascii="Helv" w:hAnsi="Helv" w:cs="Helv"/>
                      <w:color w:val="000000"/>
                      <w:sz w:val="16"/>
                      <w:szCs w:val="16"/>
                      <w:lang w:val="fr-FR"/>
                    </w:rPr>
                  </w:pPr>
                  <w:r w:rsidRPr="00F7665A">
                    <w:rPr>
                      <w:rFonts w:ascii="Helv" w:hAnsi="Helv" w:cs="Helv"/>
                      <w:color w:val="000000"/>
                      <w:sz w:val="16"/>
                      <w:szCs w:val="16"/>
                      <w:lang w:val="fr-FR"/>
                    </w:rPr>
                    <w:lastRenderedPageBreak/>
                    <w:t>&lt;</w:t>
                  </w:r>
                  <w:proofErr w:type="spellStart"/>
                  <w:r w:rsidRPr="00F7665A">
                    <w:rPr>
                      <w:rFonts w:ascii="Helv" w:hAnsi="Helv" w:cs="Helv"/>
                      <w:color w:val="000000"/>
                      <w:sz w:val="16"/>
                      <w:szCs w:val="16"/>
                      <w:lang w:val="fr-FR"/>
                    </w:rPr>
                    <w:t>MktInfrstrctrTxId</w:t>
                  </w:r>
                  <w:proofErr w:type="spellEnd"/>
                  <w:r w:rsidRPr="00F7665A">
                    <w:rPr>
                      <w:rFonts w:ascii="Helv" w:hAnsi="Helv" w:cs="Helv"/>
                      <w:color w:val="000000"/>
                      <w:sz w:val="16"/>
                      <w:szCs w:val="16"/>
                      <w:lang w:val="fr-FR"/>
                    </w:rPr>
                    <w:t>&gt;</w:t>
                  </w:r>
                </w:p>
              </w:tc>
              <w:tc>
                <w:tcPr>
                  <w:tcW w:w="1484" w:type="dxa"/>
                  <w:vMerge/>
                  <w:tcBorders>
                    <w:top w:val="single" w:sz="6" w:space="0" w:color="000000"/>
                    <w:left w:val="single" w:sz="6" w:space="0" w:color="000000"/>
                    <w:bottom w:val="single" w:sz="6" w:space="0" w:color="000000"/>
                  </w:tcBorders>
                  <w:vAlign w:val="center"/>
                </w:tcPr>
                <w:p w:rsidR="00EC35CD" w:rsidRPr="00F7665A" w:rsidRDefault="00EC35CD" w:rsidP="00A0160C">
                  <w:pPr>
                    <w:keepNext/>
                    <w:keepLines/>
                    <w:autoSpaceDE w:val="0"/>
                    <w:autoSpaceDN w:val="0"/>
                    <w:adjustRightInd w:val="0"/>
                    <w:spacing w:before="240" w:after="0" w:line="240" w:lineRule="auto"/>
                    <w:ind w:left="15"/>
                    <w:jc w:val="center"/>
                    <w:rPr>
                      <w:rFonts w:ascii="Helv" w:hAnsi="Helv" w:cs="Helv"/>
                      <w:color w:val="000000"/>
                      <w:sz w:val="16"/>
                      <w:szCs w:val="16"/>
                      <w:lang w:val="fr-FR"/>
                    </w:rPr>
                  </w:pPr>
                </w:p>
              </w:tc>
            </w:tr>
            <w:tr w:rsidR="00EC35CD" w:rsidTr="00A0160C">
              <w:trPr>
                <w:jc w:val="center"/>
              </w:trPr>
              <w:tc>
                <w:tcPr>
                  <w:tcW w:w="983" w:type="dxa"/>
                  <w:vMerge w:val="restart"/>
                  <w:tcBorders>
                    <w:top w:val="single" w:sz="6" w:space="0" w:color="000000"/>
                    <w:right w:val="single" w:sz="6" w:space="0" w:color="000000"/>
                  </w:tcBorders>
                  <w:shd w:val="clear" w:color="auto" w:fill="C0C0C0"/>
                  <w:vAlign w:val="center"/>
                </w:tcPr>
                <w:p w:rsidR="00EC35CD" w:rsidRDefault="00EC35CD" w:rsidP="00A0160C">
                  <w:pPr>
                    <w:keepNext/>
                    <w:keepLines/>
                    <w:autoSpaceDE w:val="0"/>
                    <w:autoSpaceDN w:val="0"/>
                    <w:adjustRightInd w:val="0"/>
                    <w:spacing w:after="0" w:line="240" w:lineRule="auto"/>
                    <w:jc w:val="center"/>
                    <w:rPr>
                      <w:rFonts w:ascii="Tms Rmn" w:hAnsi="Tms Rmn" w:cs="Tms Rmn"/>
                      <w:color w:val="000000"/>
                      <w:sz w:val="24"/>
                      <w:szCs w:val="24"/>
                    </w:rPr>
                  </w:pPr>
                  <w:r>
                    <w:rPr>
                      <w:rFonts w:ascii="Helv" w:hAnsi="Helv" w:cs="Helv"/>
                      <w:color w:val="000000"/>
                      <w:sz w:val="16"/>
                      <w:szCs w:val="16"/>
                    </w:rPr>
                    <w:lastRenderedPageBreak/>
                    <w:t xml:space="preserve">Instruction </w:t>
                  </w:r>
                  <w:proofErr w:type="spellStart"/>
                  <w:r>
                    <w:rPr>
                      <w:rFonts w:ascii="Helv" w:hAnsi="Helv" w:cs="Helv"/>
                      <w:color w:val="000000"/>
                      <w:sz w:val="16"/>
                      <w:szCs w:val="16"/>
                    </w:rPr>
                    <w:t>statut</w:t>
                  </w:r>
                  <w:proofErr w:type="spellEnd"/>
                </w:p>
                <w:p w:rsidR="00EC35CD" w:rsidRDefault="00EC35CD" w:rsidP="00A0160C">
                  <w:pPr>
                    <w:keepNext/>
                    <w:keepLines/>
                    <w:autoSpaceDE w:val="0"/>
                    <w:autoSpaceDN w:val="0"/>
                    <w:adjustRightInd w:val="0"/>
                    <w:spacing w:before="240" w:after="0" w:line="240" w:lineRule="auto"/>
                    <w:jc w:val="center"/>
                    <w:rPr>
                      <w:rFonts w:ascii="Tms Rmn" w:hAnsi="Tms Rmn" w:cs="Tms Rmn"/>
                      <w:color w:val="000000"/>
                      <w:sz w:val="24"/>
                      <w:szCs w:val="24"/>
                    </w:rPr>
                  </w:pPr>
                  <w:r>
                    <w:rPr>
                      <w:rFonts w:ascii="Helv" w:hAnsi="Helv" w:cs="Helv"/>
                      <w:color w:val="000000"/>
                      <w:sz w:val="16"/>
                      <w:szCs w:val="16"/>
                    </w:rPr>
                    <w:t>(cancellation)</w:t>
                  </w:r>
                  <w:r>
                    <w:rPr>
                      <w:rFonts w:ascii="Tms Rmn" w:hAnsi="Tms Rmn" w:cs="Tms Rmn"/>
                      <w:color w:val="000000"/>
                      <w:sz w:val="24"/>
                      <w:szCs w:val="24"/>
                    </w:rPr>
                    <w:t xml:space="preserve"> </w:t>
                  </w:r>
                </w:p>
                <w:p w:rsidR="00EC35CD" w:rsidRDefault="00EC35CD" w:rsidP="00A0160C">
                  <w:pPr>
                    <w:keepNext/>
                    <w:keepLines/>
                    <w:autoSpaceDE w:val="0"/>
                    <w:autoSpaceDN w:val="0"/>
                    <w:adjustRightInd w:val="0"/>
                    <w:spacing w:before="240" w:after="0" w:line="240" w:lineRule="auto"/>
                    <w:jc w:val="center"/>
                    <w:rPr>
                      <w:rFonts w:ascii="Helv" w:hAnsi="Helv" w:cs="Helv"/>
                      <w:color w:val="000000"/>
                      <w:sz w:val="16"/>
                      <w:szCs w:val="16"/>
                    </w:rPr>
                  </w:pPr>
                  <w:r>
                    <w:rPr>
                      <w:rFonts w:ascii="Helv" w:hAnsi="Helv" w:cs="Helv"/>
                      <w:color w:val="000000"/>
                      <w:sz w:val="16"/>
                      <w:szCs w:val="16"/>
                    </w:rPr>
                    <w:t>Matching reference</w:t>
                  </w:r>
                </w:p>
              </w:tc>
              <w:tc>
                <w:tcPr>
                  <w:tcW w:w="1783" w:type="dxa"/>
                  <w:tcBorders>
                    <w:top w:val="single" w:sz="6" w:space="0" w:color="000000"/>
                    <w:left w:val="single" w:sz="6" w:space="0" w:color="000000"/>
                    <w:bottom w:val="single" w:sz="6" w:space="0" w:color="000000"/>
                    <w:right w:val="single" w:sz="6" w:space="0" w:color="000000"/>
                  </w:tcBorders>
                  <w:vAlign w:val="center"/>
                </w:tcPr>
                <w:p w:rsidR="00EC35CD" w:rsidRDefault="00EC35CD" w:rsidP="00A0160C">
                  <w:pPr>
                    <w:keepNext/>
                    <w:keepLines/>
                    <w:autoSpaceDE w:val="0"/>
                    <w:autoSpaceDN w:val="0"/>
                    <w:adjustRightInd w:val="0"/>
                    <w:spacing w:after="0" w:line="240" w:lineRule="auto"/>
                    <w:ind w:left="15"/>
                    <w:jc w:val="center"/>
                    <w:rPr>
                      <w:rFonts w:ascii="Helv" w:hAnsi="Helv" w:cs="Helv"/>
                      <w:color w:val="000000"/>
                      <w:sz w:val="16"/>
                      <w:szCs w:val="16"/>
                    </w:rPr>
                  </w:pPr>
                  <w:r>
                    <w:rPr>
                      <w:rFonts w:ascii="Helv" w:hAnsi="Helv" w:cs="Helv"/>
                      <w:color w:val="000000"/>
                      <w:sz w:val="16"/>
                      <w:szCs w:val="16"/>
                    </w:rPr>
                    <w:t>MT548</w:t>
                  </w:r>
                </w:p>
              </w:tc>
              <w:tc>
                <w:tcPr>
                  <w:tcW w:w="3250" w:type="dxa"/>
                  <w:tcBorders>
                    <w:top w:val="single" w:sz="6" w:space="0" w:color="000000"/>
                    <w:left w:val="single" w:sz="6" w:space="0" w:color="000000"/>
                    <w:bottom w:val="single" w:sz="6" w:space="0" w:color="000000"/>
                    <w:right w:val="single" w:sz="6" w:space="0" w:color="000000"/>
                  </w:tcBorders>
                  <w:vAlign w:val="center"/>
                </w:tcPr>
                <w:p w:rsidR="00EC35CD" w:rsidRDefault="00EC35CD" w:rsidP="00A0160C">
                  <w:pPr>
                    <w:keepNext/>
                    <w:keepLines/>
                    <w:autoSpaceDE w:val="0"/>
                    <w:autoSpaceDN w:val="0"/>
                    <w:adjustRightInd w:val="0"/>
                    <w:spacing w:after="0" w:line="240" w:lineRule="auto"/>
                    <w:ind w:left="15"/>
                    <w:jc w:val="center"/>
                    <w:rPr>
                      <w:rFonts w:ascii="Helv" w:hAnsi="Helv" w:cs="Helv"/>
                      <w:color w:val="000000"/>
                      <w:sz w:val="16"/>
                      <w:szCs w:val="16"/>
                    </w:rPr>
                  </w:pPr>
                  <w:r>
                    <w:rPr>
                      <w:rFonts w:ascii="Helv" w:hAnsi="Helv" w:cs="Helv"/>
                      <w:color w:val="000000"/>
                      <w:sz w:val="16"/>
                      <w:szCs w:val="16"/>
                    </w:rPr>
                    <w:t>Sese.024</w:t>
                  </w:r>
                </w:p>
              </w:tc>
              <w:tc>
                <w:tcPr>
                  <w:tcW w:w="1484" w:type="dxa"/>
                  <w:vMerge w:val="restart"/>
                  <w:tcBorders>
                    <w:top w:val="single" w:sz="6" w:space="0" w:color="000000"/>
                    <w:left w:val="single" w:sz="6" w:space="0" w:color="000000"/>
                  </w:tcBorders>
                  <w:vAlign w:val="center"/>
                </w:tcPr>
                <w:p w:rsidR="00EC35CD" w:rsidRDefault="00EC35CD" w:rsidP="00A0160C">
                  <w:pPr>
                    <w:keepNext/>
                    <w:keepLines/>
                    <w:autoSpaceDE w:val="0"/>
                    <w:autoSpaceDN w:val="0"/>
                    <w:adjustRightInd w:val="0"/>
                    <w:spacing w:after="0" w:line="240" w:lineRule="auto"/>
                    <w:ind w:left="15"/>
                    <w:jc w:val="center"/>
                    <w:rPr>
                      <w:rFonts w:ascii="Tms Rmn" w:hAnsi="Tms Rmn" w:cs="Tms Rmn"/>
                      <w:color w:val="000000"/>
                      <w:sz w:val="24"/>
                      <w:szCs w:val="24"/>
                    </w:rPr>
                  </w:pPr>
                  <w:r>
                    <w:rPr>
                      <w:rFonts w:ascii="Helv" w:hAnsi="Helv" w:cs="Helv"/>
                      <w:color w:val="000000"/>
                      <w:sz w:val="16"/>
                      <w:szCs w:val="16"/>
                    </w:rPr>
                    <w:t>View Transactions screen</w:t>
                  </w:r>
                  <w:r>
                    <w:rPr>
                      <w:rFonts w:ascii="Tms Rmn" w:hAnsi="Tms Rmn" w:cs="Tms Rmn"/>
                      <w:color w:val="000000"/>
                      <w:sz w:val="24"/>
                      <w:szCs w:val="24"/>
                    </w:rPr>
                    <w:t xml:space="preserve"> </w:t>
                  </w:r>
                </w:p>
                <w:p w:rsidR="00EC35CD" w:rsidRDefault="00EC35CD" w:rsidP="00A0160C">
                  <w:pPr>
                    <w:keepNext/>
                    <w:keepLines/>
                    <w:autoSpaceDE w:val="0"/>
                    <w:autoSpaceDN w:val="0"/>
                    <w:adjustRightInd w:val="0"/>
                    <w:spacing w:before="240" w:after="0" w:line="240" w:lineRule="auto"/>
                    <w:ind w:left="15"/>
                    <w:jc w:val="center"/>
                    <w:rPr>
                      <w:rFonts w:ascii="Helv" w:hAnsi="Helv" w:cs="Helv"/>
                      <w:color w:val="000000"/>
                      <w:sz w:val="16"/>
                      <w:szCs w:val="16"/>
                    </w:rPr>
                  </w:pPr>
                  <w:r>
                    <w:rPr>
                      <w:rFonts w:ascii="Helv" w:hAnsi="Helv" w:cs="Helv"/>
                      <w:color w:val="000000"/>
                      <w:sz w:val="16"/>
                      <w:szCs w:val="16"/>
                    </w:rPr>
                    <w:t>T2S matching reference</w:t>
                  </w:r>
                </w:p>
              </w:tc>
            </w:tr>
            <w:tr w:rsidR="00EC35CD" w:rsidTr="00A0160C">
              <w:trPr>
                <w:jc w:val="center"/>
              </w:trPr>
              <w:tc>
                <w:tcPr>
                  <w:tcW w:w="983" w:type="dxa"/>
                  <w:vMerge/>
                  <w:tcBorders>
                    <w:top w:val="single" w:sz="6" w:space="0" w:color="000000"/>
                    <w:right w:val="single" w:sz="6" w:space="0" w:color="000000"/>
                  </w:tcBorders>
                  <w:shd w:val="clear" w:color="auto" w:fill="C0C0C0"/>
                  <w:vAlign w:val="center"/>
                </w:tcPr>
                <w:p w:rsidR="00EC35CD" w:rsidRDefault="00EC35CD" w:rsidP="00A0160C">
                  <w:pPr>
                    <w:autoSpaceDE w:val="0"/>
                    <w:autoSpaceDN w:val="0"/>
                    <w:adjustRightInd w:val="0"/>
                    <w:spacing w:after="0" w:line="240" w:lineRule="auto"/>
                    <w:rPr>
                      <w:rFonts w:ascii="Helv" w:hAnsi="Helv" w:cs="Helv"/>
                      <w:color w:val="000000"/>
                      <w:sz w:val="16"/>
                      <w:szCs w:val="16"/>
                    </w:rPr>
                  </w:pPr>
                </w:p>
              </w:tc>
              <w:tc>
                <w:tcPr>
                  <w:tcW w:w="1783" w:type="dxa"/>
                  <w:tcBorders>
                    <w:top w:val="single" w:sz="6" w:space="0" w:color="000000"/>
                    <w:left w:val="single" w:sz="6" w:space="0" w:color="000000"/>
                    <w:right w:val="single" w:sz="6" w:space="0" w:color="000000"/>
                  </w:tcBorders>
                  <w:vAlign w:val="center"/>
                </w:tcPr>
                <w:p w:rsidR="00EC35CD" w:rsidRDefault="00EC35CD" w:rsidP="00A0160C">
                  <w:pPr>
                    <w:keepNext/>
                    <w:keepLines/>
                    <w:autoSpaceDE w:val="0"/>
                    <w:autoSpaceDN w:val="0"/>
                    <w:adjustRightInd w:val="0"/>
                    <w:spacing w:after="0" w:line="240" w:lineRule="auto"/>
                    <w:ind w:left="15"/>
                    <w:jc w:val="center"/>
                    <w:rPr>
                      <w:rFonts w:ascii="Helv" w:hAnsi="Helv" w:cs="Helv"/>
                      <w:color w:val="000000"/>
                      <w:sz w:val="16"/>
                      <w:szCs w:val="16"/>
                    </w:rPr>
                  </w:pPr>
                  <w:r>
                    <w:rPr>
                      <w:rFonts w:ascii="Helv" w:hAnsi="Helv" w:cs="Helv"/>
                      <w:color w:val="000000"/>
                      <w:sz w:val="16"/>
                      <w:szCs w:val="16"/>
                    </w:rPr>
                    <w:t>:20C::PROC</w:t>
                  </w:r>
                </w:p>
              </w:tc>
              <w:tc>
                <w:tcPr>
                  <w:tcW w:w="3250" w:type="dxa"/>
                  <w:tcBorders>
                    <w:top w:val="single" w:sz="6" w:space="0" w:color="000000"/>
                    <w:left w:val="single" w:sz="6" w:space="0" w:color="000000"/>
                    <w:right w:val="single" w:sz="6" w:space="0" w:color="000000"/>
                  </w:tcBorders>
                  <w:vAlign w:val="center"/>
                </w:tcPr>
                <w:p w:rsidR="00EC35CD" w:rsidRDefault="00EC35CD" w:rsidP="00A0160C">
                  <w:pPr>
                    <w:keepNext/>
                    <w:keepLines/>
                    <w:autoSpaceDE w:val="0"/>
                    <w:autoSpaceDN w:val="0"/>
                    <w:adjustRightInd w:val="0"/>
                    <w:spacing w:after="0" w:line="240" w:lineRule="auto"/>
                    <w:ind w:left="15"/>
                    <w:jc w:val="center"/>
                    <w:rPr>
                      <w:rFonts w:ascii="Tms Rmn" w:hAnsi="Tms Rmn" w:cs="Tms Rmn"/>
                      <w:color w:val="000000"/>
                      <w:sz w:val="24"/>
                      <w:szCs w:val="24"/>
                    </w:rPr>
                  </w:pPr>
                  <w:r>
                    <w:rPr>
                      <w:rFonts w:ascii="Helv" w:hAnsi="Helv" w:cs="Helv"/>
                      <w:color w:val="000000"/>
                      <w:sz w:val="16"/>
                      <w:szCs w:val="16"/>
                    </w:rPr>
                    <w:t>Supplementary Data</w:t>
                  </w:r>
                  <w:r>
                    <w:rPr>
                      <w:rFonts w:ascii="Tms Rmn" w:hAnsi="Tms Rmn" w:cs="Tms Rmn"/>
                      <w:color w:val="000000"/>
                      <w:sz w:val="24"/>
                      <w:szCs w:val="24"/>
                    </w:rPr>
                    <w:t xml:space="preserve"> </w:t>
                  </w:r>
                </w:p>
                <w:p w:rsidR="00EC35CD" w:rsidRDefault="00EC35CD" w:rsidP="00A0160C">
                  <w:pPr>
                    <w:keepNext/>
                    <w:keepLines/>
                    <w:autoSpaceDE w:val="0"/>
                    <w:autoSpaceDN w:val="0"/>
                    <w:adjustRightInd w:val="0"/>
                    <w:spacing w:before="240" w:after="0" w:line="240" w:lineRule="auto"/>
                    <w:ind w:left="15"/>
                    <w:jc w:val="center"/>
                    <w:rPr>
                      <w:rFonts w:ascii="Helv" w:hAnsi="Helv" w:cs="Helv"/>
                      <w:color w:val="000000"/>
                      <w:sz w:val="16"/>
                      <w:szCs w:val="16"/>
                    </w:rPr>
                  </w:pPr>
                  <w:proofErr w:type="spellStart"/>
                  <w:r>
                    <w:rPr>
                      <w:rFonts w:ascii="Helv" w:hAnsi="Helv" w:cs="Helv"/>
                      <w:color w:val="000000"/>
                      <w:sz w:val="16"/>
                      <w:szCs w:val="16"/>
                    </w:rPr>
                    <w:t>SplmtryData</w:t>
                  </w:r>
                  <w:proofErr w:type="spellEnd"/>
                  <w:r>
                    <w:rPr>
                      <w:rFonts w:ascii="Helv" w:hAnsi="Helv" w:cs="Helv"/>
                      <w:color w:val="000000"/>
                      <w:sz w:val="16"/>
                      <w:szCs w:val="16"/>
                    </w:rPr>
                    <w:t>\</w:t>
                  </w:r>
                  <w:proofErr w:type="spellStart"/>
                  <w:r>
                    <w:rPr>
                      <w:rFonts w:ascii="Helv" w:hAnsi="Helv" w:cs="Helv"/>
                      <w:color w:val="000000"/>
                      <w:sz w:val="16"/>
                      <w:szCs w:val="16"/>
                    </w:rPr>
                    <w:t>RltdTxId</w:t>
                  </w:r>
                  <w:proofErr w:type="spellEnd"/>
                </w:p>
              </w:tc>
              <w:tc>
                <w:tcPr>
                  <w:tcW w:w="1484" w:type="dxa"/>
                  <w:vMerge/>
                  <w:tcBorders>
                    <w:top w:val="single" w:sz="6" w:space="0" w:color="000000"/>
                    <w:left w:val="single" w:sz="6" w:space="0" w:color="000000"/>
                  </w:tcBorders>
                  <w:vAlign w:val="center"/>
                </w:tcPr>
                <w:p w:rsidR="00EC35CD" w:rsidRDefault="00EC35CD" w:rsidP="00A0160C">
                  <w:pPr>
                    <w:keepNext/>
                    <w:keepLines/>
                    <w:autoSpaceDE w:val="0"/>
                    <w:autoSpaceDN w:val="0"/>
                    <w:adjustRightInd w:val="0"/>
                    <w:spacing w:before="240" w:after="0" w:line="240" w:lineRule="auto"/>
                    <w:ind w:left="15"/>
                    <w:jc w:val="center"/>
                    <w:rPr>
                      <w:rFonts w:ascii="Helv" w:hAnsi="Helv" w:cs="Helv"/>
                      <w:color w:val="000000"/>
                      <w:sz w:val="16"/>
                      <w:szCs w:val="16"/>
                    </w:rPr>
                  </w:pPr>
                </w:p>
              </w:tc>
            </w:tr>
          </w:tbl>
          <w:p w:rsidR="00EC35CD" w:rsidRPr="00EC35CD" w:rsidRDefault="00EC35CD" w:rsidP="00EC35CD">
            <w:pPr>
              <w:spacing w:before="120"/>
              <w:jc w:val="both"/>
              <w:rPr>
                <w:rFonts w:cs="Tahoma"/>
                <w:lang w:eastAsia="fr-FR"/>
              </w:rPr>
            </w:pPr>
          </w:p>
          <w:p w:rsidR="00EC35CD" w:rsidRPr="00EC35CD" w:rsidRDefault="00EC35CD" w:rsidP="00223D2C">
            <w:pPr>
              <w:pStyle w:val="ListParagraph"/>
              <w:numPr>
                <w:ilvl w:val="0"/>
                <w:numId w:val="21"/>
              </w:numPr>
              <w:spacing w:before="120"/>
              <w:ind w:left="714" w:hanging="357"/>
              <w:contextualSpacing w:val="0"/>
              <w:jc w:val="both"/>
              <w:rPr>
                <w:rFonts w:cs="Tahoma"/>
                <w:lang w:eastAsia="fr-FR"/>
              </w:rPr>
            </w:pPr>
            <w:r>
              <w:rPr>
                <w:rFonts w:cs="Tahoma"/>
                <w:lang w:eastAsia="fr-FR"/>
              </w:rPr>
              <w:t>On the contrary to the standards, these instructions issued by custodians will not present the ISO settlement condition code ‘TRAN’, which is a privilege of the CSD.</w:t>
            </w:r>
          </w:p>
          <w:p w:rsidR="0073357F" w:rsidRDefault="00EC35CD" w:rsidP="00223D2C">
            <w:pPr>
              <w:pStyle w:val="ListParagraph"/>
              <w:numPr>
                <w:ilvl w:val="0"/>
                <w:numId w:val="21"/>
              </w:numPr>
              <w:spacing w:before="120"/>
              <w:ind w:left="714" w:hanging="357"/>
              <w:contextualSpacing w:val="0"/>
              <w:jc w:val="both"/>
              <w:rPr>
                <w:rFonts w:cs="Tahoma"/>
                <w:lang w:eastAsia="fr-FR"/>
              </w:rPr>
            </w:pPr>
            <w:r>
              <w:rPr>
                <w:rFonts w:cs="Tahoma"/>
                <w:lang w:eastAsia="fr-FR"/>
              </w:rPr>
              <w:t>Keep when appropriate the same indicator ‘Partial Settlement’ as in the underlying instruction</w:t>
            </w:r>
          </w:p>
          <w:p w:rsidR="00EC35CD" w:rsidRDefault="00EC35CD" w:rsidP="00223D2C">
            <w:pPr>
              <w:pStyle w:val="ListParagraph"/>
              <w:numPr>
                <w:ilvl w:val="0"/>
                <w:numId w:val="21"/>
              </w:numPr>
              <w:spacing w:before="120"/>
              <w:ind w:left="714" w:hanging="357"/>
              <w:contextualSpacing w:val="0"/>
              <w:jc w:val="both"/>
              <w:rPr>
                <w:rFonts w:cs="Tahoma"/>
                <w:lang w:eastAsia="fr-FR"/>
              </w:rPr>
            </w:pPr>
            <w:r>
              <w:rPr>
                <w:rFonts w:cs="Tahoma"/>
                <w:lang w:eastAsia="fr-FR"/>
              </w:rPr>
              <w:t>Keep when appropriate the same ‘Hold and Release’ as in the underlying instruction</w:t>
            </w:r>
          </w:p>
          <w:p w:rsidR="00EC35CD" w:rsidRDefault="00EC35CD" w:rsidP="00223D2C">
            <w:pPr>
              <w:pStyle w:val="ListParagraph"/>
              <w:numPr>
                <w:ilvl w:val="0"/>
                <w:numId w:val="21"/>
              </w:numPr>
              <w:spacing w:before="120"/>
              <w:ind w:left="714" w:hanging="357"/>
              <w:contextualSpacing w:val="0"/>
              <w:jc w:val="both"/>
              <w:rPr>
                <w:rFonts w:cs="Tahoma"/>
                <w:lang w:eastAsia="fr-FR"/>
              </w:rPr>
            </w:pPr>
            <w:r>
              <w:rPr>
                <w:rFonts w:cs="Tahoma"/>
                <w:lang w:eastAsia="fr-FR"/>
              </w:rPr>
              <w:t>Keep the same Trade Date of the underlying instruction.</w:t>
            </w:r>
          </w:p>
          <w:p w:rsidR="00EC35CD" w:rsidRDefault="00EC35CD" w:rsidP="00223D2C">
            <w:pPr>
              <w:pStyle w:val="ListParagraph"/>
              <w:numPr>
                <w:ilvl w:val="0"/>
                <w:numId w:val="21"/>
              </w:numPr>
              <w:spacing w:before="120"/>
              <w:ind w:left="714" w:hanging="357"/>
              <w:contextualSpacing w:val="0"/>
              <w:jc w:val="both"/>
              <w:rPr>
                <w:rFonts w:cs="Tahoma"/>
                <w:lang w:eastAsia="fr-FR"/>
              </w:rPr>
            </w:pPr>
            <w:r>
              <w:rPr>
                <w:rFonts w:cs="Tahoma"/>
                <w:lang w:eastAsia="fr-FR"/>
              </w:rPr>
              <w:t>Fill the intended settlement date with the latest of the CA payment date and the intended settlement date of the underlying instruction.</w:t>
            </w:r>
          </w:p>
          <w:p w:rsidR="00EC35CD" w:rsidRDefault="00EC35CD" w:rsidP="00223D2C">
            <w:pPr>
              <w:pStyle w:val="ListParagraph"/>
              <w:numPr>
                <w:ilvl w:val="0"/>
                <w:numId w:val="21"/>
              </w:numPr>
              <w:spacing w:before="120"/>
              <w:ind w:left="714" w:hanging="357"/>
              <w:contextualSpacing w:val="0"/>
              <w:jc w:val="both"/>
              <w:rPr>
                <w:rFonts w:cs="Tahoma"/>
                <w:lang w:eastAsia="fr-FR"/>
              </w:rPr>
            </w:pPr>
            <w:r>
              <w:rPr>
                <w:rFonts w:cs="Tahoma"/>
                <w:lang w:eastAsia="fr-FR"/>
              </w:rPr>
              <w:t>Keep the same counterparty details as the underlying instruction (the BIC11 in the field Party1 must be identical to that of the original transaction), as well as all optional fields (*).</w:t>
            </w:r>
          </w:p>
          <w:p w:rsidR="00EC35CD" w:rsidRDefault="00EC35CD" w:rsidP="00223D2C">
            <w:pPr>
              <w:pStyle w:val="ListParagraph"/>
              <w:numPr>
                <w:ilvl w:val="0"/>
                <w:numId w:val="21"/>
              </w:numPr>
              <w:spacing w:before="120"/>
              <w:ind w:left="714" w:hanging="357"/>
              <w:contextualSpacing w:val="0"/>
              <w:jc w:val="both"/>
              <w:rPr>
                <w:rFonts w:cs="Tahoma"/>
                <w:lang w:eastAsia="fr-FR"/>
              </w:rPr>
            </w:pPr>
            <w:r>
              <w:rPr>
                <w:rFonts w:cs="Tahoma"/>
                <w:lang w:eastAsia="fr-FR"/>
              </w:rPr>
              <w:t xml:space="preserve">Conform to the ratio method, full balance or ratio compliant as defined by the issuer (see the section </w:t>
            </w:r>
            <w:r>
              <w:rPr>
                <w:rFonts w:cs="Tahoma"/>
                <w:u w:val="single"/>
                <w:lang w:eastAsia="fr-FR"/>
              </w:rPr>
              <w:t>Reorganizations in securities with fractions</w:t>
            </w:r>
            <w:r>
              <w:rPr>
                <w:rFonts w:cs="Tahoma"/>
                <w:lang w:eastAsia="fr-FR"/>
              </w:rPr>
              <w:t>).</w:t>
            </w:r>
          </w:p>
          <w:p w:rsidR="00EC35CD" w:rsidRDefault="00EC35CD" w:rsidP="00223D2C">
            <w:pPr>
              <w:pStyle w:val="ListParagraph"/>
              <w:numPr>
                <w:ilvl w:val="0"/>
                <w:numId w:val="21"/>
              </w:numPr>
              <w:spacing w:before="120"/>
              <w:ind w:left="714" w:hanging="357"/>
              <w:contextualSpacing w:val="0"/>
              <w:jc w:val="both"/>
              <w:rPr>
                <w:rFonts w:cs="Tahoma"/>
                <w:lang w:eastAsia="fr-FR"/>
              </w:rPr>
            </w:pPr>
            <w:r>
              <w:rPr>
                <w:rFonts w:cs="Tahoma"/>
                <w:lang w:eastAsia="fr-FR"/>
              </w:rPr>
              <w:t>If several transformation instructions must be created, they must not be linked (case of transformations with an indemnification of fractions</w:t>
            </w:r>
            <w:r w:rsidR="00A0160C">
              <w:rPr>
                <w:rFonts w:cs="Tahoma"/>
                <w:lang w:eastAsia="fr-FR"/>
              </w:rPr>
              <w:t>)</w:t>
            </w:r>
          </w:p>
          <w:p w:rsidR="00A0160C" w:rsidRPr="008F612F" w:rsidRDefault="00A0160C" w:rsidP="00223D2C">
            <w:pPr>
              <w:pStyle w:val="ListParagraph"/>
              <w:numPr>
                <w:ilvl w:val="0"/>
                <w:numId w:val="21"/>
              </w:numPr>
              <w:spacing w:before="120"/>
              <w:ind w:left="714" w:hanging="357"/>
              <w:contextualSpacing w:val="0"/>
              <w:jc w:val="both"/>
              <w:rPr>
                <w:rFonts w:cs="Tahoma"/>
                <w:lang w:eastAsia="fr-FR"/>
              </w:rPr>
            </w:pPr>
            <w:r w:rsidRPr="008F612F">
              <w:rPr>
                <w:rFonts w:cs="Tahoma"/>
                <w:lang w:eastAsia="fr-FR"/>
              </w:rPr>
              <w:t>Where instructions concern registered securities of the type VEN ‘</w:t>
            </w:r>
            <w:proofErr w:type="spellStart"/>
            <w:r w:rsidRPr="008F612F">
              <w:rPr>
                <w:rFonts w:cs="Tahoma"/>
                <w:lang w:eastAsia="fr-FR"/>
              </w:rPr>
              <w:t>Valeurs</w:t>
            </w:r>
            <w:proofErr w:type="spellEnd"/>
            <w:r w:rsidRPr="008F612F">
              <w:rPr>
                <w:rFonts w:cs="Tahoma"/>
                <w:lang w:eastAsia="fr-FR"/>
              </w:rPr>
              <w:t xml:space="preserve"> </w:t>
            </w:r>
            <w:proofErr w:type="spellStart"/>
            <w:r w:rsidRPr="008F612F">
              <w:rPr>
                <w:rFonts w:cs="Tahoma"/>
                <w:lang w:eastAsia="fr-FR"/>
              </w:rPr>
              <w:t>Essentiellement</w:t>
            </w:r>
            <w:proofErr w:type="spellEnd"/>
            <w:r w:rsidRPr="008F612F">
              <w:rPr>
                <w:rFonts w:cs="Tahoma"/>
                <w:lang w:eastAsia="fr-FR"/>
              </w:rPr>
              <w:t xml:space="preserve"> Nominatives’ (essentially nominative shares), the ‘Code Type </w:t>
            </w:r>
            <w:proofErr w:type="spellStart"/>
            <w:r w:rsidRPr="008F612F">
              <w:rPr>
                <w:rFonts w:cs="Tahoma"/>
                <w:lang w:eastAsia="fr-FR"/>
              </w:rPr>
              <w:t>Opération</w:t>
            </w:r>
            <w:proofErr w:type="spellEnd"/>
            <w:r w:rsidRPr="008F612F">
              <w:rPr>
                <w:rFonts w:cs="Tahoma"/>
                <w:lang w:eastAsia="fr-FR"/>
              </w:rPr>
              <w:t xml:space="preserve">’ (‘CTO’) ‘GO’ must be mentioned in the field 22F ‘Registered Transaction Type’ (REGT) in ISO 15022 messages, </w:t>
            </w:r>
            <w:proofErr w:type="gramStart"/>
            <w:r w:rsidRPr="008F612F">
              <w:rPr>
                <w:rFonts w:cs="Tahoma"/>
                <w:lang w:eastAsia="fr-FR"/>
              </w:rPr>
              <w:t xml:space="preserve">or </w:t>
            </w:r>
            <w:r w:rsidR="008F612F" w:rsidRPr="008F612F">
              <w:rPr>
                <w:rFonts w:eastAsia="MS Mincho" w:cs="Times New Roman"/>
                <w:szCs w:val="32"/>
              </w:rPr>
              <w:t xml:space="preserve"> &lt;</w:t>
            </w:r>
            <w:proofErr w:type="spellStart"/>
            <w:proofErr w:type="gramEnd"/>
            <w:r w:rsidR="008F612F" w:rsidRPr="008F612F">
              <w:rPr>
                <w:rFonts w:eastAsia="MS Mincho" w:cs="Times New Roman"/>
                <w:szCs w:val="32"/>
              </w:rPr>
              <w:t>Regn</w:t>
            </w:r>
            <w:proofErr w:type="spellEnd"/>
            <w:r w:rsidR="008F612F" w:rsidRPr="008F612F">
              <w:rPr>
                <w:rFonts w:eastAsia="MS Mincho" w:cs="Times New Roman"/>
                <w:szCs w:val="32"/>
              </w:rPr>
              <w:t>&gt;&lt;</w:t>
            </w:r>
            <w:proofErr w:type="spellStart"/>
            <w:r w:rsidR="008F612F" w:rsidRPr="008F612F">
              <w:rPr>
                <w:rFonts w:eastAsia="MS Mincho" w:cs="Times New Roman"/>
                <w:szCs w:val="32"/>
              </w:rPr>
              <w:t>Prtry</w:t>
            </w:r>
            <w:proofErr w:type="spellEnd"/>
            <w:r w:rsidR="008F612F" w:rsidRPr="008F612F">
              <w:rPr>
                <w:rFonts w:eastAsia="MS Mincho" w:cs="Times New Roman"/>
                <w:szCs w:val="32"/>
              </w:rPr>
              <w:t>&gt;&lt;Id&gt;00GO&lt;/Id&gt;&lt;</w:t>
            </w:r>
            <w:proofErr w:type="spellStart"/>
            <w:r w:rsidR="008F612F" w:rsidRPr="008F612F">
              <w:rPr>
                <w:rFonts w:eastAsia="MS Mincho" w:cs="Times New Roman"/>
                <w:szCs w:val="32"/>
              </w:rPr>
              <w:t>Issr</w:t>
            </w:r>
            <w:proofErr w:type="spellEnd"/>
            <w:r w:rsidR="008F612F" w:rsidRPr="008F612F">
              <w:rPr>
                <w:rFonts w:eastAsia="MS Mincho" w:cs="Times New Roman"/>
                <w:szCs w:val="32"/>
              </w:rPr>
              <w:t>&gt;EGSP&lt;/</w:t>
            </w:r>
            <w:proofErr w:type="spellStart"/>
            <w:r w:rsidR="008F612F" w:rsidRPr="008F612F">
              <w:rPr>
                <w:rFonts w:eastAsia="MS Mincho" w:cs="Times New Roman"/>
                <w:szCs w:val="32"/>
              </w:rPr>
              <w:t>Issr</w:t>
            </w:r>
            <w:proofErr w:type="spellEnd"/>
            <w:r w:rsidR="008F612F" w:rsidRPr="008F612F">
              <w:rPr>
                <w:rFonts w:eastAsia="MS Mincho" w:cs="Times New Roman"/>
                <w:szCs w:val="32"/>
              </w:rPr>
              <w:t>&gt;&lt;/</w:t>
            </w:r>
            <w:proofErr w:type="spellStart"/>
            <w:r w:rsidR="008F612F" w:rsidRPr="008F612F">
              <w:rPr>
                <w:rFonts w:eastAsia="MS Mincho" w:cs="Times New Roman"/>
                <w:szCs w:val="32"/>
              </w:rPr>
              <w:t>Prtry</w:t>
            </w:r>
            <w:proofErr w:type="spellEnd"/>
            <w:r w:rsidR="008F612F" w:rsidRPr="008F612F">
              <w:rPr>
                <w:rFonts w:eastAsia="MS Mincho" w:cs="Times New Roman"/>
                <w:szCs w:val="32"/>
              </w:rPr>
              <w:t>&gt;&lt;/</w:t>
            </w:r>
            <w:proofErr w:type="spellStart"/>
            <w:r w:rsidR="008F612F" w:rsidRPr="008F612F">
              <w:rPr>
                <w:rFonts w:eastAsia="MS Mincho" w:cs="Times New Roman"/>
                <w:szCs w:val="32"/>
              </w:rPr>
              <w:t>Regn</w:t>
            </w:r>
            <w:proofErr w:type="spellEnd"/>
            <w:r w:rsidR="008F612F" w:rsidRPr="008F612F">
              <w:rPr>
                <w:rFonts w:eastAsia="MS Mincho" w:cs="Times New Roman"/>
                <w:szCs w:val="32"/>
              </w:rPr>
              <w:t xml:space="preserve">&gt; in ISO 20022. </w:t>
            </w:r>
            <w:r w:rsidR="008F612F">
              <w:rPr>
                <w:rFonts w:eastAsia="MS Mincho" w:cs="Times New Roman"/>
                <w:szCs w:val="32"/>
              </w:rPr>
              <w:t xml:space="preserve">Each </w:t>
            </w:r>
            <w:r w:rsidR="008F612F" w:rsidRPr="008F612F">
              <w:rPr>
                <w:rFonts w:eastAsia="MS Mincho" w:cs="Times New Roman"/>
                <w:szCs w:val="32"/>
              </w:rPr>
              <w:t xml:space="preserve">participant </w:t>
            </w:r>
            <w:r w:rsidR="008F612F">
              <w:rPr>
                <w:rFonts w:eastAsia="MS Mincho" w:cs="Times New Roman"/>
                <w:szCs w:val="32"/>
              </w:rPr>
              <w:t>should use the appropriate account structure.</w:t>
            </w:r>
          </w:p>
          <w:p w:rsidR="00EC35CD" w:rsidRPr="00F71329" w:rsidRDefault="00F71329" w:rsidP="00EC35CD">
            <w:pPr>
              <w:spacing w:before="120"/>
              <w:jc w:val="both"/>
              <w:rPr>
                <w:rFonts w:cs="Tahoma"/>
                <w:i/>
                <w:sz w:val="18"/>
                <w:lang w:eastAsia="fr-FR"/>
              </w:rPr>
            </w:pPr>
            <w:r w:rsidRPr="00F71329">
              <w:rPr>
                <w:rFonts w:cs="Tahoma"/>
                <w:i/>
                <w:sz w:val="18"/>
                <w:lang w:eastAsia="fr-FR"/>
              </w:rPr>
              <w:t>(*)</w:t>
            </w:r>
            <w:r w:rsidR="00223D2C">
              <w:rPr>
                <w:rFonts w:cs="Tahoma"/>
                <w:i/>
                <w:sz w:val="18"/>
                <w:lang w:eastAsia="fr-FR"/>
              </w:rPr>
              <w:t xml:space="preserve"> </w:t>
            </w:r>
            <w:r>
              <w:rPr>
                <w:rFonts w:cs="Tahoma"/>
                <w:i/>
                <w:sz w:val="18"/>
                <w:lang w:eastAsia="fr-FR"/>
              </w:rPr>
              <w:t xml:space="preserve">In order to avoid mismatching, it is not recommended that the optional field ‘SAC Account’ is used </w:t>
            </w:r>
            <w:r w:rsidR="00BA0A76">
              <w:rPr>
                <w:rFonts w:cs="Tahoma"/>
                <w:i/>
                <w:sz w:val="18"/>
                <w:lang w:eastAsia="fr-FR"/>
              </w:rPr>
              <w:t xml:space="preserve">in </w:t>
            </w:r>
            <w:r>
              <w:rPr>
                <w:rFonts w:cs="Tahoma"/>
                <w:i/>
                <w:sz w:val="18"/>
                <w:lang w:eastAsia="fr-FR"/>
              </w:rPr>
              <w:t xml:space="preserve">the </w:t>
            </w:r>
            <w:r w:rsidR="00BA0A76">
              <w:rPr>
                <w:rFonts w:cs="Tahoma"/>
                <w:i/>
                <w:sz w:val="18"/>
                <w:lang w:eastAsia="fr-FR"/>
              </w:rPr>
              <w:t xml:space="preserve">counterparty </w:t>
            </w:r>
            <w:r>
              <w:rPr>
                <w:rFonts w:cs="Tahoma"/>
                <w:i/>
                <w:sz w:val="18"/>
                <w:lang w:eastAsia="fr-FR"/>
              </w:rPr>
              <w:t>details.</w:t>
            </w:r>
          </w:p>
          <w:p w:rsidR="00F71329" w:rsidRDefault="00F71329" w:rsidP="00EC35CD">
            <w:pPr>
              <w:spacing w:before="120"/>
              <w:jc w:val="both"/>
              <w:rPr>
                <w:rFonts w:cs="Tahoma"/>
                <w:lang w:eastAsia="fr-FR"/>
              </w:rPr>
            </w:pPr>
          </w:p>
          <w:p w:rsidR="00BA0A76" w:rsidRDefault="00BA0A76" w:rsidP="00EC35CD">
            <w:pPr>
              <w:spacing w:before="120"/>
              <w:jc w:val="both"/>
              <w:rPr>
                <w:rFonts w:cs="Tahoma"/>
                <w:lang w:eastAsia="fr-FR"/>
              </w:rPr>
            </w:pPr>
          </w:p>
          <w:p w:rsidR="00223D2C" w:rsidRDefault="00223D2C" w:rsidP="00EC35CD">
            <w:pPr>
              <w:spacing w:before="120"/>
              <w:jc w:val="both"/>
              <w:rPr>
                <w:rFonts w:cs="Tahoma"/>
                <w:b/>
                <w:sz w:val="28"/>
                <w:lang w:eastAsia="fr-FR"/>
              </w:rPr>
            </w:pPr>
          </w:p>
          <w:p w:rsidR="00BA0A76" w:rsidRPr="00BA0A76" w:rsidRDefault="00BA0A76" w:rsidP="00EC35CD">
            <w:pPr>
              <w:spacing w:before="120"/>
              <w:jc w:val="both"/>
              <w:rPr>
                <w:rFonts w:cs="Tahoma"/>
                <w:b/>
                <w:sz w:val="28"/>
                <w:lang w:eastAsia="fr-FR"/>
              </w:rPr>
            </w:pPr>
            <w:r w:rsidRPr="00BA0A76">
              <w:rPr>
                <w:rFonts w:cs="Tahoma"/>
                <w:b/>
                <w:sz w:val="28"/>
                <w:lang w:eastAsia="fr-FR"/>
              </w:rPr>
              <w:lastRenderedPageBreak/>
              <w:t>Part Two</w:t>
            </w:r>
          </w:p>
          <w:p w:rsidR="00071BAE" w:rsidRPr="00821F27" w:rsidRDefault="00071BAE" w:rsidP="00071BAE">
            <w:pPr>
              <w:spacing w:before="240"/>
              <w:jc w:val="both"/>
              <w:rPr>
                <w:rFonts w:cs="Tahoma"/>
                <w:b/>
                <w:u w:val="single"/>
                <w:lang w:eastAsia="fr-FR"/>
              </w:rPr>
            </w:pPr>
            <w:r w:rsidRPr="00821F27">
              <w:rPr>
                <w:rFonts w:cs="Tahoma"/>
                <w:b/>
                <w:u w:val="single"/>
                <w:lang w:eastAsia="fr-FR"/>
              </w:rPr>
              <w:t xml:space="preserve">Transformations in </w:t>
            </w:r>
            <w:r>
              <w:rPr>
                <w:rFonts w:cs="Tahoma"/>
                <w:b/>
                <w:u w:val="single"/>
                <w:lang w:eastAsia="fr-FR"/>
              </w:rPr>
              <w:t>cash</w:t>
            </w:r>
          </w:p>
          <w:p w:rsidR="00BA0A76" w:rsidRDefault="00071BAE" w:rsidP="00EC35CD">
            <w:pPr>
              <w:spacing w:before="120"/>
              <w:jc w:val="both"/>
              <w:rPr>
                <w:rFonts w:cs="Tahoma"/>
                <w:lang w:eastAsia="fr-FR"/>
              </w:rPr>
            </w:pPr>
            <w:r>
              <w:rPr>
                <w:rFonts w:cs="Tahoma"/>
                <w:lang w:eastAsia="fr-FR"/>
              </w:rPr>
              <w:t xml:space="preserve">For most </w:t>
            </w:r>
            <w:proofErr w:type="gramStart"/>
            <w:r>
              <w:rPr>
                <w:rFonts w:cs="Tahoma"/>
                <w:lang w:eastAsia="fr-FR"/>
              </w:rPr>
              <w:t>reorganizations</w:t>
            </w:r>
            <w:proofErr w:type="gramEnd"/>
            <w:r>
              <w:rPr>
                <w:rFonts w:cs="Tahoma"/>
                <w:lang w:eastAsia="fr-FR"/>
              </w:rPr>
              <w:t xml:space="preserve"> in cash, it will not be possible to send to T2S settlement instructions because the security will have reached its maturity at the time the corporate action is paid. As a consequence, these operations will usually be paid in T2.</w:t>
            </w:r>
          </w:p>
          <w:p w:rsidR="00071BAE" w:rsidRPr="0073357F" w:rsidRDefault="00071BAE" w:rsidP="00071BAE">
            <w:pPr>
              <w:spacing w:before="120"/>
              <w:jc w:val="both"/>
              <w:rPr>
                <w:rFonts w:cs="Tahoma"/>
                <w:u w:val="single"/>
                <w:lang w:eastAsia="fr-FR"/>
              </w:rPr>
            </w:pPr>
            <w:r w:rsidRPr="0073357F">
              <w:rPr>
                <w:rFonts w:cs="Tahoma"/>
                <w:u w:val="single"/>
                <w:lang w:eastAsia="fr-FR"/>
              </w:rPr>
              <w:t xml:space="preserve">Scope of </w:t>
            </w:r>
            <w:r>
              <w:rPr>
                <w:rFonts w:cs="Tahoma"/>
                <w:u w:val="single"/>
                <w:lang w:eastAsia="fr-FR"/>
              </w:rPr>
              <w:t>operations</w:t>
            </w:r>
          </w:p>
          <w:p w:rsidR="00071BAE" w:rsidRDefault="00071BAE" w:rsidP="00071BAE">
            <w:pPr>
              <w:spacing w:before="120"/>
              <w:jc w:val="both"/>
              <w:rPr>
                <w:rFonts w:cs="Tahoma"/>
                <w:lang w:eastAsia="fr-FR"/>
              </w:rPr>
            </w:pPr>
            <w:r>
              <w:rPr>
                <w:rFonts w:cs="Tahoma"/>
                <w:lang w:eastAsia="fr-FR"/>
              </w:rPr>
              <w:t>The below mentioned list is not exhaustive, all corporate action event (CAEV) the settlement of which is due in cash will be subject to the transformation procedure described in the present market practice.</w:t>
            </w:r>
          </w:p>
          <w:p w:rsidR="00071BAE" w:rsidRDefault="00071BAE" w:rsidP="00071BAE">
            <w:pPr>
              <w:spacing w:before="120"/>
              <w:jc w:val="both"/>
              <w:rPr>
                <w:rFonts w:cs="Tahoma"/>
                <w:lang w:eastAsia="fr-FR"/>
              </w:rPr>
            </w:pPr>
            <w:r>
              <w:rPr>
                <w:rFonts w:cs="Tahoma"/>
                <w:lang w:eastAsia="fr-FR"/>
              </w:rPr>
              <w:t>As examples, the following CAEV can result in transformation in cash:</w:t>
            </w:r>
          </w:p>
          <w:p w:rsidR="00071BAE" w:rsidRPr="00DD50BE" w:rsidRDefault="00071BAE" w:rsidP="00071BAE">
            <w:pPr>
              <w:pStyle w:val="ListParagraph"/>
              <w:numPr>
                <w:ilvl w:val="0"/>
                <w:numId w:val="23"/>
              </w:numPr>
              <w:jc w:val="both"/>
              <w:rPr>
                <w:rFonts w:eastAsia="MS Mincho" w:cs="Times New Roman"/>
                <w:szCs w:val="32"/>
                <w:lang w:val="fr-FR"/>
              </w:rPr>
            </w:pPr>
            <w:r w:rsidRPr="00DD50BE">
              <w:rPr>
                <w:rFonts w:eastAsia="MS Mincho" w:cs="Times New Roman"/>
                <w:szCs w:val="32"/>
                <w:lang w:val="fr-FR"/>
              </w:rPr>
              <w:t xml:space="preserve">REDM : </w:t>
            </w:r>
            <w:r>
              <w:rPr>
                <w:rFonts w:eastAsia="MS Mincho" w:cs="Times New Roman"/>
                <w:szCs w:val="32"/>
                <w:lang w:val="fr-FR"/>
              </w:rPr>
              <w:t xml:space="preserve">Final </w:t>
            </w:r>
            <w:proofErr w:type="spellStart"/>
            <w:r>
              <w:rPr>
                <w:rFonts w:eastAsia="MS Mincho" w:cs="Times New Roman"/>
                <w:szCs w:val="32"/>
                <w:lang w:val="fr-FR"/>
              </w:rPr>
              <w:t>redemptions</w:t>
            </w:r>
            <w:proofErr w:type="spellEnd"/>
          </w:p>
          <w:p w:rsidR="00071BAE" w:rsidRPr="00DD50BE" w:rsidRDefault="00071BAE" w:rsidP="00071BAE">
            <w:pPr>
              <w:pStyle w:val="ListParagraph"/>
              <w:numPr>
                <w:ilvl w:val="0"/>
                <w:numId w:val="24"/>
              </w:numPr>
              <w:jc w:val="both"/>
              <w:rPr>
                <w:rFonts w:eastAsia="MS Mincho" w:cs="Times New Roman"/>
                <w:szCs w:val="32"/>
                <w:lang w:val="fr-FR"/>
              </w:rPr>
            </w:pPr>
            <w:r w:rsidRPr="00DD50BE">
              <w:rPr>
                <w:rFonts w:eastAsia="MS Mincho" w:cs="Times New Roman"/>
                <w:szCs w:val="32"/>
                <w:lang w:val="fr-FR"/>
              </w:rPr>
              <w:t xml:space="preserve">MCAL : </w:t>
            </w:r>
            <w:proofErr w:type="spellStart"/>
            <w:r>
              <w:rPr>
                <w:rFonts w:eastAsia="MS Mincho" w:cs="Times New Roman"/>
                <w:szCs w:val="32"/>
                <w:lang w:val="fr-FR"/>
              </w:rPr>
              <w:t>Anticipated</w:t>
            </w:r>
            <w:proofErr w:type="spellEnd"/>
            <w:r>
              <w:rPr>
                <w:rFonts w:eastAsia="MS Mincho" w:cs="Times New Roman"/>
                <w:szCs w:val="32"/>
                <w:lang w:val="fr-FR"/>
              </w:rPr>
              <w:t xml:space="preserve"> </w:t>
            </w:r>
            <w:proofErr w:type="spellStart"/>
            <w:r>
              <w:rPr>
                <w:rFonts w:eastAsia="MS Mincho" w:cs="Times New Roman"/>
                <w:szCs w:val="32"/>
                <w:lang w:val="fr-FR"/>
              </w:rPr>
              <w:t>redemptions</w:t>
            </w:r>
            <w:proofErr w:type="spellEnd"/>
            <w:r w:rsidR="00AE3BC4">
              <w:rPr>
                <w:rFonts w:eastAsia="MS Mincho" w:cs="Times New Roman"/>
                <w:szCs w:val="32"/>
                <w:lang w:val="fr-FR"/>
              </w:rPr>
              <w:t xml:space="preserve"> / calls</w:t>
            </w:r>
          </w:p>
          <w:p w:rsidR="00071BAE" w:rsidRPr="00DD50BE" w:rsidRDefault="00071BAE" w:rsidP="00071BAE">
            <w:pPr>
              <w:pStyle w:val="ListParagraph"/>
              <w:numPr>
                <w:ilvl w:val="0"/>
                <w:numId w:val="24"/>
              </w:numPr>
              <w:jc w:val="both"/>
              <w:rPr>
                <w:rFonts w:eastAsia="MS Mincho" w:cs="Times New Roman"/>
                <w:szCs w:val="32"/>
                <w:lang w:val="fr-FR"/>
              </w:rPr>
            </w:pPr>
            <w:r w:rsidRPr="00DD50BE">
              <w:rPr>
                <w:rFonts w:eastAsia="MS Mincho" w:cs="Times New Roman"/>
                <w:szCs w:val="32"/>
                <w:lang w:val="fr-FR"/>
              </w:rPr>
              <w:t xml:space="preserve">EXWA : </w:t>
            </w:r>
            <w:r>
              <w:rPr>
                <w:rFonts w:eastAsia="MS Mincho" w:cs="Times New Roman"/>
                <w:szCs w:val="32"/>
                <w:lang w:val="fr-FR"/>
              </w:rPr>
              <w:t xml:space="preserve">Warrants </w:t>
            </w:r>
            <w:proofErr w:type="spellStart"/>
            <w:r>
              <w:rPr>
                <w:rFonts w:eastAsia="MS Mincho" w:cs="Times New Roman"/>
                <w:szCs w:val="32"/>
                <w:lang w:val="fr-FR"/>
              </w:rPr>
              <w:t>exercises</w:t>
            </w:r>
            <w:proofErr w:type="spellEnd"/>
            <w:r>
              <w:rPr>
                <w:rFonts w:eastAsia="MS Mincho" w:cs="Times New Roman"/>
                <w:szCs w:val="32"/>
                <w:lang w:val="fr-FR"/>
              </w:rPr>
              <w:t xml:space="preserve"> in cash</w:t>
            </w:r>
          </w:p>
          <w:p w:rsidR="00071BAE" w:rsidRPr="00071BAE" w:rsidRDefault="00071BAE" w:rsidP="00071BAE">
            <w:pPr>
              <w:pStyle w:val="ListParagraph"/>
              <w:numPr>
                <w:ilvl w:val="0"/>
                <w:numId w:val="24"/>
              </w:numPr>
              <w:jc w:val="both"/>
              <w:rPr>
                <w:rFonts w:eastAsia="MS Mincho" w:cs="Times New Roman"/>
                <w:szCs w:val="32"/>
              </w:rPr>
            </w:pPr>
            <w:r w:rsidRPr="00071BAE">
              <w:rPr>
                <w:rFonts w:eastAsia="MS Mincho" w:cs="Times New Roman"/>
                <w:szCs w:val="32"/>
              </w:rPr>
              <w:t xml:space="preserve">CHAN : The qualifier used by Euroclear to advise mandatory </w:t>
            </w:r>
            <w:r w:rsidR="00AE3BC4">
              <w:rPr>
                <w:rFonts w:eastAsia="MS Mincho" w:cs="Times New Roman"/>
                <w:szCs w:val="32"/>
              </w:rPr>
              <w:t xml:space="preserve">repurchase </w:t>
            </w:r>
            <w:r w:rsidRPr="00071BAE">
              <w:rPr>
                <w:rFonts w:eastAsia="MS Mincho" w:cs="Times New Roman"/>
                <w:szCs w:val="32"/>
              </w:rPr>
              <w:t>(TEND MAND)</w:t>
            </w:r>
          </w:p>
          <w:p w:rsidR="00071BAE" w:rsidRPr="00AE3BC4" w:rsidRDefault="00071BAE" w:rsidP="00071BAE">
            <w:pPr>
              <w:pStyle w:val="ListParagraph"/>
              <w:numPr>
                <w:ilvl w:val="0"/>
                <w:numId w:val="24"/>
              </w:numPr>
              <w:jc w:val="both"/>
              <w:rPr>
                <w:rFonts w:eastAsia="MS Mincho" w:cs="Times New Roman"/>
                <w:szCs w:val="32"/>
              </w:rPr>
            </w:pPr>
            <w:r w:rsidRPr="00AE3BC4">
              <w:rPr>
                <w:rFonts w:eastAsia="MS Mincho" w:cs="Times New Roman"/>
                <w:szCs w:val="32"/>
              </w:rPr>
              <w:t>EXOF : E</w:t>
            </w:r>
            <w:r w:rsidR="00AE3BC4" w:rsidRPr="00AE3BC4">
              <w:rPr>
                <w:rFonts w:eastAsia="MS Mincho" w:cs="Times New Roman"/>
                <w:szCs w:val="32"/>
              </w:rPr>
              <w:t>xchange of securities against cash</w:t>
            </w:r>
            <w:r w:rsidRPr="00AE3BC4">
              <w:rPr>
                <w:rFonts w:eastAsia="MS Mincho" w:cs="Times New Roman"/>
                <w:szCs w:val="32"/>
              </w:rPr>
              <w:t xml:space="preserve"> (</w:t>
            </w:r>
            <w:r w:rsidR="00AE3BC4" w:rsidRPr="00AE3BC4">
              <w:rPr>
                <w:rFonts w:eastAsia="MS Mincho" w:cs="Times New Roman"/>
                <w:szCs w:val="32"/>
              </w:rPr>
              <w:t>the underlying security having reached its maturity</w:t>
            </w:r>
            <w:r w:rsidRPr="00AE3BC4">
              <w:rPr>
                <w:rFonts w:eastAsia="MS Mincho" w:cs="Times New Roman"/>
                <w:szCs w:val="32"/>
              </w:rPr>
              <w:t xml:space="preserve">) </w:t>
            </w:r>
          </w:p>
          <w:p w:rsidR="00071BAE" w:rsidRPr="00AE3BC4" w:rsidRDefault="00071BAE" w:rsidP="00071BAE">
            <w:pPr>
              <w:pStyle w:val="ListParagraph"/>
              <w:numPr>
                <w:ilvl w:val="0"/>
                <w:numId w:val="24"/>
              </w:numPr>
              <w:jc w:val="both"/>
              <w:rPr>
                <w:rFonts w:eastAsia="MS Mincho" w:cs="Times New Roman"/>
                <w:szCs w:val="32"/>
              </w:rPr>
            </w:pPr>
            <w:r w:rsidRPr="00AE3BC4">
              <w:rPr>
                <w:rFonts w:eastAsia="MS Mincho" w:cs="Times New Roman"/>
                <w:szCs w:val="32"/>
              </w:rPr>
              <w:t xml:space="preserve">PCAL : </w:t>
            </w:r>
            <w:r w:rsidR="00AE3BC4" w:rsidRPr="00AE3BC4">
              <w:rPr>
                <w:rFonts w:eastAsia="MS Mincho" w:cs="Times New Roman"/>
                <w:szCs w:val="32"/>
              </w:rPr>
              <w:t xml:space="preserve">Partial redemption / call with reduction in the nominal </w:t>
            </w:r>
            <w:r w:rsidRPr="00AE3BC4">
              <w:rPr>
                <w:rFonts w:eastAsia="MS Mincho" w:cs="Times New Roman"/>
                <w:szCs w:val="32"/>
              </w:rPr>
              <w:t>(</w:t>
            </w:r>
            <w:r w:rsidR="00AE3BC4" w:rsidRPr="00AE3BC4">
              <w:rPr>
                <w:rFonts w:eastAsia="MS Mincho" w:cs="Times New Roman"/>
                <w:szCs w:val="32"/>
              </w:rPr>
              <w:t xml:space="preserve">debit of part of the underlying securities – in this case the security </w:t>
            </w:r>
            <w:r w:rsidR="00AE3BC4">
              <w:rPr>
                <w:rFonts w:eastAsia="MS Mincho" w:cs="Times New Roman"/>
                <w:szCs w:val="32"/>
              </w:rPr>
              <w:t>will not have</w:t>
            </w:r>
            <w:r w:rsidR="00AE3BC4" w:rsidRPr="00AE3BC4">
              <w:rPr>
                <w:rFonts w:eastAsia="MS Mincho" w:cs="Times New Roman"/>
                <w:szCs w:val="32"/>
              </w:rPr>
              <w:t xml:space="preserve"> reached its maturity, but </w:t>
            </w:r>
            <w:r w:rsidR="00AE3BC4">
              <w:rPr>
                <w:rFonts w:eastAsia="MS Mincho" w:cs="Times New Roman"/>
                <w:szCs w:val="32"/>
              </w:rPr>
              <w:t>i</w:t>
            </w:r>
            <w:r w:rsidR="00AE3BC4" w:rsidRPr="00AE3BC4">
              <w:rPr>
                <w:rFonts w:eastAsia="MS Mincho" w:cs="Times New Roman"/>
                <w:szCs w:val="32"/>
              </w:rPr>
              <w:t>t</w:t>
            </w:r>
            <w:r w:rsidR="00AE3BC4">
              <w:rPr>
                <w:rFonts w:eastAsia="MS Mincho" w:cs="Times New Roman"/>
                <w:szCs w:val="32"/>
              </w:rPr>
              <w:t xml:space="preserve"> </w:t>
            </w:r>
            <w:r w:rsidR="00AE3BC4" w:rsidRPr="00AE3BC4">
              <w:rPr>
                <w:rFonts w:eastAsia="MS Mincho" w:cs="Times New Roman"/>
                <w:szCs w:val="32"/>
              </w:rPr>
              <w:t xml:space="preserve">will be included </w:t>
            </w:r>
            <w:r w:rsidR="00AE3BC4">
              <w:rPr>
                <w:rFonts w:eastAsia="MS Mincho" w:cs="Times New Roman"/>
                <w:szCs w:val="32"/>
              </w:rPr>
              <w:t>in the part two of the procedure for simpli</w:t>
            </w:r>
            <w:r w:rsidR="00223D2C">
              <w:rPr>
                <w:rFonts w:eastAsia="MS Mincho" w:cs="Times New Roman"/>
                <w:szCs w:val="32"/>
              </w:rPr>
              <w:t>fi</w:t>
            </w:r>
            <w:r w:rsidR="00AE3BC4">
              <w:rPr>
                <w:rFonts w:eastAsia="MS Mincho" w:cs="Times New Roman"/>
                <w:szCs w:val="32"/>
              </w:rPr>
              <w:t>cation purposes</w:t>
            </w:r>
            <w:r w:rsidRPr="00AE3BC4">
              <w:rPr>
                <w:rFonts w:eastAsia="MS Mincho" w:cs="Times New Roman"/>
                <w:szCs w:val="32"/>
              </w:rPr>
              <w:t>)</w:t>
            </w:r>
          </w:p>
          <w:p w:rsidR="00071BAE" w:rsidRPr="00DD50BE" w:rsidRDefault="00071BAE" w:rsidP="00071BAE">
            <w:pPr>
              <w:pStyle w:val="ListParagraph"/>
              <w:numPr>
                <w:ilvl w:val="0"/>
                <w:numId w:val="24"/>
              </w:numPr>
              <w:jc w:val="both"/>
              <w:rPr>
                <w:rFonts w:eastAsia="MS Mincho" w:cs="Times New Roman"/>
                <w:szCs w:val="32"/>
                <w:lang w:val="fr-FR"/>
              </w:rPr>
            </w:pPr>
            <w:r w:rsidRPr="00DD50BE">
              <w:rPr>
                <w:rFonts w:eastAsia="MS Mincho" w:cs="Times New Roman"/>
                <w:szCs w:val="32"/>
                <w:lang w:val="fr-FR"/>
              </w:rPr>
              <w:t>LIQU : Liquidations</w:t>
            </w:r>
          </w:p>
          <w:p w:rsidR="00ED3A3A" w:rsidRPr="0073357F" w:rsidRDefault="00ED3A3A" w:rsidP="00ED3A3A">
            <w:pPr>
              <w:spacing w:before="120"/>
              <w:jc w:val="both"/>
              <w:rPr>
                <w:rFonts w:cs="Tahoma"/>
                <w:lang w:eastAsia="fr-FR"/>
              </w:rPr>
            </w:pPr>
            <w:r w:rsidRPr="0073357F">
              <w:rPr>
                <w:rFonts w:cs="Tahoma"/>
                <w:u w:val="single"/>
                <w:lang w:eastAsia="fr-FR"/>
              </w:rPr>
              <w:t>Process steps</w:t>
            </w:r>
            <w:r>
              <w:rPr>
                <w:rFonts w:cs="Tahoma"/>
                <w:lang w:eastAsia="fr-FR"/>
              </w:rPr>
              <w:t>:</w:t>
            </w:r>
          </w:p>
          <w:p w:rsidR="00071BAE" w:rsidRDefault="00ED3A3A" w:rsidP="00EC35CD">
            <w:pPr>
              <w:spacing w:before="120"/>
              <w:jc w:val="both"/>
              <w:rPr>
                <w:rFonts w:cs="Tahoma"/>
                <w:lang w:eastAsia="fr-FR"/>
              </w:rPr>
            </w:pPr>
            <w:r>
              <w:rPr>
                <w:rFonts w:cs="Tahoma"/>
                <w:lang w:eastAsia="fr-FR"/>
              </w:rPr>
              <w:t xml:space="preserve">The party due to receive the difference must </w:t>
            </w:r>
            <w:r w:rsidRPr="00ED3A3A">
              <w:rPr>
                <w:rFonts w:cs="Tahoma"/>
                <w:b/>
                <w:lang w:eastAsia="fr-FR"/>
              </w:rPr>
              <w:t>initiate the reclaim</w:t>
            </w:r>
            <w:r>
              <w:rPr>
                <w:rFonts w:cs="Tahoma"/>
                <w:lang w:eastAsia="fr-FR"/>
              </w:rPr>
              <w:t xml:space="preserve"> of the amount to its counterparty via e-mail, providing its banking details and the details of the corporate action in the form (see Appendix 3)</w:t>
            </w:r>
          </w:p>
          <w:p w:rsidR="00ED3A3A" w:rsidRPr="0073357F" w:rsidRDefault="00ED3A3A" w:rsidP="00223D2C">
            <w:pPr>
              <w:pStyle w:val="ListParagraph"/>
              <w:numPr>
                <w:ilvl w:val="0"/>
                <w:numId w:val="21"/>
              </w:numPr>
              <w:spacing w:before="120"/>
              <w:ind w:left="714" w:hanging="357"/>
              <w:contextualSpacing w:val="0"/>
              <w:jc w:val="both"/>
              <w:rPr>
                <w:rFonts w:cs="Tahoma"/>
                <w:i/>
                <w:lang w:eastAsia="fr-FR"/>
              </w:rPr>
            </w:pPr>
            <w:r>
              <w:rPr>
                <w:rFonts w:cs="Tahoma"/>
                <w:lang w:eastAsia="fr-FR"/>
              </w:rPr>
              <w:t xml:space="preserve">At the time of the record end of day (RD COB), the CSD cancels the underlying transaction and custodians identify instructions eligible to the transformation </w:t>
            </w:r>
            <w:r w:rsidRPr="0073357F">
              <w:rPr>
                <w:rFonts w:cs="Tahoma"/>
                <w:i/>
                <w:lang w:eastAsia="fr-FR"/>
              </w:rPr>
              <w:t xml:space="preserve">(see section Transaction </w:t>
            </w:r>
            <w:r>
              <w:rPr>
                <w:rFonts w:cs="Tahoma"/>
                <w:i/>
                <w:lang w:eastAsia="fr-FR"/>
              </w:rPr>
              <w:t>eligible to the Transformation)</w:t>
            </w:r>
          </w:p>
          <w:p w:rsidR="00ED3A3A" w:rsidRPr="00ED3A3A" w:rsidRDefault="00ED3A3A" w:rsidP="00223D2C">
            <w:pPr>
              <w:pStyle w:val="ListParagraph"/>
              <w:numPr>
                <w:ilvl w:val="0"/>
                <w:numId w:val="21"/>
              </w:numPr>
              <w:spacing w:before="120"/>
              <w:ind w:left="714" w:hanging="357"/>
              <w:contextualSpacing w:val="0"/>
              <w:jc w:val="both"/>
              <w:rPr>
                <w:rFonts w:cs="Tahoma"/>
                <w:i/>
                <w:lang w:eastAsia="fr-FR"/>
              </w:rPr>
            </w:pPr>
            <w:r>
              <w:rPr>
                <w:rFonts w:cs="Tahoma"/>
                <w:lang w:eastAsia="fr-FR"/>
              </w:rPr>
              <w:t>To this end, a solution is to use the cancellation report “Cancelled by Third Party” (CTHP) when the cancellation is triggered by ESES which the most frequent case, “Cancelled by T2S’ (CANS) when the cancellation is triggered by T2S (see appendix 9 of the DSD).</w:t>
            </w:r>
          </w:p>
          <w:p w:rsidR="00ED3A3A" w:rsidRPr="0073357F" w:rsidRDefault="00ED3A3A" w:rsidP="00223D2C">
            <w:pPr>
              <w:pStyle w:val="ListParagraph"/>
              <w:numPr>
                <w:ilvl w:val="0"/>
                <w:numId w:val="21"/>
              </w:numPr>
              <w:spacing w:before="120"/>
              <w:ind w:left="714" w:hanging="357"/>
              <w:contextualSpacing w:val="0"/>
              <w:jc w:val="both"/>
              <w:rPr>
                <w:rFonts w:cs="Tahoma"/>
                <w:i/>
                <w:lang w:eastAsia="fr-FR"/>
              </w:rPr>
            </w:pPr>
            <w:r>
              <w:rPr>
                <w:rFonts w:cs="Tahoma"/>
                <w:lang w:eastAsia="fr-FR"/>
              </w:rPr>
              <w:t xml:space="preserve">The regularization of the transformation in cash will be made </w:t>
            </w:r>
            <w:r w:rsidRPr="00ED3A3A">
              <w:rPr>
                <w:rFonts w:cs="Tahoma"/>
                <w:b/>
                <w:lang w:eastAsia="fr-FR"/>
              </w:rPr>
              <w:t xml:space="preserve">through </w:t>
            </w:r>
            <w:proofErr w:type="gramStart"/>
            <w:r w:rsidRPr="00ED3A3A">
              <w:rPr>
                <w:rFonts w:cs="Tahoma"/>
                <w:b/>
                <w:lang w:eastAsia="fr-FR"/>
              </w:rPr>
              <w:t>a netting</w:t>
            </w:r>
            <w:proofErr w:type="gramEnd"/>
            <w:r w:rsidRPr="00ED3A3A">
              <w:rPr>
                <w:rFonts w:cs="Tahoma"/>
                <w:b/>
                <w:lang w:eastAsia="fr-FR"/>
              </w:rPr>
              <w:t xml:space="preserve"> in T2</w:t>
            </w:r>
            <w:r>
              <w:rPr>
                <w:rFonts w:cs="Tahoma"/>
                <w:lang w:eastAsia="fr-FR"/>
              </w:rPr>
              <w:t xml:space="preserve">: in order to avoid multiple instructions, it would be desirable that a single transfer instruction </w:t>
            </w:r>
            <w:r w:rsidR="005449B9">
              <w:rPr>
                <w:rFonts w:cs="Tahoma"/>
                <w:lang w:eastAsia="fr-FR"/>
              </w:rPr>
              <w:t>is created, with an amount corresponding to the difference between the initial instruction amount and the amount of the corporate action.</w:t>
            </w:r>
          </w:p>
          <w:p w:rsidR="00BA0A76" w:rsidRPr="00EC35CD" w:rsidRDefault="005449B9" w:rsidP="00EC35CD">
            <w:pPr>
              <w:spacing w:before="120"/>
              <w:jc w:val="both"/>
              <w:rPr>
                <w:rFonts w:cs="Tahoma"/>
                <w:lang w:eastAsia="fr-FR"/>
              </w:rPr>
            </w:pPr>
            <w:r w:rsidRPr="005449B9">
              <w:rPr>
                <w:rFonts w:cs="Tahoma"/>
                <w:b/>
                <w:lang w:eastAsia="fr-FR"/>
              </w:rPr>
              <w:lastRenderedPageBreak/>
              <w:t xml:space="preserve">Both parties must bilaterally agree </w:t>
            </w:r>
            <w:r>
              <w:rPr>
                <w:rFonts w:cs="Tahoma"/>
                <w:lang w:eastAsia="fr-FR"/>
              </w:rPr>
              <w:t>on the amount and details of the cash transfer.</w:t>
            </w:r>
          </w:p>
        </w:tc>
      </w:tr>
      <w:tr w:rsidR="0081511D" w:rsidRPr="008D0CDE" w:rsidTr="0081511D">
        <w:tc>
          <w:tcPr>
            <w:tcW w:w="2093" w:type="dxa"/>
            <w:tcBorders>
              <w:left w:val="nil"/>
              <w:right w:val="nil"/>
            </w:tcBorders>
            <w:shd w:val="clear" w:color="auto" w:fill="auto"/>
          </w:tcPr>
          <w:p w:rsidR="0081511D" w:rsidRPr="008D0CDE" w:rsidRDefault="0081511D" w:rsidP="00A0160C">
            <w:pPr>
              <w:rPr>
                <w:rFonts w:eastAsia="MS Mincho" w:cs="Times New Roman"/>
                <w:b/>
                <w:noProof/>
                <w:szCs w:val="32"/>
              </w:rPr>
            </w:pPr>
          </w:p>
        </w:tc>
        <w:tc>
          <w:tcPr>
            <w:tcW w:w="7513" w:type="dxa"/>
            <w:gridSpan w:val="2"/>
            <w:tcBorders>
              <w:left w:val="nil"/>
              <w:right w:val="nil"/>
            </w:tcBorders>
            <w:shd w:val="clear" w:color="auto" w:fill="auto"/>
          </w:tcPr>
          <w:p w:rsidR="0081511D" w:rsidRPr="008D0CDE" w:rsidRDefault="0081511D" w:rsidP="00A0160C">
            <w:pPr>
              <w:rPr>
                <w:rFonts w:eastAsia="MS Mincho" w:cs="Times New Roman"/>
                <w:b/>
                <w:noProof/>
                <w:szCs w:val="32"/>
              </w:rPr>
            </w:pPr>
          </w:p>
        </w:tc>
      </w:tr>
      <w:tr w:rsidR="00B3406E" w:rsidTr="0081511D">
        <w:trPr>
          <w:gridAfter w:val="1"/>
          <w:wAfter w:w="30" w:type="dxa"/>
        </w:trPr>
        <w:tc>
          <w:tcPr>
            <w:tcW w:w="2093" w:type="dxa"/>
            <w:tcBorders>
              <w:bottom w:val="single" w:sz="4" w:space="0" w:color="auto"/>
            </w:tcBorders>
            <w:shd w:val="clear" w:color="auto" w:fill="BFBFBF" w:themeFill="background1" w:themeFillShade="BF"/>
          </w:tcPr>
          <w:p w:rsidR="00B3406E" w:rsidRPr="003348A6" w:rsidRDefault="00B3406E" w:rsidP="00A0160C">
            <w:pPr>
              <w:rPr>
                <w:rFonts w:eastAsia="MS Mincho" w:cs="Times New Roman"/>
                <w:b/>
                <w:noProof/>
                <w:szCs w:val="32"/>
              </w:rPr>
            </w:pPr>
            <w:r w:rsidRPr="003348A6">
              <w:rPr>
                <w:rFonts w:eastAsia="MS Mincho" w:cs="Times New Roman"/>
                <w:b/>
                <w:noProof/>
                <w:szCs w:val="32"/>
              </w:rPr>
              <w:t>Description of the roles and responsibilities of the ac</w:t>
            </w:r>
            <w:r>
              <w:rPr>
                <w:rFonts w:eastAsia="MS Mincho" w:cs="Times New Roman"/>
                <w:b/>
                <w:noProof/>
                <w:szCs w:val="32"/>
              </w:rPr>
              <w:t>to</w:t>
            </w:r>
            <w:r w:rsidRPr="003348A6">
              <w:rPr>
                <w:rFonts w:eastAsia="MS Mincho" w:cs="Times New Roman"/>
                <w:b/>
                <w:noProof/>
                <w:szCs w:val="32"/>
              </w:rPr>
              <w:t xml:space="preserve">rs involved </w:t>
            </w:r>
          </w:p>
          <w:p w:rsidR="00B3406E" w:rsidRPr="00F370B0" w:rsidRDefault="00B3406E" w:rsidP="00A0160C">
            <w:pPr>
              <w:rPr>
                <w:rFonts w:eastAsia="MS Mincho" w:cs="Times New Roman"/>
                <w:b/>
                <w:noProof/>
                <w:szCs w:val="32"/>
              </w:rPr>
            </w:pPr>
            <w:r w:rsidRPr="00F370B0">
              <w:rPr>
                <w:rFonts w:eastAsia="MS Mincho" w:cs="Times New Roman"/>
                <w:b/>
                <w:noProof/>
                <w:szCs w:val="32"/>
              </w:rPr>
              <w:t>(OPTIONAL)</w:t>
            </w:r>
          </w:p>
        </w:tc>
        <w:tc>
          <w:tcPr>
            <w:tcW w:w="7483" w:type="dxa"/>
            <w:tcBorders>
              <w:bottom w:val="single" w:sz="4" w:space="0" w:color="auto"/>
            </w:tcBorders>
          </w:tcPr>
          <w:p w:rsidR="00B3406E" w:rsidRPr="00F370B0" w:rsidRDefault="00B3406E" w:rsidP="00A0160C">
            <w:pPr>
              <w:rPr>
                <w:rFonts w:eastAsia="MS Mincho" w:cs="Times New Roman"/>
                <w:noProof/>
                <w:szCs w:val="32"/>
              </w:rPr>
            </w:pPr>
          </w:p>
          <w:p w:rsidR="00B3406E" w:rsidRPr="00F370B0" w:rsidRDefault="00B3406E" w:rsidP="00A0160C">
            <w:pPr>
              <w:rPr>
                <w:rFonts w:eastAsia="MS Mincho" w:cs="Times New Roman"/>
                <w:noProof/>
                <w:szCs w:val="32"/>
              </w:rPr>
            </w:pPr>
          </w:p>
          <w:p w:rsidR="00B3406E" w:rsidRPr="00F370B0" w:rsidRDefault="00B3406E" w:rsidP="00A0160C">
            <w:pPr>
              <w:rPr>
                <w:rFonts w:eastAsia="MS Mincho" w:cs="Times New Roman"/>
                <w:noProof/>
                <w:szCs w:val="32"/>
              </w:rPr>
            </w:pPr>
          </w:p>
          <w:p w:rsidR="00B3406E" w:rsidRPr="00F370B0" w:rsidRDefault="00B3406E" w:rsidP="00A0160C">
            <w:pPr>
              <w:rPr>
                <w:rFonts w:eastAsia="MS Mincho" w:cs="Times New Roman"/>
                <w:noProof/>
                <w:szCs w:val="32"/>
              </w:rPr>
            </w:pPr>
          </w:p>
        </w:tc>
      </w:tr>
      <w:tr w:rsidR="00B3406E" w:rsidTr="0081511D">
        <w:trPr>
          <w:gridAfter w:val="1"/>
          <w:wAfter w:w="30" w:type="dxa"/>
        </w:trPr>
        <w:tc>
          <w:tcPr>
            <w:tcW w:w="2093" w:type="dxa"/>
            <w:tcBorders>
              <w:left w:val="nil"/>
              <w:right w:val="nil"/>
            </w:tcBorders>
            <w:shd w:val="clear" w:color="auto" w:fill="FFFFFF" w:themeFill="background1"/>
          </w:tcPr>
          <w:p w:rsidR="00B3406E" w:rsidRPr="00F370B0" w:rsidRDefault="00B3406E" w:rsidP="00A0160C">
            <w:pPr>
              <w:rPr>
                <w:rFonts w:eastAsia="MS Mincho" w:cs="Times New Roman"/>
                <w:b/>
                <w:noProof/>
                <w:szCs w:val="32"/>
              </w:rPr>
            </w:pPr>
          </w:p>
        </w:tc>
        <w:tc>
          <w:tcPr>
            <w:tcW w:w="7483" w:type="dxa"/>
            <w:tcBorders>
              <w:left w:val="nil"/>
              <w:bottom w:val="single" w:sz="4" w:space="0" w:color="auto"/>
              <w:right w:val="nil"/>
            </w:tcBorders>
            <w:shd w:val="clear" w:color="auto" w:fill="FFFFFF" w:themeFill="background1"/>
          </w:tcPr>
          <w:p w:rsidR="00B3406E" w:rsidRPr="00F370B0" w:rsidRDefault="00B3406E" w:rsidP="00A0160C">
            <w:pPr>
              <w:rPr>
                <w:rFonts w:eastAsia="MS Mincho" w:cs="Times New Roman"/>
                <w:noProof/>
                <w:szCs w:val="32"/>
              </w:rPr>
            </w:pPr>
          </w:p>
        </w:tc>
      </w:tr>
      <w:tr w:rsidR="00B3406E" w:rsidTr="0081511D">
        <w:trPr>
          <w:gridAfter w:val="1"/>
          <w:wAfter w:w="30" w:type="dxa"/>
        </w:trPr>
        <w:tc>
          <w:tcPr>
            <w:tcW w:w="2093" w:type="dxa"/>
            <w:shd w:val="clear" w:color="auto" w:fill="BFBFBF" w:themeFill="background1" w:themeFillShade="BF"/>
          </w:tcPr>
          <w:p w:rsidR="00B3406E" w:rsidRPr="00F370B0" w:rsidRDefault="00B3406E" w:rsidP="00A0160C">
            <w:pPr>
              <w:rPr>
                <w:rFonts w:eastAsia="MS Mincho" w:cs="Times New Roman"/>
                <w:b/>
                <w:noProof/>
                <w:szCs w:val="32"/>
              </w:rPr>
            </w:pPr>
            <w:r w:rsidRPr="00F370B0">
              <w:rPr>
                <w:rFonts w:eastAsia="MS Mincho" w:cs="Times New Roman"/>
                <w:b/>
                <w:noProof/>
                <w:szCs w:val="32"/>
              </w:rPr>
              <w:t>Workflows</w:t>
            </w:r>
          </w:p>
          <w:p w:rsidR="00B3406E" w:rsidRPr="00F370B0" w:rsidRDefault="00B3406E" w:rsidP="00A0160C">
            <w:pPr>
              <w:rPr>
                <w:rFonts w:eastAsia="MS Mincho" w:cs="Times New Roman"/>
                <w:b/>
                <w:noProof/>
                <w:szCs w:val="32"/>
              </w:rPr>
            </w:pPr>
            <w:r w:rsidRPr="00F370B0">
              <w:rPr>
                <w:rFonts w:eastAsia="MS Mincho" w:cs="Times New Roman"/>
                <w:b/>
                <w:noProof/>
                <w:szCs w:val="32"/>
              </w:rPr>
              <w:t>(OPTIONAL)</w:t>
            </w:r>
          </w:p>
        </w:tc>
        <w:tc>
          <w:tcPr>
            <w:tcW w:w="7483" w:type="dxa"/>
            <w:tcBorders>
              <w:bottom w:val="single" w:sz="4" w:space="0" w:color="auto"/>
            </w:tcBorders>
          </w:tcPr>
          <w:p w:rsidR="00B3406E" w:rsidRPr="00F370B0" w:rsidRDefault="00B3406E" w:rsidP="00A0160C">
            <w:pPr>
              <w:rPr>
                <w:rFonts w:eastAsia="MS Mincho" w:cs="Times New Roman"/>
                <w:noProof/>
                <w:szCs w:val="32"/>
              </w:rPr>
            </w:pPr>
          </w:p>
          <w:p w:rsidR="00B3406E" w:rsidRPr="00F370B0" w:rsidRDefault="00B3406E" w:rsidP="00A0160C">
            <w:pPr>
              <w:rPr>
                <w:rFonts w:eastAsia="MS Mincho" w:cs="Times New Roman"/>
                <w:noProof/>
                <w:szCs w:val="32"/>
              </w:rPr>
            </w:pPr>
          </w:p>
        </w:tc>
      </w:tr>
    </w:tbl>
    <w:p w:rsidR="00363E89" w:rsidRPr="00F370B0" w:rsidRDefault="00363E89" w:rsidP="001E0D83">
      <w:pPr>
        <w:spacing w:after="0" w:line="240" w:lineRule="auto"/>
        <w:rPr>
          <w:rFonts w:eastAsia="MS Mincho" w:cs="Times New Roman"/>
          <w:noProof/>
          <w:szCs w:val="32"/>
        </w:rPr>
      </w:pPr>
    </w:p>
    <w:p w:rsidR="0085743B" w:rsidRPr="00F370B0" w:rsidRDefault="0085743B">
      <w:pPr>
        <w:rPr>
          <w:rFonts w:eastAsia="MS Mincho" w:cs="Times New Roman"/>
          <w:b/>
          <w:caps/>
          <w:noProof/>
          <w:sz w:val="32"/>
          <w:szCs w:val="32"/>
        </w:rPr>
      </w:pPr>
    </w:p>
    <w:p w:rsidR="00140482" w:rsidRPr="004F6025" w:rsidRDefault="00B3406E" w:rsidP="00140482">
      <w:pPr>
        <w:pStyle w:val="ListParagraph"/>
        <w:numPr>
          <w:ilvl w:val="0"/>
          <w:numId w:val="1"/>
        </w:numPr>
        <w:spacing w:after="0" w:line="240" w:lineRule="auto"/>
        <w:ind w:left="284" w:hanging="284"/>
        <w:rPr>
          <w:rFonts w:eastAsia="MS Mincho" w:cs="Times New Roman"/>
          <w:b/>
          <w:caps/>
          <w:noProof/>
          <w:sz w:val="32"/>
          <w:szCs w:val="32"/>
          <w:lang w:val="fr-FR"/>
        </w:rPr>
      </w:pPr>
      <w:r w:rsidRPr="00F370B0">
        <w:rPr>
          <w:rFonts w:eastAsia="MS Mincho" w:cs="Times New Roman"/>
          <w:b/>
          <w:caps/>
          <w:noProof/>
          <w:sz w:val="32"/>
          <w:szCs w:val="32"/>
        </w:rPr>
        <w:t>IMPLEM</w:t>
      </w:r>
      <w:r>
        <w:rPr>
          <w:rFonts w:eastAsia="MS Mincho" w:cs="Times New Roman"/>
          <w:b/>
          <w:caps/>
          <w:noProof/>
          <w:sz w:val="32"/>
          <w:szCs w:val="32"/>
          <w:lang w:val="fr-FR"/>
        </w:rPr>
        <w:t>ENTATION</w:t>
      </w:r>
    </w:p>
    <w:p w:rsidR="00140482" w:rsidRDefault="00140482" w:rsidP="00140482">
      <w:pPr>
        <w:spacing w:after="0" w:line="240" w:lineRule="auto"/>
        <w:rPr>
          <w:rFonts w:eastAsia="MS Mincho" w:cs="Times New Roman"/>
          <w:noProof/>
          <w:szCs w:val="32"/>
          <w:lang w:val="fr-FR"/>
        </w:rPr>
      </w:pPr>
    </w:p>
    <w:tbl>
      <w:tblPr>
        <w:tblStyle w:val="TableGrid"/>
        <w:tblW w:w="9616" w:type="dxa"/>
        <w:tblLook w:val="04A0" w:firstRow="1" w:lastRow="0" w:firstColumn="1" w:lastColumn="0" w:noHBand="0" w:noVBand="1"/>
      </w:tblPr>
      <w:tblGrid>
        <w:gridCol w:w="2302"/>
        <w:gridCol w:w="2438"/>
        <w:gridCol w:w="2438"/>
        <w:gridCol w:w="2438"/>
      </w:tblGrid>
      <w:tr w:rsidR="00B3406E" w:rsidRPr="00B3406E" w:rsidTr="00A0160C">
        <w:trPr>
          <w:trHeight w:val="338"/>
        </w:trPr>
        <w:tc>
          <w:tcPr>
            <w:tcW w:w="2302" w:type="dxa"/>
            <w:vMerge w:val="restart"/>
            <w:shd w:val="clear" w:color="auto" w:fill="BFBFBF" w:themeFill="background1" w:themeFillShade="BF"/>
          </w:tcPr>
          <w:p w:rsidR="00B3406E" w:rsidRPr="00D103DA" w:rsidRDefault="00B3406E" w:rsidP="00A0160C">
            <w:pPr>
              <w:rPr>
                <w:rFonts w:eastAsia="MS Mincho" w:cs="Times New Roman"/>
                <w:b/>
                <w:noProof/>
                <w:szCs w:val="32"/>
                <w:lang w:val="fr-FR"/>
              </w:rPr>
            </w:pPr>
            <w:r>
              <w:rPr>
                <w:rFonts w:eastAsia="MS Mincho" w:cs="Times New Roman"/>
                <w:b/>
                <w:noProof/>
                <w:szCs w:val="32"/>
                <w:lang w:val="fr-FR"/>
              </w:rPr>
              <w:t>Implementation timeline</w:t>
            </w:r>
          </w:p>
        </w:tc>
        <w:tc>
          <w:tcPr>
            <w:tcW w:w="2438" w:type="dxa"/>
          </w:tcPr>
          <w:p w:rsidR="00B3406E" w:rsidRPr="003348A6" w:rsidRDefault="00B3406E" w:rsidP="00A0160C">
            <w:pPr>
              <w:jc w:val="center"/>
              <w:rPr>
                <w:rFonts w:eastAsia="MS Mincho" w:cs="Times New Roman"/>
                <w:b/>
                <w:noProof/>
                <w:szCs w:val="32"/>
              </w:rPr>
            </w:pPr>
            <w:r w:rsidRPr="003348A6">
              <w:rPr>
                <w:rFonts w:eastAsia="MS Mincho" w:cs="Times New Roman"/>
                <w:b/>
                <w:noProof/>
                <w:szCs w:val="32"/>
              </w:rPr>
              <w:t xml:space="preserve">Before the migration </w:t>
            </w:r>
            <w:r>
              <w:rPr>
                <w:rFonts w:eastAsia="MS Mincho" w:cs="Times New Roman"/>
                <w:b/>
                <w:noProof/>
                <w:szCs w:val="32"/>
              </w:rPr>
              <w:t xml:space="preserve">to </w:t>
            </w:r>
            <w:r w:rsidRPr="003348A6">
              <w:rPr>
                <w:rFonts w:eastAsia="MS Mincho" w:cs="Times New Roman"/>
                <w:b/>
                <w:noProof/>
                <w:szCs w:val="32"/>
              </w:rPr>
              <w:t>T2S</w:t>
            </w:r>
          </w:p>
        </w:tc>
        <w:tc>
          <w:tcPr>
            <w:tcW w:w="2438" w:type="dxa"/>
          </w:tcPr>
          <w:p w:rsidR="00B3406E" w:rsidRPr="003348A6" w:rsidRDefault="00B3406E" w:rsidP="00A0160C">
            <w:pPr>
              <w:jc w:val="center"/>
              <w:rPr>
                <w:rFonts w:eastAsia="MS Mincho" w:cs="Times New Roman"/>
                <w:b/>
                <w:noProof/>
                <w:szCs w:val="32"/>
              </w:rPr>
            </w:pPr>
            <w:r w:rsidRPr="003348A6">
              <w:rPr>
                <w:rFonts w:eastAsia="MS Mincho" w:cs="Times New Roman"/>
                <w:b/>
                <w:noProof/>
                <w:szCs w:val="32"/>
              </w:rPr>
              <w:t>Upon go live on T2S</w:t>
            </w:r>
          </w:p>
        </w:tc>
        <w:tc>
          <w:tcPr>
            <w:tcW w:w="2438" w:type="dxa"/>
          </w:tcPr>
          <w:p w:rsidR="00B3406E" w:rsidRPr="003348A6" w:rsidRDefault="00B3406E" w:rsidP="00A0160C">
            <w:pPr>
              <w:jc w:val="center"/>
              <w:rPr>
                <w:rFonts w:eastAsia="MS Mincho" w:cs="Times New Roman"/>
                <w:b/>
                <w:noProof/>
                <w:szCs w:val="32"/>
              </w:rPr>
            </w:pPr>
            <w:r w:rsidRPr="003348A6">
              <w:rPr>
                <w:rFonts w:eastAsia="MS Mincho" w:cs="Times New Roman"/>
                <w:b/>
                <w:noProof/>
                <w:szCs w:val="32"/>
              </w:rPr>
              <w:t xml:space="preserve">After the migration </w:t>
            </w:r>
            <w:r>
              <w:rPr>
                <w:rFonts w:eastAsia="MS Mincho" w:cs="Times New Roman"/>
                <w:b/>
                <w:noProof/>
                <w:szCs w:val="32"/>
              </w:rPr>
              <w:t xml:space="preserve">to </w:t>
            </w:r>
            <w:r w:rsidRPr="003348A6">
              <w:rPr>
                <w:rFonts w:eastAsia="MS Mincho" w:cs="Times New Roman"/>
                <w:b/>
                <w:noProof/>
                <w:szCs w:val="32"/>
              </w:rPr>
              <w:t>T2S</w:t>
            </w:r>
          </w:p>
        </w:tc>
      </w:tr>
      <w:tr w:rsidR="00140482" w:rsidTr="00A0160C">
        <w:trPr>
          <w:trHeight w:val="337"/>
        </w:trPr>
        <w:tc>
          <w:tcPr>
            <w:tcW w:w="2302" w:type="dxa"/>
            <w:vMerge/>
            <w:tcBorders>
              <w:bottom w:val="single" w:sz="4" w:space="0" w:color="auto"/>
            </w:tcBorders>
            <w:shd w:val="clear" w:color="auto" w:fill="BFBFBF" w:themeFill="background1" w:themeFillShade="BF"/>
          </w:tcPr>
          <w:p w:rsidR="00140482" w:rsidRPr="00B3406E" w:rsidRDefault="00140482" w:rsidP="00A0160C">
            <w:pPr>
              <w:rPr>
                <w:rFonts w:eastAsia="MS Mincho" w:cs="Times New Roman"/>
                <w:b/>
                <w:noProof/>
                <w:szCs w:val="32"/>
              </w:rPr>
            </w:pPr>
          </w:p>
        </w:tc>
        <w:tc>
          <w:tcPr>
            <w:tcW w:w="2438" w:type="dxa"/>
            <w:tcBorders>
              <w:bottom w:val="single" w:sz="4" w:space="0" w:color="auto"/>
            </w:tcBorders>
            <w:shd w:val="clear" w:color="auto" w:fill="auto"/>
          </w:tcPr>
          <w:p w:rsidR="00140482" w:rsidRDefault="00140482" w:rsidP="00A0160C">
            <w:pPr>
              <w:jc w:val="center"/>
              <w:rPr>
                <w:rFonts w:ascii="Wingdings" w:hAnsi="Wingdings" w:cs="Wingdings"/>
                <w:sz w:val="26"/>
                <w:szCs w:val="26"/>
              </w:rPr>
            </w:pPr>
            <w:r>
              <w:rPr>
                <w:rFonts w:ascii="Wingdings" w:hAnsi="Wingdings" w:cs="Wingdings"/>
                <w:sz w:val="26"/>
                <w:szCs w:val="26"/>
              </w:rPr>
              <w:t></w:t>
            </w:r>
          </w:p>
          <w:p w:rsidR="00140482" w:rsidRPr="00785264" w:rsidRDefault="00140482" w:rsidP="00A0160C">
            <w:pPr>
              <w:jc w:val="center"/>
              <w:rPr>
                <w:rFonts w:cs="Wingdings"/>
                <w:szCs w:val="26"/>
              </w:rPr>
            </w:pPr>
            <w:r w:rsidRPr="00785264">
              <w:rPr>
                <w:rFonts w:cs="Wingdings"/>
                <w:szCs w:val="26"/>
              </w:rPr>
              <w:t xml:space="preserve">Date: </w:t>
            </w:r>
            <w:r>
              <w:rPr>
                <w:rFonts w:cs="Wingdings"/>
                <w:szCs w:val="26"/>
              </w:rPr>
              <w:t>________</w:t>
            </w:r>
          </w:p>
          <w:p w:rsidR="00140482" w:rsidRDefault="00140482" w:rsidP="00A0160C">
            <w:pPr>
              <w:rPr>
                <w:rFonts w:eastAsia="MS Mincho" w:cs="Times New Roman"/>
                <w:noProof/>
                <w:szCs w:val="32"/>
                <w:lang w:val="fr-FR"/>
              </w:rPr>
            </w:pPr>
          </w:p>
        </w:tc>
        <w:tc>
          <w:tcPr>
            <w:tcW w:w="2438" w:type="dxa"/>
            <w:tcBorders>
              <w:bottom w:val="single" w:sz="4" w:space="0" w:color="auto"/>
            </w:tcBorders>
          </w:tcPr>
          <w:p w:rsidR="00140482" w:rsidRDefault="001F21F9" w:rsidP="00A0160C">
            <w:pPr>
              <w:jc w:val="center"/>
              <w:rPr>
                <w:rFonts w:ascii="Wingdings" w:hAnsi="Wingdings" w:cs="Wingdings"/>
                <w:sz w:val="26"/>
                <w:szCs w:val="26"/>
              </w:rPr>
            </w:pPr>
            <w:r>
              <w:rPr>
                <w:rFonts w:ascii="Wingdings" w:hAnsi="Wingdings" w:cs="Wingdings"/>
                <w:sz w:val="26"/>
                <w:szCs w:val="26"/>
              </w:rPr>
              <w:t></w:t>
            </w:r>
          </w:p>
          <w:p w:rsidR="00140482" w:rsidRPr="00785264" w:rsidRDefault="00140482" w:rsidP="00A0160C">
            <w:pPr>
              <w:jc w:val="center"/>
              <w:rPr>
                <w:rFonts w:cs="Wingdings"/>
                <w:szCs w:val="26"/>
              </w:rPr>
            </w:pPr>
            <w:r w:rsidRPr="00785264">
              <w:rPr>
                <w:rFonts w:cs="Wingdings"/>
                <w:szCs w:val="26"/>
              </w:rPr>
              <w:t xml:space="preserve">Date: </w:t>
            </w:r>
            <w:r>
              <w:rPr>
                <w:rFonts w:cs="Wingdings"/>
                <w:szCs w:val="26"/>
              </w:rPr>
              <w:t>12/09/2016</w:t>
            </w:r>
          </w:p>
        </w:tc>
        <w:tc>
          <w:tcPr>
            <w:tcW w:w="2438" w:type="dxa"/>
            <w:tcBorders>
              <w:bottom w:val="single" w:sz="4" w:space="0" w:color="auto"/>
            </w:tcBorders>
            <w:shd w:val="clear" w:color="auto" w:fill="FFFFFF" w:themeFill="background1"/>
          </w:tcPr>
          <w:p w:rsidR="00140482" w:rsidRDefault="00140482" w:rsidP="00A0160C">
            <w:pPr>
              <w:jc w:val="center"/>
              <w:rPr>
                <w:rFonts w:ascii="Wingdings" w:hAnsi="Wingdings" w:cs="Wingdings"/>
                <w:sz w:val="26"/>
                <w:szCs w:val="26"/>
              </w:rPr>
            </w:pPr>
            <w:r>
              <w:rPr>
                <w:rFonts w:ascii="Wingdings" w:hAnsi="Wingdings" w:cs="Wingdings"/>
                <w:sz w:val="26"/>
                <w:szCs w:val="26"/>
              </w:rPr>
              <w:t></w:t>
            </w:r>
          </w:p>
          <w:p w:rsidR="00140482" w:rsidRPr="00785264" w:rsidRDefault="00140482" w:rsidP="00A0160C">
            <w:pPr>
              <w:jc w:val="center"/>
              <w:rPr>
                <w:rFonts w:cs="Wingdings"/>
                <w:szCs w:val="26"/>
              </w:rPr>
            </w:pPr>
            <w:r w:rsidRPr="00785264">
              <w:rPr>
                <w:rFonts w:cs="Wingdings"/>
                <w:szCs w:val="26"/>
              </w:rPr>
              <w:t xml:space="preserve">Date: </w:t>
            </w:r>
            <w:r>
              <w:rPr>
                <w:rFonts w:cs="Wingdings"/>
                <w:szCs w:val="26"/>
              </w:rPr>
              <w:t>________</w:t>
            </w:r>
          </w:p>
        </w:tc>
      </w:tr>
    </w:tbl>
    <w:p w:rsidR="006511DC" w:rsidRDefault="006511DC" w:rsidP="001E0D83">
      <w:pPr>
        <w:spacing w:after="0" w:line="240" w:lineRule="auto"/>
        <w:rPr>
          <w:rFonts w:eastAsia="MS Mincho" w:cs="Times New Roman"/>
          <w:noProof/>
          <w:szCs w:val="32"/>
          <w:lang w:val="fr-FR"/>
        </w:rPr>
      </w:pPr>
    </w:p>
    <w:p w:rsidR="006511DC" w:rsidRDefault="006511DC">
      <w:pPr>
        <w:rPr>
          <w:rFonts w:eastAsia="MS Mincho" w:cs="Times New Roman"/>
          <w:noProof/>
          <w:szCs w:val="32"/>
          <w:lang w:val="fr-FR"/>
        </w:rPr>
      </w:pPr>
      <w:r>
        <w:rPr>
          <w:rFonts w:eastAsia="MS Mincho" w:cs="Times New Roman"/>
          <w:noProof/>
          <w:szCs w:val="32"/>
          <w:lang w:val="fr-FR"/>
        </w:rPr>
        <w:br w:type="page"/>
      </w:r>
    </w:p>
    <w:p w:rsidR="006511DC" w:rsidRDefault="006511DC" w:rsidP="001E0D83">
      <w:pPr>
        <w:spacing w:after="0" w:line="240" w:lineRule="auto"/>
        <w:rPr>
          <w:rFonts w:eastAsia="MS Mincho" w:cs="Times New Roman"/>
          <w:noProof/>
          <w:szCs w:val="32"/>
          <w:lang w:val="fr-FR"/>
        </w:rPr>
      </w:pPr>
    </w:p>
    <w:p w:rsidR="00093923" w:rsidRPr="00093923" w:rsidRDefault="00093923" w:rsidP="006511DC">
      <w:pPr>
        <w:spacing w:after="0" w:line="240" w:lineRule="auto"/>
        <w:jc w:val="center"/>
        <w:rPr>
          <w:rFonts w:eastAsia="MS Mincho" w:cs="Times New Roman"/>
          <w:b/>
          <w:noProof/>
          <w:szCs w:val="32"/>
        </w:rPr>
      </w:pPr>
      <w:r w:rsidRPr="00093923">
        <w:rPr>
          <w:rFonts w:eastAsia="MS Mincho" w:cs="Times New Roman"/>
          <w:b/>
          <w:noProof/>
          <w:szCs w:val="32"/>
        </w:rPr>
        <w:t>APPENDIX – Business rules for creating tra</w:t>
      </w:r>
      <w:r>
        <w:rPr>
          <w:rFonts w:eastAsia="MS Mincho" w:cs="Times New Roman"/>
          <w:b/>
          <w:noProof/>
          <w:szCs w:val="32"/>
        </w:rPr>
        <w:t>nsformation ins</w:t>
      </w:r>
      <w:r w:rsidRPr="00093923">
        <w:rPr>
          <w:rFonts w:eastAsia="MS Mincho" w:cs="Times New Roman"/>
          <w:b/>
          <w:noProof/>
          <w:szCs w:val="32"/>
        </w:rPr>
        <w:t>t</w:t>
      </w:r>
      <w:r>
        <w:rPr>
          <w:rFonts w:eastAsia="MS Mincho" w:cs="Times New Roman"/>
          <w:b/>
          <w:noProof/>
          <w:szCs w:val="32"/>
        </w:rPr>
        <w:t>r</w:t>
      </w:r>
      <w:r w:rsidRPr="00093923">
        <w:rPr>
          <w:rFonts w:eastAsia="MS Mincho" w:cs="Times New Roman"/>
          <w:b/>
          <w:noProof/>
          <w:szCs w:val="32"/>
        </w:rPr>
        <w:t>uctions</w:t>
      </w:r>
    </w:p>
    <w:p w:rsidR="00093923" w:rsidRPr="00093923" w:rsidRDefault="00093923" w:rsidP="006511DC">
      <w:pPr>
        <w:spacing w:after="0" w:line="240" w:lineRule="auto"/>
        <w:jc w:val="center"/>
        <w:rPr>
          <w:rFonts w:eastAsia="MS Mincho" w:cs="Times New Roman"/>
          <w:b/>
          <w:noProof/>
          <w:szCs w:val="32"/>
        </w:rPr>
      </w:pPr>
    </w:p>
    <w:p w:rsidR="006511DC" w:rsidRPr="006A4780" w:rsidRDefault="006511DC" w:rsidP="006511DC">
      <w:pPr>
        <w:spacing w:after="0" w:line="240" w:lineRule="auto"/>
        <w:jc w:val="center"/>
        <w:rPr>
          <w:rFonts w:eastAsia="MS Mincho" w:cs="Times New Roman"/>
          <w:b/>
          <w:noProof/>
          <w:szCs w:val="32"/>
        </w:rPr>
      </w:pPr>
      <w:r w:rsidRPr="006A4780">
        <w:rPr>
          <w:rFonts w:eastAsia="MS Mincho" w:cs="Times New Roman"/>
          <w:b/>
          <w:noProof/>
          <w:szCs w:val="32"/>
        </w:rPr>
        <w:t>APPENDIX 1</w:t>
      </w:r>
      <w:r w:rsidR="00093923" w:rsidRPr="006A4780">
        <w:rPr>
          <w:rFonts w:eastAsia="MS Mincho" w:cs="Times New Roman"/>
          <w:b/>
          <w:noProof/>
          <w:szCs w:val="32"/>
        </w:rPr>
        <w:t xml:space="preserve"> – Mandatory reorganizations in securities</w:t>
      </w:r>
    </w:p>
    <w:p w:rsidR="006511DC" w:rsidRPr="006A4780" w:rsidRDefault="006511DC" w:rsidP="001E0D83">
      <w:pPr>
        <w:spacing w:after="0" w:line="240" w:lineRule="auto"/>
        <w:rPr>
          <w:rFonts w:eastAsia="MS Mincho" w:cs="Times New Roman"/>
          <w:noProof/>
          <w:szCs w:val="32"/>
        </w:rPr>
      </w:pPr>
    </w:p>
    <w:p w:rsidR="00093923" w:rsidRDefault="00093923" w:rsidP="00093923">
      <w:pPr>
        <w:spacing w:before="120" w:after="0" w:line="240" w:lineRule="auto"/>
        <w:jc w:val="both"/>
        <w:rPr>
          <w:rFonts w:eastAsia="MS Mincho" w:cs="Times New Roman"/>
          <w:noProof/>
          <w:szCs w:val="32"/>
        </w:rPr>
      </w:pPr>
      <w:r w:rsidRPr="00093923">
        <w:rPr>
          <w:rFonts w:eastAsia="MS Mincho" w:cs="Times New Roman"/>
          <w:noProof/>
          <w:szCs w:val="32"/>
        </w:rPr>
        <w:t xml:space="preserve">Ex. Stock </w:t>
      </w:r>
      <w:r w:rsidR="00212EB3">
        <w:rPr>
          <w:rFonts w:eastAsia="MS Mincho" w:cs="Times New Roman"/>
          <w:noProof/>
          <w:szCs w:val="32"/>
        </w:rPr>
        <w:t>s</w:t>
      </w:r>
      <w:r w:rsidRPr="00093923">
        <w:rPr>
          <w:rFonts w:eastAsia="MS Mincho" w:cs="Times New Roman"/>
          <w:noProof/>
          <w:szCs w:val="32"/>
        </w:rPr>
        <w:t>plit (SPLF). According to the terms of the corporate action, each former security A is replaced by 2 new securities B.</w:t>
      </w:r>
    </w:p>
    <w:p w:rsidR="00093923" w:rsidRDefault="00093923" w:rsidP="00093923">
      <w:pPr>
        <w:spacing w:before="120" w:after="0" w:line="240" w:lineRule="auto"/>
        <w:jc w:val="both"/>
        <w:rPr>
          <w:rFonts w:eastAsia="MS Mincho" w:cs="Times New Roman"/>
          <w:noProof/>
          <w:szCs w:val="32"/>
        </w:rPr>
      </w:pPr>
      <w:r>
        <w:rPr>
          <w:rFonts w:eastAsia="MS Mincho" w:cs="Times New Roman"/>
          <w:noProof/>
          <w:szCs w:val="32"/>
        </w:rPr>
        <w:t>At the time of the Record Date end of day (RD COB), the following instruction against payment is matched and settled.</w:t>
      </w:r>
    </w:p>
    <w:p w:rsidR="00093923" w:rsidRPr="006A4780" w:rsidRDefault="00093923" w:rsidP="00093923">
      <w:pPr>
        <w:spacing w:after="0"/>
        <w:jc w:val="both"/>
        <w:rPr>
          <w:rFonts w:eastAsia="MS Mincho" w:cs="Times New Roman"/>
          <w:noProof/>
          <w:szCs w:val="32"/>
        </w:rPr>
      </w:pPr>
      <w:r w:rsidRPr="006A4780">
        <w:rPr>
          <w:rFonts w:eastAsia="MS Mincho" w:cs="Times New Roman"/>
          <w:noProof/>
          <w:szCs w:val="32"/>
        </w:rPr>
        <w:t xml:space="preserve">                                             100 Securities A </w:t>
      </w:r>
    </w:p>
    <w:p w:rsidR="00093923" w:rsidRPr="006A4780" w:rsidRDefault="00093923" w:rsidP="00093923">
      <w:pPr>
        <w:spacing w:after="0" w:line="240" w:lineRule="auto"/>
        <w:jc w:val="both"/>
        <w:rPr>
          <w:rFonts w:eastAsia="MS Mincho" w:cs="Times New Roman"/>
          <w:noProof/>
          <w:szCs w:val="32"/>
        </w:rPr>
      </w:pPr>
      <w:r w:rsidRPr="006A4780">
        <w:rPr>
          <w:rFonts w:eastAsia="MS Mincho" w:cs="Times New Roman"/>
          <w:noProof/>
          <w:szCs w:val="32"/>
        </w:rPr>
        <w:t xml:space="preserve">Seller X       </w:t>
      </w:r>
      <w:r w:rsidR="0036580A" w:rsidRPr="006A4780">
        <w:rPr>
          <w:rFonts w:eastAsia="MS Mincho" w:cs="Times New Roman"/>
          <w:noProof/>
          <w:szCs w:val="32"/>
        </w:rPr>
        <w:t xml:space="preserve">      </w:t>
      </w:r>
      <w:r w:rsidRPr="006A4780">
        <w:rPr>
          <w:rFonts w:eastAsia="MS Mincho" w:cs="Times New Roman"/>
          <w:noProof/>
          <w:szCs w:val="32"/>
        </w:rPr>
        <w:t xml:space="preserve">----------------------------------------------------- </w:t>
      </w:r>
      <w:r w:rsidRPr="00DD50BE">
        <w:rPr>
          <w:rFonts w:eastAsia="MS Mincho" w:cs="Times New Roman"/>
          <w:noProof/>
          <w:szCs w:val="32"/>
          <w:lang w:val="fr-FR"/>
        </w:rPr>
        <w:sym w:font="Wingdings" w:char="F0E0"/>
      </w:r>
      <w:r w:rsidRPr="006A4780">
        <w:rPr>
          <w:rFonts w:eastAsia="MS Mincho" w:cs="Times New Roman"/>
          <w:noProof/>
          <w:szCs w:val="32"/>
        </w:rPr>
        <w:t xml:space="preserve">       Buyer Y</w:t>
      </w:r>
    </w:p>
    <w:p w:rsidR="00093923" w:rsidRPr="006A4780" w:rsidRDefault="00093923" w:rsidP="00093923">
      <w:pPr>
        <w:spacing w:after="0"/>
        <w:jc w:val="both"/>
        <w:rPr>
          <w:rFonts w:eastAsia="MS Mincho" w:cs="Times New Roman"/>
          <w:noProof/>
          <w:szCs w:val="32"/>
        </w:rPr>
      </w:pPr>
      <w:r w:rsidRPr="006A4780">
        <w:rPr>
          <w:rFonts w:eastAsia="MS Mincho" w:cs="Times New Roman"/>
          <w:noProof/>
          <w:szCs w:val="32"/>
        </w:rPr>
        <w:t xml:space="preserve">                          &lt;  --------------------------------------------------   </w:t>
      </w:r>
    </w:p>
    <w:p w:rsidR="00093923" w:rsidRPr="00093923" w:rsidRDefault="00093923" w:rsidP="00093923">
      <w:pPr>
        <w:jc w:val="both"/>
        <w:rPr>
          <w:rFonts w:eastAsia="MS Mincho" w:cs="Times New Roman"/>
          <w:noProof/>
          <w:szCs w:val="32"/>
        </w:rPr>
      </w:pPr>
      <w:r w:rsidRPr="006A4780">
        <w:rPr>
          <w:rFonts w:eastAsia="MS Mincho" w:cs="Times New Roman"/>
          <w:noProof/>
          <w:szCs w:val="32"/>
        </w:rPr>
        <w:t xml:space="preserve">                                                </w:t>
      </w:r>
      <w:r w:rsidRPr="00093923">
        <w:rPr>
          <w:rFonts w:eastAsia="MS Mincho" w:cs="Times New Roman"/>
          <w:noProof/>
          <w:szCs w:val="32"/>
        </w:rPr>
        <w:t>500 EUR</w:t>
      </w:r>
    </w:p>
    <w:p w:rsidR="00093923" w:rsidRDefault="00093923" w:rsidP="00093923">
      <w:pPr>
        <w:spacing w:before="120" w:after="0" w:line="240" w:lineRule="auto"/>
        <w:jc w:val="both"/>
        <w:rPr>
          <w:rFonts w:eastAsia="MS Mincho" w:cs="Times New Roman"/>
          <w:noProof/>
          <w:szCs w:val="32"/>
        </w:rPr>
      </w:pPr>
      <w:r>
        <w:rPr>
          <w:rFonts w:eastAsia="MS Mincho" w:cs="Times New Roman"/>
          <w:noProof/>
          <w:szCs w:val="32"/>
        </w:rPr>
        <w:t xml:space="preserve">After the cancellation of the underlying instruction by ESES, </w:t>
      </w:r>
      <w:r w:rsidR="0044347F">
        <w:rPr>
          <w:rFonts w:eastAsia="MS Mincho" w:cs="Times New Roman"/>
          <w:noProof/>
          <w:szCs w:val="32"/>
        </w:rPr>
        <w:t xml:space="preserve">market </w:t>
      </w:r>
      <w:r>
        <w:rPr>
          <w:rFonts w:eastAsia="MS Mincho" w:cs="Times New Roman"/>
          <w:noProof/>
          <w:szCs w:val="32"/>
        </w:rPr>
        <w:t>participants will have to send the following instruction:</w:t>
      </w:r>
    </w:p>
    <w:p w:rsidR="00093923" w:rsidRPr="00093923" w:rsidRDefault="006D0683" w:rsidP="00093923">
      <w:pPr>
        <w:pStyle w:val="ListParagraph"/>
        <w:numPr>
          <w:ilvl w:val="0"/>
          <w:numId w:val="21"/>
        </w:numPr>
        <w:spacing w:before="120" w:after="0" w:line="240" w:lineRule="auto"/>
        <w:jc w:val="both"/>
        <w:rPr>
          <w:rFonts w:eastAsia="MS Mincho" w:cs="Times New Roman"/>
          <w:noProof/>
          <w:szCs w:val="32"/>
        </w:rPr>
      </w:pPr>
      <w:r>
        <w:rPr>
          <w:rFonts w:eastAsia="MS Mincho" w:cs="Times New Roman"/>
          <w:noProof/>
          <w:szCs w:val="32"/>
        </w:rPr>
        <w:t>A delivery vs payment f</w:t>
      </w:r>
      <w:r w:rsidR="00093923">
        <w:rPr>
          <w:rFonts w:eastAsia="MS Mincho" w:cs="Times New Roman"/>
          <w:noProof/>
          <w:szCs w:val="32"/>
        </w:rPr>
        <w:t>r</w:t>
      </w:r>
      <w:r>
        <w:rPr>
          <w:rFonts w:eastAsia="MS Mincho" w:cs="Times New Roman"/>
          <w:noProof/>
          <w:szCs w:val="32"/>
        </w:rPr>
        <w:t>o</w:t>
      </w:r>
      <w:r w:rsidR="00093923">
        <w:rPr>
          <w:rFonts w:eastAsia="MS Mincho" w:cs="Times New Roman"/>
          <w:noProof/>
          <w:szCs w:val="32"/>
        </w:rPr>
        <w:t>m the seller to the buyer to transfer the corporate action proceed in exchange for the amount of the initial transaction</w:t>
      </w:r>
    </w:p>
    <w:p w:rsidR="00093923" w:rsidRPr="00093923" w:rsidRDefault="00093923" w:rsidP="00093923">
      <w:pPr>
        <w:pStyle w:val="ListParagraph"/>
        <w:spacing w:before="120"/>
        <w:ind w:left="0"/>
        <w:contextualSpacing w:val="0"/>
        <w:jc w:val="both"/>
        <w:rPr>
          <w:rFonts w:eastAsia="MS Mincho" w:cs="Times New Roman"/>
          <w:noProof/>
          <w:sz w:val="16"/>
          <w:szCs w:val="16"/>
        </w:rPr>
      </w:pPr>
      <w:r w:rsidRPr="0044347F">
        <w:rPr>
          <w:rFonts w:eastAsia="MS Mincho" w:cs="Times New Roman"/>
          <w:noProof/>
          <w:szCs w:val="32"/>
        </w:rPr>
        <w:t xml:space="preserve">DVP </w:t>
      </w:r>
      <w:r w:rsidRPr="00093923">
        <w:rPr>
          <w:rFonts w:eastAsia="MS Mincho" w:cs="Times New Roman"/>
          <w:noProof/>
          <w:sz w:val="16"/>
          <w:szCs w:val="32"/>
        </w:rPr>
        <w:t>(</w:t>
      </w:r>
      <w:r w:rsidRPr="00093923">
        <w:rPr>
          <w:rFonts w:eastAsia="MS Mincho" w:cs="Times New Roman"/>
          <w:noProof/>
          <w:sz w:val="16"/>
          <w:szCs w:val="16"/>
        </w:rPr>
        <w:t>Delivery Versus Payment) = settlement instruction in T2S aiming at delivering secuirities against payment</w:t>
      </w:r>
    </w:p>
    <w:p w:rsidR="00093923" w:rsidRPr="006A4780" w:rsidRDefault="00093923" w:rsidP="00093923">
      <w:pPr>
        <w:spacing w:after="0"/>
        <w:jc w:val="both"/>
        <w:rPr>
          <w:rFonts w:eastAsia="MS Mincho" w:cs="Times New Roman"/>
          <w:noProof/>
          <w:szCs w:val="32"/>
        </w:rPr>
      </w:pPr>
      <w:r w:rsidRPr="006A4780">
        <w:rPr>
          <w:rFonts w:eastAsia="MS Mincho" w:cs="Times New Roman"/>
          <w:noProof/>
          <w:szCs w:val="32"/>
        </w:rPr>
        <w:t xml:space="preserve">                                             200 Securities B </w:t>
      </w:r>
    </w:p>
    <w:p w:rsidR="00093923" w:rsidRPr="00093923" w:rsidRDefault="00093923" w:rsidP="00093923">
      <w:pPr>
        <w:spacing w:after="0"/>
        <w:jc w:val="both"/>
        <w:rPr>
          <w:rFonts w:eastAsia="MS Mincho" w:cs="Times New Roman"/>
          <w:noProof/>
          <w:szCs w:val="32"/>
        </w:rPr>
      </w:pPr>
      <w:r w:rsidRPr="00093923">
        <w:rPr>
          <w:rFonts w:eastAsia="MS Mincho" w:cs="Times New Roman"/>
          <w:noProof/>
          <w:szCs w:val="32"/>
        </w:rPr>
        <w:t xml:space="preserve">Seller X       </w:t>
      </w:r>
      <w:r w:rsidR="0036580A">
        <w:rPr>
          <w:rFonts w:eastAsia="MS Mincho" w:cs="Times New Roman"/>
          <w:noProof/>
          <w:szCs w:val="32"/>
        </w:rPr>
        <w:t xml:space="preserve">      </w:t>
      </w:r>
      <w:r w:rsidRPr="00093923">
        <w:rPr>
          <w:rFonts w:eastAsia="MS Mincho" w:cs="Times New Roman"/>
          <w:noProof/>
          <w:szCs w:val="32"/>
        </w:rPr>
        <w:t xml:space="preserve">----------------------------------------------------- </w:t>
      </w:r>
      <w:r w:rsidRPr="00DD50BE">
        <w:rPr>
          <w:rFonts w:eastAsia="MS Mincho" w:cs="Times New Roman"/>
          <w:noProof/>
          <w:szCs w:val="32"/>
          <w:lang w:val="fr-FR"/>
        </w:rPr>
        <w:sym w:font="Wingdings" w:char="F0E0"/>
      </w:r>
      <w:r w:rsidRPr="00093923">
        <w:rPr>
          <w:rFonts w:eastAsia="MS Mincho" w:cs="Times New Roman"/>
          <w:noProof/>
          <w:szCs w:val="32"/>
        </w:rPr>
        <w:t xml:space="preserve">       Buyer Y</w:t>
      </w:r>
    </w:p>
    <w:p w:rsidR="00093923" w:rsidRPr="00093923" w:rsidRDefault="00093923" w:rsidP="00093923">
      <w:pPr>
        <w:spacing w:after="0"/>
        <w:jc w:val="both"/>
        <w:rPr>
          <w:rFonts w:eastAsia="MS Mincho" w:cs="Times New Roman"/>
          <w:noProof/>
          <w:szCs w:val="32"/>
        </w:rPr>
      </w:pPr>
      <w:r w:rsidRPr="00093923">
        <w:rPr>
          <w:rFonts w:eastAsia="MS Mincho" w:cs="Times New Roman"/>
          <w:noProof/>
          <w:szCs w:val="32"/>
        </w:rPr>
        <w:t xml:space="preserve">                          &lt;  --------------------------------------------------   </w:t>
      </w:r>
    </w:p>
    <w:p w:rsidR="00093923" w:rsidRPr="00093923" w:rsidRDefault="00093923" w:rsidP="00093923">
      <w:pPr>
        <w:jc w:val="both"/>
        <w:rPr>
          <w:rFonts w:eastAsia="MS Mincho" w:cs="Times New Roman"/>
          <w:noProof/>
          <w:szCs w:val="32"/>
        </w:rPr>
      </w:pPr>
      <w:r w:rsidRPr="00093923">
        <w:rPr>
          <w:rFonts w:eastAsia="MS Mincho" w:cs="Times New Roman"/>
          <w:noProof/>
          <w:szCs w:val="32"/>
        </w:rPr>
        <w:t xml:space="preserve">                                                500 EUR</w:t>
      </w:r>
    </w:p>
    <w:p w:rsidR="00093923" w:rsidRPr="00093923" w:rsidRDefault="00093923" w:rsidP="00093923">
      <w:pPr>
        <w:spacing w:before="120" w:after="0" w:line="240" w:lineRule="auto"/>
        <w:jc w:val="both"/>
        <w:rPr>
          <w:rFonts w:eastAsia="MS Mincho" w:cs="Times New Roman"/>
          <w:noProof/>
          <w:szCs w:val="32"/>
        </w:rPr>
      </w:pPr>
      <w:r>
        <w:rPr>
          <w:rFonts w:eastAsia="MS Mincho" w:cs="Times New Roman"/>
          <w:noProof/>
          <w:szCs w:val="32"/>
        </w:rPr>
        <w:t>In the case where the initial underlying transaction is not againt payment (free of payment)</w:t>
      </w:r>
      <w:r w:rsidR="0044347F">
        <w:rPr>
          <w:rFonts w:eastAsia="MS Mincho" w:cs="Times New Roman"/>
          <w:noProof/>
          <w:szCs w:val="32"/>
        </w:rPr>
        <w:t>, a settlement instruction (free of payment as well) must be created by market participants from the seller to the buyer to transfer the proceeds of the corporate action.</w:t>
      </w:r>
    </w:p>
    <w:p w:rsidR="006511DC" w:rsidRPr="006A4780" w:rsidRDefault="006511DC" w:rsidP="001E0D83">
      <w:pPr>
        <w:spacing w:after="0" w:line="240" w:lineRule="auto"/>
        <w:rPr>
          <w:rFonts w:eastAsia="MS Mincho" w:cs="Times New Roman"/>
          <w:noProof/>
          <w:szCs w:val="32"/>
        </w:rPr>
      </w:pPr>
    </w:p>
    <w:p w:rsidR="0044347F" w:rsidRPr="006A4780" w:rsidRDefault="0044347F" w:rsidP="0044347F">
      <w:pPr>
        <w:spacing w:after="0"/>
        <w:rPr>
          <w:rFonts w:eastAsia="MS Mincho" w:cs="Times New Roman"/>
          <w:noProof/>
          <w:sz w:val="16"/>
          <w:szCs w:val="16"/>
        </w:rPr>
      </w:pPr>
      <w:r w:rsidRPr="006A4780">
        <w:rPr>
          <w:rFonts w:eastAsia="MS Mincho" w:cs="Times New Roman"/>
          <w:noProof/>
          <w:szCs w:val="32"/>
        </w:rPr>
        <w:t>FOP</w:t>
      </w:r>
      <w:r w:rsidRPr="006A4780">
        <w:rPr>
          <w:rFonts w:eastAsia="MS Mincho" w:cs="Times New Roman"/>
          <w:noProof/>
          <w:sz w:val="16"/>
          <w:szCs w:val="32"/>
        </w:rPr>
        <w:t xml:space="preserve"> (</w:t>
      </w:r>
      <w:r w:rsidRPr="006A4780">
        <w:rPr>
          <w:rFonts w:eastAsia="MS Mincho" w:cs="Times New Roman"/>
          <w:noProof/>
          <w:sz w:val="16"/>
          <w:szCs w:val="16"/>
        </w:rPr>
        <w:t xml:space="preserve">Free Of Payment) = settlement instruction in T2S aiming at transferring securities only </w:t>
      </w:r>
    </w:p>
    <w:p w:rsidR="0044347F" w:rsidRPr="006A4780" w:rsidRDefault="0044347F" w:rsidP="0044347F">
      <w:pPr>
        <w:spacing w:after="0"/>
        <w:rPr>
          <w:rFonts w:eastAsia="MS Mincho" w:cs="Times New Roman"/>
          <w:noProof/>
          <w:szCs w:val="32"/>
        </w:rPr>
      </w:pPr>
    </w:p>
    <w:p w:rsidR="0044347F" w:rsidRPr="006A4780" w:rsidRDefault="0044347F" w:rsidP="0044347F">
      <w:pPr>
        <w:spacing w:after="0"/>
        <w:rPr>
          <w:rFonts w:eastAsia="MS Mincho" w:cs="Times New Roman"/>
          <w:noProof/>
          <w:szCs w:val="32"/>
        </w:rPr>
      </w:pPr>
      <w:r w:rsidRPr="006A4780">
        <w:rPr>
          <w:rFonts w:eastAsia="MS Mincho" w:cs="Times New Roman"/>
          <w:noProof/>
          <w:szCs w:val="32"/>
        </w:rPr>
        <w:t xml:space="preserve">                                             200 Securities B </w:t>
      </w:r>
    </w:p>
    <w:p w:rsidR="0044347F" w:rsidRPr="0044347F" w:rsidRDefault="0044347F" w:rsidP="0044347F">
      <w:pPr>
        <w:spacing w:after="0"/>
        <w:rPr>
          <w:rFonts w:eastAsia="MS Mincho" w:cs="Times New Roman"/>
          <w:noProof/>
          <w:szCs w:val="32"/>
        </w:rPr>
      </w:pPr>
      <w:r w:rsidRPr="0044347F">
        <w:rPr>
          <w:rFonts w:eastAsia="MS Mincho" w:cs="Times New Roman"/>
          <w:noProof/>
          <w:szCs w:val="32"/>
        </w:rPr>
        <w:t xml:space="preserve">Seller X       </w:t>
      </w:r>
      <w:r w:rsidR="0036580A">
        <w:rPr>
          <w:rFonts w:eastAsia="MS Mincho" w:cs="Times New Roman"/>
          <w:noProof/>
          <w:szCs w:val="32"/>
        </w:rPr>
        <w:t xml:space="preserve">      </w:t>
      </w:r>
      <w:r w:rsidRPr="0044347F">
        <w:rPr>
          <w:rFonts w:eastAsia="MS Mincho" w:cs="Times New Roman"/>
          <w:noProof/>
          <w:szCs w:val="32"/>
        </w:rPr>
        <w:t xml:space="preserve">----------------------------------------------------- </w:t>
      </w:r>
      <w:r w:rsidRPr="00DD50BE">
        <w:rPr>
          <w:rFonts w:eastAsia="MS Mincho" w:cs="Times New Roman"/>
          <w:noProof/>
          <w:szCs w:val="32"/>
          <w:lang w:val="fr-FR"/>
        </w:rPr>
        <w:sym w:font="Wingdings" w:char="F0E0"/>
      </w:r>
      <w:r w:rsidRPr="0044347F">
        <w:rPr>
          <w:rFonts w:eastAsia="MS Mincho" w:cs="Times New Roman"/>
          <w:noProof/>
          <w:szCs w:val="32"/>
        </w:rPr>
        <w:t xml:space="preserve">       Buyer Y           </w:t>
      </w:r>
    </w:p>
    <w:p w:rsidR="0044347F" w:rsidRPr="0044347F" w:rsidRDefault="0044347F" w:rsidP="0044347F">
      <w:pPr>
        <w:rPr>
          <w:rFonts w:eastAsia="MS Mincho" w:cs="Times New Roman"/>
          <w:noProof/>
          <w:szCs w:val="32"/>
        </w:rPr>
      </w:pPr>
      <w:r w:rsidRPr="0044347F">
        <w:rPr>
          <w:rFonts w:eastAsia="MS Mincho" w:cs="Times New Roman"/>
          <w:noProof/>
          <w:szCs w:val="32"/>
        </w:rPr>
        <w:t xml:space="preserve">    </w:t>
      </w:r>
    </w:p>
    <w:p w:rsidR="0044347F" w:rsidRPr="0044347F" w:rsidRDefault="0044347F" w:rsidP="00CD3A9E">
      <w:pPr>
        <w:spacing w:after="120" w:line="240" w:lineRule="auto"/>
        <w:rPr>
          <w:rFonts w:eastAsia="MS Mincho" w:cs="Times New Roman"/>
          <w:noProof/>
          <w:szCs w:val="32"/>
          <w:u w:val="single"/>
        </w:rPr>
      </w:pPr>
      <w:r w:rsidRPr="0044347F">
        <w:rPr>
          <w:rFonts w:eastAsia="MS Mincho" w:cs="Times New Roman"/>
          <w:noProof/>
          <w:szCs w:val="32"/>
          <w:u w:val="single"/>
        </w:rPr>
        <w:t>Mandatory reorganization</w:t>
      </w:r>
      <w:r>
        <w:rPr>
          <w:rFonts w:eastAsia="MS Mincho" w:cs="Times New Roman"/>
          <w:noProof/>
          <w:szCs w:val="32"/>
          <w:u w:val="single"/>
        </w:rPr>
        <w:t>s in securities with fractions</w:t>
      </w:r>
    </w:p>
    <w:p w:rsidR="0044347F" w:rsidRDefault="00CD3A9E" w:rsidP="006D0683">
      <w:pPr>
        <w:spacing w:after="120" w:line="240" w:lineRule="auto"/>
        <w:jc w:val="both"/>
        <w:rPr>
          <w:rFonts w:eastAsia="MS Mincho" w:cs="Times New Roman"/>
          <w:noProof/>
          <w:szCs w:val="32"/>
        </w:rPr>
      </w:pPr>
      <w:r>
        <w:rPr>
          <w:rFonts w:eastAsia="MS Mincho" w:cs="Times New Roman"/>
          <w:noProof/>
          <w:szCs w:val="32"/>
        </w:rPr>
        <w:t>The issuer can decide to announce the ratio for the corporate action according to one of the two methods described below.</w:t>
      </w:r>
    </w:p>
    <w:p w:rsidR="00CD3A9E" w:rsidRDefault="00CD3A9E" w:rsidP="006D0683">
      <w:pPr>
        <w:spacing w:after="120" w:line="240" w:lineRule="auto"/>
        <w:jc w:val="both"/>
        <w:rPr>
          <w:rFonts w:eastAsia="MS Mincho" w:cs="Times New Roman"/>
          <w:noProof/>
          <w:szCs w:val="32"/>
        </w:rPr>
      </w:pPr>
      <w:r>
        <w:rPr>
          <w:rFonts w:eastAsia="MS Mincho" w:cs="Times New Roman"/>
          <w:noProof/>
          <w:szCs w:val="32"/>
        </w:rPr>
        <w:t xml:space="preserve">The use of one method or another influences the calculation of the proceeds to be received and market participants must apply the method chosen by the issued, both for the calculation of the payment based </w:t>
      </w:r>
      <w:r>
        <w:rPr>
          <w:rFonts w:eastAsia="MS Mincho" w:cs="Times New Roman"/>
          <w:noProof/>
          <w:szCs w:val="32"/>
        </w:rPr>
        <w:lastRenderedPageBreak/>
        <w:t xml:space="preserve">on positions settlement at RD COB, </w:t>
      </w:r>
      <w:r>
        <w:rPr>
          <w:rFonts w:eastAsia="MS Mincho" w:cs="Times New Roman"/>
          <w:noProof/>
          <w:szCs w:val="32"/>
          <w:u w:val="single"/>
        </w:rPr>
        <w:t>but also for the calculation of market claims on eligible instruction not settled</w:t>
      </w:r>
      <w:r w:rsidRPr="00CD3A9E">
        <w:rPr>
          <w:rFonts w:eastAsia="MS Mincho" w:cs="Times New Roman"/>
          <w:noProof/>
          <w:szCs w:val="32"/>
        </w:rPr>
        <w:t>.</w:t>
      </w:r>
    </w:p>
    <w:p w:rsidR="00CD3A9E" w:rsidRDefault="00CD3A9E" w:rsidP="00A05F16">
      <w:pPr>
        <w:spacing w:after="120" w:line="240" w:lineRule="auto"/>
        <w:jc w:val="both"/>
        <w:rPr>
          <w:rFonts w:eastAsia="MS Mincho" w:cs="Times New Roman"/>
          <w:noProof/>
          <w:szCs w:val="32"/>
        </w:rPr>
      </w:pPr>
      <w:r>
        <w:rPr>
          <w:rFonts w:eastAsia="MS Mincho" w:cs="Times New Roman"/>
          <w:noProof/>
          <w:szCs w:val="32"/>
        </w:rPr>
        <w:t>If transformation instructions are not created by both parties using the method chosen by the issuer (*), quantities calculated may be different, resulting in mismatching of the instructions in T2S.</w:t>
      </w:r>
    </w:p>
    <w:p w:rsidR="00773E60" w:rsidRPr="00773E60" w:rsidRDefault="00773E60" w:rsidP="00A05F16">
      <w:pPr>
        <w:spacing w:after="120" w:line="240" w:lineRule="auto"/>
        <w:jc w:val="both"/>
        <w:rPr>
          <w:rFonts w:eastAsia="MS Mincho" w:cs="Times New Roman"/>
          <w:i/>
          <w:noProof/>
          <w:sz w:val="18"/>
          <w:szCs w:val="32"/>
        </w:rPr>
      </w:pPr>
      <w:r w:rsidRPr="00773E60">
        <w:rPr>
          <w:rFonts w:eastAsia="MS Mincho" w:cs="Times New Roman"/>
          <w:i/>
          <w:noProof/>
          <w:sz w:val="18"/>
          <w:szCs w:val="32"/>
        </w:rPr>
        <w:t>(*)</w:t>
      </w:r>
      <w:r>
        <w:rPr>
          <w:rFonts w:eastAsia="MS Mincho" w:cs="Times New Roman"/>
          <w:i/>
          <w:noProof/>
          <w:sz w:val="18"/>
          <w:szCs w:val="32"/>
        </w:rPr>
        <w:t xml:space="preserve"> this information is presented in the </w:t>
      </w:r>
      <w:r w:rsidR="006D0683">
        <w:rPr>
          <w:rFonts w:eastAsia="MS Mincho" w:cs="Times New Roman"/>
          <w:i/>
          <w:noProof/>
          <w:sz w:val="18"/>
          <w:szCs w:val="32"/>
        </w:rPr>
        <w:t>forms of paying</w:t>
      </w:r>
      <w:r>
        <w:rPr>
          <w:rFonts w:eastAsia="MS Mincho" w:cs="Times New Roman"/>
          <w:i/>
          <w:noProof/>
          <w:sz w:val="18"/>
          <w:szCs w:val="32"/>
        </w:rPr>
        <w:t xml:space="preserve"> agents, in the Euronext advice and in SWIFT messages from the CSD (field MILT = 1 if the method is full balance or field MILT = nb of former securities &amp; denominator of the ratio</w:t>
      </w:r>
      <w:r w:rsidR="006D0683">
        <w:rPr>
          <w:rFonts w:eastAsia="MS Mincho" w:cs="Times New Roman"/>
          <w:i/>
          <w:noProof/>
          <w:sz w:val="18"/>
          <w:szCs w:val="32"/>
        </w:rPr>
        <w:t xml:space="preserve"> for the ratio compliant method</w:t>
      </w:r>
    </w:p>
    <w:p w:rsidR="00773E60" w:rsidRDefault="00A05F16" w:rsidP="00A05F16">
      <w:pPr>
        <w:pStyle w:val="ListParagraph"/>
        <w:numPr>
          <w:ilvl w:val="0"/>
          <w:numId w:val="25"/>
        </w:numPr>
        <w:spacing w:after="120" w:line="240" w:lineRule="auto"/>
        <w:jc w:val="both"/>
        <w:rPr>
          <w:rFonts w:eastAsia="MS Mincho" w:cs="Times New Roman"/>
          <w:noProof/>
          <w:szCs w:val="32"/>
        </w:rPr>
      </w:pPr>
      <w:r w:rsidRPr="00A05F16">
        <w:rPr>
          <w:rFonts w:eastAsia="MS Mincho" w:cs="Times New Roman"/>
          <w:noProof/>
          <w:szCs w:val="32"/>
        </w:rPr>
        <w:t>The ‘Full balance’</w:t>
      </w:r>
      <w:r>
        <w:rPr>
          <w:rFonts w:eastAsia="MS Mincho" w:cs="Times New Roman"/>
          <w:noProof/>
          <w:szCs w:val="32"/>
        </w:rPr>
        <w:t xml:space="preserve"> method means the corporate action proceed is calculated by applying the ratio to the total quantity of former se</w:t>
      </w:r>
      <w:r w:rsidR="006D0683">
        <w:rPr>
          <w:rFonts w:eastAsia="MS Mincho" w:cs="Times New Roman"/>
          <w:noProof/>
          <w:szCs w:val="32"/>
        </w:rPr>
        <w:t>curities. This method is recomme</w:t>
      </w:r>
      <w:r>
        <w:rPr>
          <w:rFonts w:eastAsia="MS Mincho" w:cs="Times New Roman"/>
          <w:noProof/>
          <w:szCs w:val="32"/>
        </w:rPr>
        <w:t>nded by CAJWG standards, allowing to maximize the proceeds to be received.</w:t>
      </w:r>
    </w:p>
    <w:p w:rsidR="00A05F16" w:rsidRDefault="00A05F16" w:rsidP="00A05F16">
      <w:pPr>
        <w:pStyle w:val="ListParagraph"/>
        <w:spacing w:after="120" w:line="240" w:lineRule="auto"/>
        <w:jc w:val="both"/>
        <w:rPr>
          <w:rFonts w:eastAsia="MS Mincho" w:cs="Times New Roman"/>
          <w:noProof/>
          <w:szCs w:val="32"/>
        </w:rPr>
      </w:pPr>
    </w:p>
    <w:p w:rsidR="00A05F16" w:rsidRPr="00A05F16" w:rsidRDefault="00A05F16" w:rsidP="00A05F16">
      <w:pPr>
        <w:pStyle w:val="ListParagraph"/>
        <w:numPr>
          <w:ilvl w:val="0"/>
          <w:numId w:val="25"/>
        </w:numPr>
        <w:spacing w:after="120" w:line="240" w:lineRule="auto"/>
        <w:jc w:val="both"/>
        <w:rPr>
          <w:rFonts w:eastAsia="MS Mincho" w:cs="Times New Roman"/>
          <w:noProof/>
          <w:szCs w:val="32"/>
        </w:rPr>
      </w:pPr>
      <w:r>
        <w:rPr>
          <w:rFonts w:eastAsia="MS Mincho" w:cs="Times New Roman"/>
          <w:noProof/>
          <w:szCs w:val="32"/>
        </w:rPr>
        <w:t>The ‘Ratio compliant’ method means that the corporate action proceeds is c</w:t>
      </w:r>
      <w:r w:rsidR="006D0683">
        <w:rPr>
          <w:rFonts w:eastAsia="MS Mincho" w:cs="Times New Roman"/>
          <w:noProof/>
          <w:szCs w:val="32"/>
        </w:rPr>
        <w:t>alculated by applying the ratio</w:t>
      </w:r>
      <w:r>
        <w:rPr>
          <w:rFonts w:eastAsia="MS Mincho" w:cs="Times New Roman"/>
          <w:noProof/>
          <w:szCs w:val="32"/>
        </w:rPr>
        <w:t xml:space="preserve"> to the quantity of former securities multiple of the ratio. This</w:t>
      </w:r>
      <w:r w:rsidR="006D0683">
        <w:rPr>
          <w:rFonts w:eastAsia="MS Mincho" w:cs="Times New Roman"/>
          <w:noProof/>
          <w:szCs w:val="32"/>
        </w:rPr>
        <w:t xml:space="preserve"> </w:t>
      </w:r>
      <w:r>
        <w:rPr>
          <w:rFonts w:eastAsia="MS Mincho" w:cs="Times New Roman"/>
          <w:noProof/>
          <w:szCs w:val="32"/>
        </w:rPr>
        <w:t>method is not recommended as it does not allow to maximize the proceeds of the corporate action for the beneficiary.</w:t>
      </w:r>
    </w:p>
    <w:p w:rsidR="00773E60" w:rsidRDefault="00773E60" w:rsidP="00A05F16">
      <w:pPr>
        <w:spacing w:after="120" w:line="240" w:lineRule="auto"/>
        <w:jc w:val="both"/>
        <w:rPr>
          <w:rFonts w:eastAsia="MS Mincho" w:cs="Times New Roman"/>
          <w:noProof/>
          <w:szCs w:val="32"/>
          <w:u w:val="single"/>
        </w:rPr>
      </w:pPr>
    </w:p>
    <w:p w:rsidR="00A05F16" w:rsidRPr="00A05F16" w:rsidRDefault="00A05F16" w:rsidP="00A05F16">
      <w:pPr>
        <w:spacing w:after="120" w:line="240" w:lineRule="auto"/>
        <w:jc w:val="both"/>
        <w:rPr>
          <w:rFonts w:eastAsia="MS Mincho" w:cs="Times New Roman"/>
          <w:b/>
          <w:noProof/>
          <w:sz w:val="24"/>
          <w:szCs w:val="32"/>
        </w:rPr>
      </w:pPr>
      <w:r w:rsidRPr="00A05F16">
        <w:rPr>
          <w:rFonts w:eastAsia="MS Mincho" w:cs="Times New Roman"/>
          <w:b/>
          <w:noProof/>
          <w:sz w:val="24"/>
          <w:szCs w:val="32"/>
        </w:rPr>
        <w:t>‘Full Balance’ Method</w:t>
      </w:r>
    </w:p>
    <w:p w:rsidR="00A05F16" w:rsidRDefault="00A05F16" w:rsidP="00A05F16">
      <w:pPr>
        <w:spacing w:after="120" w:line="240" w:lineRule="auto"/>
        <w:jc w:val="both"/>
        <w:rPr>
          <w:rFonts w:eastAsia="MS Mincho" w:cs="Times New Roman"/>
          <w:noProof/>
          <w:szCs w:val="32"/>
        </w:rPr>
      </w:pPr>
      <w:r w:rsidRPr="00A05F16">
        <w:rPr>
          <w:rFonts w:eastAsia="MS Mincho" w:cs="Times New Roman"/>
          <w:b/>
          <w:noProof/>
          <w:szCs w:val="32"/>
          <w:u w:val="single"/>
        </w:rPr>
        <w:t>Example 1</w:t>
      </w:r>
      <w:r>
        <w:rPr>
          <w:rFonts w:eastAsia="MS Mincho" w:cs="Times New Roman"/>
          <w:b/>
          <w:noProof/>
          <w:szCs w:val="32"/>
        </w:rPr>
        <w:t>:</w:t>
      </w:r>
      <w:r>
        <w:rPr>
          <w:rFonts w:eastAsia="MS Mincho" w:cs="Times New Roman"/>
          <w:noProof/>
          <w:szCs w:val="32"/>
        </w:rPr>
        <w:t xml:space="preserve"> reverse stock split (SPLR). According to the terms of the corporate action, 3 former securities A must be replaced by 5 new securities B.</w:t>
      </w:r>
    </w:p>
    <w:p w:rsidR="00A05F16" w:rsidRPr="00A05F16" w:rsidRDefault="00A05F16" w:rsidP="00A05F16">
      <w:pPr>
        <w:spacing w:after="120" w:line="240" w:lineRule="auto"/>
        <w:jc w:val="both"/>
        <w:rPr>
          <w:rFonts w:eastAsia="MS Mincho" w:cs="Times New Roman"/>
          <w:noProof/>
          <w:szCs w:val="32"/>
        </w:rPr>
      </w:pPr>
      <w:r>
        <w:rPr>
          <w:rFonts w:eastAsia="MS Mincho" w:cs="Times New Roman"/>
          <w:noProof/>
          <w:szCs w:val="32"/>
        </w:rPr>
        <w:t xml:space="preserve">At RD COB, the following instruction against payment must be matched and </w:t>
      </w:r>
      <w:r w:rsidR="00DA614C">
        <w:rPr>
          <w:rFonts w:eastAsia="MS Mincho" w:cs="Times New Roman"/>
          <w:noProof/>
          <w:szCs w:val="32"/>
        </w:rPr>
        <w:t xml:space="preserve">not </w:t>
      </w:r>
      <w:r>
        <w:rPr>
          <w:rFonts w:eastAsia="MS Mincho" w:cs="Times New Roman"/>
          <w:noProof/>
          <w:szCs w:val="32"/>
        </w:rPr>
        <w:t>settled.</w:t>
      </w:r>
    </w:p>
    <w:p w:rsidR="00A05F16" w:rsidRPr="00A05F16" w:rsidRDefault="00A05F16" w:rsidP="00A05F16">
      <w:pPr>
        <w:spacing w:after="0"/>
        <w:jc w:val="both"/>
        <w:rPr>
          <w:rFonts w:eastAsia="MS Mincho" w:cs="Times New Roman"/>
          <w:noProof/>
          <w:szCs w:val="32"/>
        </w:rPr>
      </w:pPr>
      <w:r w:rsidRPr="00A05F16">
        <w:rPr>
          <w:rFonts w:eastAsia="MS Mincho" w:cs="Times New Roman"/>
          <w:noProof/>
          <w:szCs w:val="32"/>
        </w:rPr>
        <w:t xml:space="preserve">                                             22 Securities B </w:t>
      </w:r>
    </w:p>
    <w:p w:rsidR="00A05F16" w:rsidRPr="00093923" w:rsidRDefault="00A05F16" w:rsidP="00A05F16">
      <w:pPr>
        <w:spacing w:after="0"/>
        <w:jc w:val="both"/>
        <w:rPr>
          <w:rFonts w:eastAsia="MS Mincho" w:cs="Times New Roman"/>
          <w:noProof/>
          <w:szCs w:val="32"/>
        </w:rPr>
      </w:pPr>
      <w:r w:rsidRPr="00093923">
        <w:rPr>
          <w:rFonts w:eastAsia="MS Mincho" w:cs="Times New Roman"/>
          <w:noProof/>
          <w:szCs w:val="32"/>
        </w:rPr>
        <w:t xml:space="preserve">Seller X       </w:t>
      </w:r>
      <w:r w:rsidR="0036580A">
        <w:rPr>
          <w:rFonts w:eastAsia="MS Mincho" w:cs="Times New Roman"/>
          <w:noProof/>
          <w:szCs w:val="32"/>
        </w:rPr>
        <w:t xml:space="preserve">      </w:t>
      </w:r>
      <w:r w:rsidRPr="00093923">
        <w:rPr>
          <w:rFonts w:eastAsia="MS Mincho" w:cs="Times New Roman"/>
          <w:noProof/>
          <w:szCs w:val="32"/>
        </w:rPr>
        <w:t xml:space="preserve">----------------------------------------------------- </w:t>
      </w:r>
      <w:r w:rsidRPr="00DD50BE">
        <w:rPr>
          <w:rFonts w:eastAsia="MS Mincho" w:cs="Times New Roman"/>
          <w:noProof/>
          <w:szCs w:val="32"/>
          <w:lang w:val="fr-FR"/>
        </w:rPr>
        <w:sym w:font="Wingdings" w:char="F0E0"/>
      </w:r>
      <w:r w:rsidRPr="00093923">
        <w:rPr>
          <w:rFonts w:eastAsia="MS Mincho" w:cs="Times New Roman"/>
          <w:noProof/>
          <w:szCs w:val="32"/>
        </w:rPr>
        <w:t xml:space="preserve">       Buyer Y</w:t>
      </w:r>
    </w:p>
    <w:p w:rsidR="00A05F16" w:rsidRPr="00093923" w:rsidRDefault="00A05F16" w:rsidP="00A05F16">
      <w:pPr>
        <w:spacing w:after="0"/>
        <w:jc w:val="both"/>
        <w:rPr>
          <w:rFonts w:eastAsia="MS Mincho" w:cs="Times New Roman"/>
          <w:noProof/>
          <w:szCs w:val="32"/>
        </w:rPr>
      </w:pPr>
      <w:r w:rsidRPr="00093923">
        <w:rPr>
          <w:rFonts w:eastAsia="MS Mincho" w:cs="Times New Roman"/>
          <w:noProof/>
          <w:szCs w:val="32"/>
        </w:rPr>
        <w:t xml:space="preserve">                          &lt;  --------------------------------------------------   </w:t>
      </w:r>
    </w:p>
    <w:p w:rsidR="00A05F16" w:rsidRPr="00093923" w:rsidRDefault="00A05F16" w:rsidP="00A05F16">
      <w:pPr>
        <w:jc w:val="both"/>
        <w:rPr>
          <w:rFonts w:eastAsia="MS Mincho" w:cs="Times New Roman"/>
          <w:noProof/>
          <w:szCs w:val="32"/>
        </w:rPr>
      </w:pPr>
      <w:r w:rsidRPr="00093923">
        <w:rPr>
          <w:rFonts w:eastAsia="MS Mincho" w:cs="Times New Roman"/>
          <w:noProof/>
          <w:szCs w:val="32"/>
        </w:rPr>
        <w:t xml:space="preserve">                                                </w:t>
      </w:r>
      <w:r>
        <w:rPr>
          <w:rFonts w:eastAsia="MS Mincho" w:cs="Times New Roman"/>
          <w:noProof/>
          <w:szCs w:val="32"/>
        </w:rPr>
        <w:t>1</w:t>
      </w:r>
      <w:r w:rsidRPr="00093923">
        <w:rPr>
          <w:rFonts w:eastAsia="MS Mincho" w:cs="Times New Roman"/>
          <w:noProof/>
          <w:szCs w:val="32"/>
        </w:rPr>
        <w:t>00 EUR</w:t>
      </w:r>
    </w:p>
    <w:p w:rsidR="00773E60" w:rsidRPr="00A05F16" w:rsidRDefault="00A05F16" w:rsidP="00A05F16">
      <w:pPr>
        <w:spacing w:after="120" w:line="240" w:lineRule="auto"/>
        <w:jc w:val="both"/>
        <w:rPr>
          <w:rFonts w:eastAsia="MS Mincho" w:cs="Times New Roman"/>
          <w:noProof/>
          <w:szCs w:val="32"/>
        </w:rPr>
      </w:pPr>
      <w:r w:rsidRPr="00A05F16">
        <w:rPr>
          <w:rFonts w:eastAsia="MS Mincho" w:cs="Times New Roman"/>
          <w:noProof/>
          <w:szCs w:val="32"/>
        </w:rPr>
        <w:t xml:space="preserve">The buyer is eligible for a quantity of </w:t>
      </w:r>
      <w:r>
        <w:rPr>
          <w:rFonts w:eastAsia="MS Mincho" w:cs="Times New Roman"/>
          <w:noProof/>
          <w:szCs w:val="32"/>
        </w:rPr>
        <w:t>22 securities A. The application of the ratio leads to a total quantity of former securities * ratio (5/3) = 36.66666 new securities B.</w:t>
      </w:r>
    </w:p>
    <w:p w:rsidR="00A05F16" w:rsidRDefault="00A05F16" w:rsidP="00A05F16">
      <w:pPr>
        <w:spacing w:after="120" w:line="240" w:lineRule="auto"/>
        <w:jc w:val="both"/>
        <w:rPr>
          <w:rFonts w:eastAsia="MS Mincho" w:cs="Times New Roman"/>
          <w:noProof/>
          <w:szCs w:val="32"/>
        </w:rPr>
      </w:pPr>
      <w:r>
        <w:rPr>
          <w:rFonts w:eastAsia="MS Mincho" w:cs="Times New Roman"/>
          <w:b/>
          <w:noProof/>
          <w:szCs w:val="32"/>
        </w:rPr>
        <w:t>Scenario 1</w:t>
      </w:r>
      <w:r w:rsidRPr="00A05F16">
        <w:rPr>
          <w:rFonts w:eastAsia="MS Mincho" w:cs="Times New Roman"/>
          <w:noProof/>
          <w:szCs w:val="32"/>
        </w:rPr>
        <w:t xml:space="preserve">: </w:t>
      </w:r>
      <w:r>
        <w:rPr>
          <w:rFonts w:eastAsia="MS Mincho" w:cs="Times New Roman"/>
          <w:noProof/>
          <w:szCs w:val="32"/>
        </w:rPr>
        <w:t xml:space="preserve">the issuer does not indemnify fractions OR fractions are indemnified but the reference price is communicated </w:t>
      </w:r>
      <w:r w:rsidRPr="00A05F16">
        <w:rPr>
          <w:rFonts w:eastAsia="MS Mincho" w:cs="Times New Roman"/>
          <w:noProof/>
          <w:szCs w:val="32"/>
          <w:u w:val="single"/>
        </w:rPr>
        <w:t>after</w:t>
      </w:r>
      <w:r>
        <w:rPr>
          <w:rFonts w:eastAsia="MS Mincho" w:cs="Times New Roman"/>
          <w:noProof/>
          <w:szCs w:val="32"/>
        </w:rPr>
        <w:t xml:space="preserve"> the RD.</w:t>
      </w:r>
    </w:p>
    <w:p w:rsidR="00A05F16" w:rsidRDefault="00A05F16" w:rsidP="00A05F16">
      <w:pPr>
        <w:spacing w:after="120" w:line="240" w:lineRule="auto"/>
        <w:jc w:val="both"/>
        <w:rPr>
          <w:rFonts w:eastAsia="MS Mincho" w:cs="Times New Roman"/>
          <w:noProof/>
          <w:szCs w:val="32"/>
        </w:rPr>
      </w:pPr>
      <w:r>
        <w:rPr>
          <w:rFonts w:eastAsia="MS Mincho" w:cs="Times New Roman"/>
          <w:noProof/>
          <w:szCs w:val="32"/>
        </w:rPr>
        <w:t>After cancellation of the underlying transaction by ESES, market participants must send the following instruction:</w:t>
      </w:r>
    </w:p>
    <w:p w:rsidR="00A05F16" w:rsidRDefault="00A05F16" w:rsidP="00A05F16">
      <w:pPr>
        <w:pStyle w:val="ListParagraph"/>
        <w:numPr>
          <w:ilvl w:val="0"/>
          <w:numId w:val="21"/>
        </w:numPr>
        <w:spacing w:after="120" w:line="240" w:lineRule="auto"/>
        <w:jc w:val="both"/>
        <w:rPr>
          <w:rFonts w:eastAsia="MS Mincho" w:cs="Times New Roman"/>
          <w:noProof/>
          <w:szCs w:val="32"/>
        </w:rPr>
      </w:pPr>
      <w:r w:rsidRPr="00A05F16">
        <w:rPr>
          <w:rFonts w:eastAsia="MS Mincho" w:cs="Times New Roman"/>
          <w:noProof/>
          <w:szCs w:val="32"/>
        </w:rPr>
        <w:t xml:space="preserve">A delivery versus payment instruction </w:t>
      </w:r>
      <w:r>
        <w:rPr>
          <w:rFonts w:eastAsia="MS Mincho" w:cs="Times New Roman"/>
          <w:noProof/>
          <w:szCs w:val="32"/>
        </w:rPr>
        <w:t xml:space="preserve">from the seller to the buyer to transfer new securities </w:t>
      </w:r>
      <w:r>
        <w:rPr>
          <w:rFonts w:eastAsia="MS Mincho" w:cs="Times New Roman"/>
          <w:noProof/>
          <w:szCs w:val="32"/>
          <w:u w:val="single"/>
        </w:rPr>
        <w:t>rounded to the inferior</w:t>
      </w:r>
      <w:r>
        <w:rPr>
          <w:rFonts w:eastAsia="MS Mincho" w:cs="Times New Roman"/>
          <w:noProof/>
          <w:szCs w:val="32"/>
        </w:rPr>
        <w:t xml:space="preserve"> in iexchange for the initial amount of the transaction</w:t>
      </w:r>
    </w:p>
    <w:p w:rsidR="00A05F16" w:rsidRDefault="00A05F16" w:rsidP="00A05F16">
      <w:pPr>
        <w:pStyle w:val="ListParagraph"/>
        <w:numPr>
          <w:ilvl w:val="0"/>
          <w:numId w:val="21"/>
        </w:numPr>
        <w:spacing w:after="120" w:line="240" w:lineRule="auto"/>
        <w:jc w:val="both"/>
        <w:rPr>
          <w:rFonts w:eastAsia="MS Mincho" w:cs="Times New Roman"/>
          <w:noProof/>
          <w:szCs w:val="32"/>
        </w:rPr>
      </w:pPr>
      <w:r>
        <w:rPr>
          <w:rFonts w:eastAsia="MS Mincho" w:cs="Times New Roman"/>
          <w:noProof/>
          <w:szCs w:val="32"/>
        </w:rPr>
        <w:t>Th</w:t>
      </w:r>
      <w:r w:rsidR="006D0683">
        <w:rPr>
          <w:rFonts w:eastAsia="MS Mincho" w:cs="Times New Roman"/>
          <w:noProof/>
          <w:szCs w:val="32"/>
        </w:rPr>
        <w:t>e remaining fraction of the tra</w:t>
      </w:r>
      <w:r>
        <w:rPr>
          <w:rFonts w:eastAsia="MS Mincho" w:cs="Times New Roman"/>
          <w:noProof/>
          <w:szCs w:val="32"/>
        </w:rPr>
        <w:t>n</w:t>
      </w:r>
      <w:r w:rsidR="006D0683">
        <w:rPr>
          <w:rFonts w:eastAsia="MS Mincho" w:cs="Times New Roman"/>
          <w:noProof/>
          <w:szCs w:val="32"/>
        </w:rPr>
        <w:t xml:space="preserve">sformation will be </w:t>
      </w:r>
      <w:r>
        <w:rPr>
          <w:rFonts w:eastAsia="MS Mincho" w:cs="Times New Roman"/>
          <w:noProof/>
          <w:szCs w:val="32"/>
        </w:rPr>
        <w:t xml:space="preserve">handled at the </w:t>
      </w:r>
      <w:r w:rsidR="00D6446A">
        <w:rPr>
          <w:rFonts w:eastAsia="MS Mincho" w:cs="Times New Roman"/>
          <w:noProof/>
          <w:szCs w:val="32"/>
        </w:rPr>
        <w:t xml:space="preserve">discretion of the </w:t>
      </w:r>
      <w:r>
        <w:rPr>
          <w:rFonts w:eastAsia="MS Mincho" w:cs="Times New Roman"/>
          <w:noProof/>
          <w:szCs w:val="32"/>
        </w:rPr>
        <w:t>custodian</w:t>
      </w:r>
      <w:r w:rsidR="00D6446A">
        <w:rPr>
          <w:rFonts w:eastAsia="MS Mincho" w:cs="Times New Roman"/>
          <w:noProof/>
          <w:szCs w:val="32"/>
        </w:rPr>
        <w:t xml:space="preserve"> of the buyer</w:t>
      </w:r>
      <w:r>
        <w:rPr>
          <w:rFonts w:eastAsia="MS Mincho" w:cs="Times New Roman"/>
          <w:noProof/>
          <w:szCs w:val="32"/>
        </w:rPr>
        <w:t>.</w:t>
      </w:r>
    </w:p>
    <w:p w:rsidR="00A05F16" w:rsidRDefault="00A05F16">
      <w:pPr>
        <w:rPr>
          <w:rFonts w:eastAsia="MS Mincho" w:cs="Times New Roman"/>
          <w:noProof/>
          <w:szCs w:val="32"/>
        </w:rPr>
      </w:pPr>
      <w:r>
        <w:rPr>
          <w:rFonts w:eastAsia="MS Mincho" w:cs="Times New Roman"/>
          <w:noProof/>
          <w:szCs w:val="32"/>
        </w:rPr>
        <w:br w:type="page"/>
      </w:r>
    </w:p>
    <w:p w:rsidR="00A05F16" w:rsidRDefault="00A05F16" w:rsidP="00A05F16">
      <w:pPr>
        <w:spacing w:after="120" w:line="240" w:lineRule="auto"/>
        <w:jc w:val="both"/>
        <w:rPr>
          <w:rFonts w:eastAsia="MS Mincho" w:cs="Times New Roman"/>
          <w:noProof/>
          <w:szCs w:val="32"/>
        </w:rPr>
      </w:pPr>
    </w:p>
    <w:p w:rsidR="00A05F16" w:rsidRDefault="00A05F16" w:rsidP="00A05F16">
      <w:pPr>
        <w:spacing w:after="120" w:line="240" w:lineRule="auto"/>
        <w:jc w:val="both"/>
        <w:rPr>
          <w:rFonts w:eastAsia="MS Mincho" w:cs="Times New Roman"/>
          <w:noProof/>
          <w:szCs w:val="32"/>
        </w:rPr>
      </w:pPr>
      <w:r>
        <w:rPr>
          <w:rFonts w:eastAsia="MS Mincho" w:cs="Times New Roman"/>
          <w:noProof/>
          <w:szCs w:val="32"/>
        </w:rPr>
        <w:t>DVP:</w:t>
      </w:r>
    </w:p>
    <w:p w:rsidR="00A05F16" w:rsidRPr="00A05F16" w:rsidRDefault="00A05F16" w:rsidP="00A05F16">
      <w:pPr>
        <w:spacing w:after="0"/>
        <w:jc w:val="both"/>
        <w:rPr>
          <w:rFonts w:eastAsia="MS Mincho" w:cs="Times New Roman"/>
          <w:noProof/>
          <w:szCs w:val="32"/>
        </w:rPr>
      </w:pPr>
      <w:r w:rsidRPr="00A05F16">
        <w:rPr>
          <w:rFonts w:eastAsia="MS Mincho" w:cs="Times New Roman"/>
          <w:noProof/>
          <w:szCs w:val="32"/>
        </w:rPr>
        <w:t xml:space="preserve">                                             </w:t>
      </w:r>
      <w:r>
        <w:rPr>
          <w:rFonts w:eastAsia="MS Mincho" w:cs="Times New Roman"/>
          <w:noProof/>
          <w:szCs w:val="32"/>
        </w:rPr>
        <w:t>36</w:t>
      </w:r>
      <w:r w:rsidRPr="00A05F16">
        <w:rPr>
          <w:rFonts w:eastAsia="MS Mincho" w:cs="Times New Roman"/>
          <w:noProof/>
          <w:szCs w:val="32"/>
        </w:rPr>
        <w:t xml:space="preserve"> Securities B </w:t>
      </w:r>
    </w:p>
    <w:p w:rsidR="00A05F16" w:rsidRPr="00093923" w:rsidRDefault="00A05F16" w:rsidP="00A05F16">
      <w:pPr>
        <w:spacing w:after="0"/>
        <w:jc w:val="both"/>
        <w:rPr>
          <w:rFonts w:eastAsia="MS Mincho" w:cs="Times New Roman"/>
          <w:noProof/>
          <w:szCs w:val="32"/>
        </w:rPr>
      </w:pPr>
      <w:r w:rsidRPr="00093923">
        <w:rPr>
          <w:rFonts w:eastAsia="MS Mincho" w:cs="Times New Roman"/>
          <w:noProof/>
          <w:szCs w:val="32"/>
        </w:rPr>
        <w:t xml:space="preserve">Seller X       </w:t>
      </w:r>
      <w:r w:rsidR="0036580A">
        <w:rPr>
          <w:rFonts w:eastAsia="MS Mincho" w:cs="Times New Roman"/>
          <w:noProof/>
          <w:szCs w:val="32"/>
        </w:rPr>
        <w:t xml:space="preserve">      </w:t>
      </w:r>
      <w:r w:rsidRPr="00093923">
        <w:rPr>
          <w:rFonts w:eastAsia="MS Mincho" w:cs="Times New Roman"/>
          <w:noProof/>
          <w:szCs w:val="32"/>
        </w:rPr>
        <w:t xml:space="preserve">----------------------------------------------------- </w:t>
      </w:r>
      <w:r w:rsidRPr="00DD50BE">
        <w:rPr>
          <w:rFonts w:eastAsia="MS Mincho" w:cs="Times New Roman"/>
          <w:noProof/>
          <w:szCs w:val="32"/>
          <w:lang w:val="fr-FR"/>
        </w:rPr>
        <w:sym w:font="Wingdings" w:char="F0E0"/>
      </w:r>
      <w:r w:rsidRPr="00093923">
        <w:rPr>
          <w:rFonts w:eastAsia="MS Mincho" w:cs="Times New Roman"/>
          <w:noProof/>
          <w:szCs w:val="32"/>
        </w:rPr>
        <w:t xml:space="preserve">       Buyer Y</w:t>
      </w:r>
    </w:p>
    <w:p w:rsidR="00A05F16" w:rsidRPr="00093923" w:rsidRDefault="00A05F16" w:rsidP="00A05F16">
      <w:pPr>
        <w:spacing w:after="0"/>
        <w:jc w:val="both"/>
        <w:rPr>
          <w:rFonts w:eastAsia="MS Mincho" w:cs="Times New Roman"/>
          <w:noProof/>
          <w:szCs w:val="32"/>
        </w:rPr>
      </w:pPr>
      <w:r w:rsidRPr="00093923">
        <w:rPr>
          <w:rFonts w:eastAsia="MS Mincho" w:cs="Times New Roman"/>
          <w:noProof/>
          <w:szCs w:val="32"/>
        </w:rPr>
        <w:t xml:space="preserve">                          &lt;  --------------------------------------------------   </w:t>
      </w:r>
    </w:p>
    <w:p w:rsidR="00A05F16" w:rsidRPr="00093923" w:rsidRDefault="00A05F16" w:rsidP="00A05F16">
      <w:pPr>
        <w:jc w:val="both"/>
        <w:rPr>
          <w:rFonts w:eastAsia="MS Mincho" w:cs="Times New Roman"/>
          <w:noProof/>
          <w:szCs w:val="32"/>
        </w:rPr>
      </w:pPr>
      <w:r w:rsidRPr="00093923">
        <w:rPr>
          <w:rFonts w:eastAsia="MS Mincho" w:cs="Times New Roman"/>
          <w:noProof/>
          <w:szCs w:val="32"/>
        </w:rPr>
        <w:t xml:space="preserve">                                                </w:t>
      </w:r>
      <w:r>
        <w:rPr>
          <w:rFonts w:eastAsia="MS Mincho" w:cs="Times New Roman"/>
          <w:noProof/>
          <w:szCs w:val="32"/>
        </w:rPr>
        <w:t>1</w:t>
      </w:r>
      <w:r w:rsidRPr="00093923">
        <w:rPr>
          <w:rFonts w:eastAsia="MS Mincho" w:cs="Times New Roman"/>
          <w:noProof/>
          <w:szCs w:val="32"/>
        </w:rPr>
        <w:t>00 EUR</w:t>
      </w:r>
    </w:p>
    <w:p w:rsidR="00A05F16" w:rsidRDefault="00FF298B" w:rsidP="00A05F16">
      <w:pPr>
        <w:spacing w:after="120" w:line="240" w:lineRule="auto"/>
        <w:jc w:val="both"/>
        <w:rPr>
          <w:rFonts w:eastAsia="MS Mincho" w:cs="Times New Roman"/>
          <w:noProof/>
          <w:szCs w:val="32"/>
        </w:rPr>
      </w:pPr>
      <w:r>
        <w:rPr>
          <w:rFonts w:eastAsia="MS Mincho" w:cs="Times New Roman"/>
          <w:b/>
          <w:noProof/>
          <w:szCs w:val="32"/>
        </w:rPr>
        <w:t>Scenario 2</w:t>
      </w:r>
      <w:r>
        <w:rPr>
          <w:rFonts w:eastAsia="MS Mincho" w:cs="Times New Roman"/>
          <w:noProof/>
          <w:szCs w:val="32"/>
        </w:rPr>
        <w:t xml:space="preserve">: the issuer </w:t>
      </w:r>
      <w:r w:rsidR="003943BE">
        <w:rPr>
          <w:rFonts w:eastAsia="MS Mincho" w:cs="Times New Roman"/>
          <w:noProof/>
          <w:szCs w:val="32"/>
        </w:rPr>
        <w:t>announces that fractions are indemnified AND the reference price is co</w:t>
      </w:r>
      <w:r w:rsidR="006D0683">
        <w:rPr>
          <w:rFonts w:eastAsia="MS Mincho" w:cs="Times New Roman"/>
          <w:noProof/>
          <w:szCs w:val="32"/>
        </w:rPr>
        <w:t>m</w:t>
      </w:r>
      <w:r w:rsidR="003943BE">
        <w:rPr>
          <w:rFonts w:eastAsia="MS Mincho" w:cs="Times New Roman"/>
          <w:noProof/>
          <w:szCs w:val="32"/>
        </w:rPr>
        <w:t>municated before the record date (at the latest on D-1 of the record date according to the standards and the market practice defined by AFTI Corporate Action Expert Group).</w:t>
      </w:r>
    </w:p>
    <w:p w:rsidR="003943BE" w:rsidRDefault="003943BE" w:rsidP="00A05F16">
      <w:pPr>
        <w:spacing w:after="120" w:line="240" w:lineRule="auto"/>
        <w:jc w:val="both"/>
        <w:rPr>
          <w:rFonts w:eastAsia="MS Mincho" w:cs="Times New Roman"/>
          <w:noProof/>
          <w:szCs w:val="32"/>
        </w:rPr>
      </w:pPr>
      <w:r>
        <w:rPr>
          <w:rFonts w:eastAsia="MS Mincho" w:cs="Times New Roman"/>
          <w:noProof/>
          <w:szCs w:val="32"/>
        </w:rPr>
        <w:t>The reference price for the indemnification of fractions is 9 EUR for each security B.</w:t>
      </w:r>
    </w:p>
    <w:p w:rsidR="003943BE" w:rsidRDefault="003943BE" w:rsidP="00A05F16">
      <w:pPr>
        <w:spacing w:after="120" w:line="240" w:lineRule="auto"/>
        <w:jc w:val="both"/>
        <w:rPr>
          <w:rFonts w:eastAsia="MS Mincho" w:cs="Times New Roman"/>
          <w:noProof/>
          <w:szCs w:val="32"/>
        </w:rPr>
      </w:pPr>
      <w:r>
        <w:rPr>
          <w:rFonts w:eastAsia="MS Mincho" w:cs="Times New Roman"/>
          <w:noProof/>
          <w:szCs w:val="32"/>
        </w:rPr>
        <w:t>After cancellation of the underlyin</w:t>
      </w:r>
      <w:r w:rsidR="006D0683">
        <w:rPr>
          <w:rFonts w:eastAsia="MS Mincho" w:cs="Times New Roman"/>
          <w:noProof/>
          <w:szCs w:val="32"/>
        </w:rPr>
        <w:t>g instruction by Euroclear, mark</w:t>
      </w:r>
      <w:r>
        <w:rPr>
          <w:rFonts w:eastAsia="MS Mincho" w:cs="Times New Roman"/>
          <w:noProof/>
          <w:szCs w:val="32"/>
        </w:rPr>
        <w:t>et p</w:t>
      </w:r>
      <w:r w:rsidR="006D0683">
        <w:rPr>
          <w:rFonts w:eastAsia="MS Mincho" w:cs="Times New Roman"/>
          <w:noProof/>
          <w:szCs w:val="32"/>
        </w:rPr>
        <w:t>a</w:t>
      </w:r>
      <w:r>
        <w:rPr>
          <w:rFonts w:eastAsia="MS Mincho" w:cs="Times New Roman"/>
          <w:noProof/>
          <w:szCs w:val="32"/>
        </w:rPr>
        <w:t>rticiapnts must send the following instructions:</w:t>
      </w:r>
    </w:p>
    <w:p w:rsidR="003943BE" w:rsidRDefault="00D6446A" w:rsidP="003943BE">
      <w:pPr>
        <w:pStyle w:val="ListParagraph"/>
        <w:numPr>
          <w:ilvl w:val="0"/>
          <w:numId w:val="21"/>
        </w:numPr>
        <w:spacing w:after="120" w:line="240" w:lineRule="auto"/>
        <w:jc w:val="both"/>
        <w:rPr>
          <w:rFonts w:eastAsia="MS Mincho" w:cs="Times New Roman"/>
          <w:noProof/>
          <w:szCs w:val="32"/>
        </w:rPr>
      </w:pPr>
      <w:r>
        <w:rPr>
          <w:rFonts w:eastAsia="MS Mincho" w:cs="Times New Roman"/>
          <w:noProof/>
          <w:szCs w:val="32"/>
        </w:rPr>
        <w:t xml:space="preserve">A delivery versus payment instruction from the seller to the buyer to transfer new securities </w:t>
      </w:r>
      <w:r>
        <w:rPr>
          <w:rFonts w:eastAsia="MS Mincho" w:cs="Times New Roman"/>
          <w:noProof/>
          <w:szCs w:val="32"/>
          <w:u w:val="single"/>
        </w:rPr>
        <w:t>rounded to the inferior</w:t>
      </w:r>
      <w:r>
        <w:rPr>
          <w:rFonts w:eastAsia="MS Mincho" w:cs="Times New Roman"/>
          <w:noProof/>
          <w:szCs w:val="32"/>
        </w:rPr>
        <w:t xml:space="preserve"> in exchange for the initial amount of the transaction</w:t>
      </w:r>
    </w:p>
    <w:p w:rsidR="00D6446A" w:rsidRPr="003943BE" w:rsidRDefault="00D6446A" w:rsidP="003943BE">
      <w:pPr>
        <w:pStyle w:val="ListParagraph"/>
        <w:numPr>
          <w:ilvl w:val="0"/>
          <w:numId w:val="21"/>
        </w:numPr>
        <w:spacing w:after="120" w:line="240" w:lineRule="auto"/>
        <w:jc w:val="both"/>
        <w:rPr>
          <w:rFonts w:eastAsia="MS Mincho" w:cs="Times New Roman"/>
          <w:noProof/>
          <w:szCs w:val="32"/>
        </w:rPr>
      </w:pPr>
      <w:r>
        <w:rPr>
          <w:rFonts w:eastAsia="MS Mincho" w:cs="Times New Roman"/>
          <w:noProof/>
          <w:szCs w:val="32"/>
        </w:rPr>
        <w:t>A second instruction in cash from the seller to the buyer to transfer the amount corresponding to the indemnification of the fractions.</w:t>
      </w:r>
    </w:p>
    <w:p w:rsidR="00A05F16" w:rsidRPr="0036580A" w:rsidRDefault="0036580A" w:rsidP="00A05F16">
      <w:pPr>
        <w:spacing w:after="120" w:line="240" w:lineRule="auto"/>
        <w:jc w:val="both"/>
        <w:rPr>
          <w:rFonts w:eastAsia="MS Mincho" w:cs="Times New Roman"/>
          <w:noProof/>
          <w:szCs w:val="32"/>
          <w:u w:val="single"/>
        </w:rPr>
      </w:pPr>
      <w:r w:rsidRPr="0036580A">
        <w:rPr>
          <w:rFonts w:eastAsia="MS Mincho" w:cs="Times New Roman"/>
          <w:noProof/>
          <w:szCs w:val="32"/>
          <w:u w:val="single"/>
        </w:rPr>
        <w:t>Instruction 1: DVP</w:t>
      </w:r>
    </w:p>
    <w:p w:rsidR="0036580A" w:rsidRPr="00A05F16" w:rsidRDefault="0036580A" w:rsidP="0036580A">
      <w:pPr>
        <w:spacing w:after="0"/>
        <w:jc w:val="both"/>
        <w:rPr>
          <w:rFonts w:eastAsia="MS Mincho" w:cs="Times New Roman"/>
          <w:noProof/>
          <w:szCs w:val="32"/>
        </w:rPr>
      </w:pPr>
      <w:r w:rsidRPr="00A05F16">
        <w:rPr>
          <w:rFonts w:eastAsia="MS Mincho" w:cs="Times New Roman"/>
          <w:noProof/>
          <w:szCs w:val="32"/>
        </w:rPr>
        <w:t xml:space="preserve">                                             </w:t>
      </w:r>
      <w:r>
        <w:rPr>
          <w:rFonts w:eastAsia="MS Mincho" w:cs="Times New Roman"/>
          <w:noProof/>
          <w:szCs w:val="32"/>
        </w:rPr>
        <w:t>36</w:t>
      </w:r>
      <w:r w:rsidRPr="00A05F16">
        <w:rPr>
          <w:rFonts w:eastAsia="MS Mincho" w:cs="Times New Roman"/>
          <w:noProof/>
          <w:szCs w:val="32"/>
        </w:rPr>
        <w:t xml:space="preserve"> Securities B </w:t>
      </w:r>
    </w:p>
    <w:p w:rsidR="0036580A" w:rsidRPr="00093923" w:rsidRDefault="0036580A" w:rsidP="0036580A">
      <w:pPr>
        <w:spacing w:after="0"/>
        <w:jc w:val="both"/>
        <w:rPr>
          <w:rFonts w:eastAsia="MS Mincho" w:cs="Times New Roman"/>
          <w:noProof/>
          <w:szCs w:val="32"/>
        </w:rPr>
      </w:pPr>
      <w:r w:rsidRPr="00093923">
        <w:rPr>
          <w:rFonts w:eastAsia="MS Mincho" w:cs="Times New Roman"/>
          <w:noProof/>
          <w:szCs w:val="32"/>
        </w:rPr>
        <w:t xml:space="preserve">Seller X       </w:t>
      </w:r>
      <w:r>
        <w:rPr>
          <w:rFonts w:eastAsia="MS Mincho" w:cs="Times New Roman"/>
          <w:noProof/>
          <w:szCs w:val="32"/>
        </w:rPr>
        <w:t xml:space="preserve">      </w:t>
      </w:r>
      <w:r w:rsidRPr="00093923">
        <w:rPr>
          <w:rFonts w:eastAsia="MS Mincho" w:cs="Times New Roman"/>
          <w:noProof/>
          <w:szCs w:val="32"/>
        </w:rPr>
        <w:t xml:space="preserve">----------------------------------------------------- </w:t>
      </w:r>
      <w:r w:rsidRPr="00DD50BE">
        <w:rPr>
          <w:rFonts w:eastAsia="MS Mincho" w:cs="Times New Roman"/>
          <w:noProof/>
          <w:szCs w:val="32"/>
          <w:lang w:val="fr-FR"/>
        </w:rPr>
        <w:sym w:font="Wingdings" w:char="F0E0"/>
      </w:r>
      <w:r w:rsidRPr="00093923">
        <w:rPr>
          <w:rFonts w:eastAsia="MS Mincho" w:cs="Times New Roman"/>
          <w:noProof/>
          <w:szCs w:val="32"/>
        </w:rPr>
        <w:t xml:space="preserve">       Buyer Y</w:t>
      </w:r>
    </w:p>
    <w:p w:rsidR="0036580A" w:rsidRPr="00093923" w:rsidRDefault="0036580A" w:rsidP="0036580A">
      <w:pPr>
        <w:spacing w:after="0"/>
        <w:jc w:val="both"/>
        <w:rPr>
          <w:rFonts w:eastAsia="MS Mincho" w:cs="Times New Roman"/>
          <w:noProof/>
          <w:szCs w:val="32"/>
        </w:rPr>
      </w:pPr>
      <w:r w:rsidRPr="00093923">
        <w:rPr>
          <w:rFonts w:eastAsia="MS Mincho" w:cs="Times New Roman"/>
          <w:noProof/>
          <w:szCs w:val="32"/>
        </w:rPr>
        <w:t xml:space="preserve">                          &lt;  --------------------------------------------------   </w:t>
      </w:r>
    </w:p>
    <w:p w:rsidR="0036580A" w:rsidRPr="00093923" w:rsidRDefault="0036580A" w:rsidP="0036580A">
      <w:pPr>
        <w:jc w:val="both"/>
        <w:rPr>
          <w:rFonts w:eastAsia="MS Mincho" w:cs="Times New Roman"/>
          <w:noProof/>
          <w:szCs w:val="32"/>
        </w:rPr>
      </w:pPr>
      <w:r w:rsidRPr="00093923">
        <w:rPr>
          <w:rFonts w:eastAsia="MS Mincho" w:cs="Times New Roman"/>
          <w:noProof/>
          <w:szCs w:val="32"/>
        </w:rPr>
        <w:t xml:space="preserve">                                                </w:t>
      </w:r>
      <w:r>
        <w:rPr>
          <w:rFonts w:eastAsia="MS Mincho" w:cs="Times New Roman"/>
          <w:noProof/>
          <w:szCs w:val="32"/>
        </w:rPr>
        <w:t>1</w:t>
      </w:r>
      <w:r w:rsidRPr="00093923">
        <w:rPr>
          <w:rFonts w:eastAsia="MS Mincho" w:cs="Times New Roman"/>
          <w:noProof/>
          <w:szCs w:val="32"/>
        </w:rPr>
        <w:t>00 EUR</w:t>
      </w:r>
    </w:p>
    <w:p w:rsidR="0036580A" w:rsidRDefault="0036580A" w:rsidP="00A05F16">
      <w:pPr>
        <w:spacing w:after="120" w:line="240" w:lineRule="auto"/>
        <w:jc w:val="both"/>
        <w:rPr>
          <w:rFonts w:eastAsia="MS Mincho" w:cs="Times New Roman"/>
          <w:noProof/>
          <w:szCs w:val="32"/>
        </w:rPr>
      </w:pPr>
      <w:r>
        <w:rPr>
          <w:rFonts w:eastAsia="MS Mincho" w:cs="Times New Roman"/>
          <w:noProof/>
          <w:szCs w:val="32"/>
        </w:rPr>
        <w:t>The fraction part of 0.66666 must be indemnified at a price of 9 EUR: 0.66666 * 9 EUR = 6 EUR</w:t>
      </w:r>
    </w:p>
    <w:p w:rsidR="0036580A" w:rsidRPr="0036580A" w:rsidRDefault="0036580A" w:rsidP="00A05F16">
      <w:pPr>
        <w:spacing w:after="120" w:line="240" w:lineRule="auto"/>
        <w:jc w:val="both"/>
        <w:rPr>
          <w:rFonts w:eastAsia="MS Mincho" w:cs="Times New Roman"/>
          <w:noProof/>
          <w:szCs w:val="32"/>
          <w:u w:val="single"/>
          <w:lang w:val="fr-FR"/>
        </w:rPr>
      </w:pPr>
      <w:r w:rsidRPr="0036580A">
        <w:rPr>
          <w:rFonts w:eastAsia="MS Mincho" w:cs="Times New Roman"/>
          <w:noProof/>
          <w:szCs w:val="32"/>
          <w:u w:val="single"/>
          <w:lang w:val="fr-FR"/>
        </w:rPr>
        <w:t>Instruction 2: PFOD</w:t>
      </w:r>
    </w:p>
    <w:p w:rsidR="0036580A" w:rsidRPr="00DD50BE" w:rsidRDefault="0036580A" w:rsidP="0036580A">
      <w:pPr>
        <w:spacing w:after="0"/>
        <w:rPr>
          <w:rFonts w:eastAsia="MS Mincho" w:cs="Times New Roman"/>
          <w:szCs w:val="32"/>
          <w:lang w:val="fr-FR"/>
        </w:rPr>
      </w:pPr>
      <w:r w:rsidRPr="00DD50BE">
        <w:rPr>
          <w:rFonts w:eastAsia="MS Mincho" w:cs="Times New Roman"/>
          <w:szCs w:val="32"/>
          <w:lang w:val="fr-FR"/>
        </w:rPr>
        <w:t xml:space="preserve">                                           6 EUR </w:t>
      </w:r>
    </w:p>
    <w:p w:rsidR="0036580A" w:rsidRPr="00DD50BE" w:rsidRDefault="0036580A" w:rsidP="0036580A">
      <w:pPr>
        <w:rPr>
          <w:rFonts w:eastAsia="MS Mincho" w:cs="Times New Roman"/>
          <w:szCs w:val="32"/>
          <w:lang w:val="fr-FR"/>
        </w:rPr>
      </w:pPr>
      <w:r>
        <w:rPr>
          <w:rFonts w:eastAsia="MS Mincho" w:cs="Times New Roman"/>
          <w:szCs w:val="32"/>
          <w:lang w:val="fr-FR"/>
        </w:rPr>
        <w:t>Seller</w:t>
      </w:r>
      <w:r w:rsidRPr="00DD50BE">
        <w:rPr>
          <w:rFonts w:eastAsia="MS Mincho" w:cs="Times New Roman"/>
          <w:szCs w:val="32"/>
          <w:lang w:val="fr-FR"/>
        </w:rPr>
        <w:t xml:space="preserve"> X   </w:t>
      </w:r>
      <w:r>
        <w:rPr>
          <w:rFonts w:eastAsia="MS Mincho" w:cs="Times New Roman"/>
          <w:szCs w:val="32"/>
          <w:lang w:val="fr-FR"/>
        </w:rPr>
        <w:t xml:space="preserve">      </w:t>
      </w:r>
      <w:r w:rsidRPr="00DD50BE">
        <w:rPr>
          <w:rFonts w:eastAsia="MS Mincho" w:cs="Times New Roman"/>
          <w:szCs w:val="32"/>
          <w:lang w:val="fr-FR"/>
        </w:rPr>
        <w:t>------------------------------------------</w:t>
      </w:r>
      <w:r w:rsidRPr="00DD50BE">
        <w:rPr>
          <w:rFonts w:eastAsia="MS Mincho" w:cs="Times New Roman"/>
          <w:szCs w:val="32"/>
          <w:lang w:val="fr-FR"/>
        </w:rPr>
        <w:sym w:font="Wingdings" w:char="F0E0"/>
      </w:r>
      <w:r w:rsidRPr="00DD50BE">
        <w:rPr>
          <w:rFonts w:eastAsia="MS Mincho" w:cs="Times New Roman"/>
          <w:szCs w:val="32"/>
          <w:lang w:val="fr-FR"/>
        </w:rPr>
        <w:t xml:space="preserve">   </w:t>
      </w:r>
      <w:proofErr w:type="spellStart"/>
      <w:r>
        <w:rPr>
          <w:rFonts w:eastAsia="MS Mincho" w:cs="Times New Roman"/>
          <w:szCs w:val="32"/>
          <w:lang w:val="fr-FR"/>
        </w:rPr>
        <w:t>Buyer</w:t>
      </w:r>
      <w:proofErr w:type="spellEnd"/>
      <w:r w:rsidRPr="00DD50BE">
        <w:rPr>
          <w:rFonts w:eastAsia="MS Mincho" w:cs="Times New Roman"/>
          <w:szCs w:val="32"/>
          <w:lang w:val="fr-FR"/>
        </w:rPr>
        <w:t xml:space="preserve"> Y</w:t>
      </w:r>
    </w:p>
    <w:p w:rsidR="00773E60" w:rsidRDefault="00773E60" w:rsidP="00A05F16">
      <w:pPr>
        <w:spacing w:after="120" w:line="240" w:lineRule="auto"/>
        <w:jc w:val="both"/>
        <w:rPr>
          <w:rFonts w:eastAsia="MS Mincho" w:cs="Times New Roman"/>
          <w:noProof/>
          <w:szCs w:val="32"/>
          <w:lang w:val="fr-FR"/>
        </w:rPr>
      </w:pPr>
    </w:p>
    <w:p w:rsidR="0036580A" w:rsidRDefault="00F737D8" w:rsidP="00A05F16">
      <w:pPr>
        <w:spacing w:after="120" w:line="240" w:lineRule="auto"/>
        <w:jc w:val="both"/>
        <w:rPr>
          <w:rFonts w:eastAsia="MS Mincho" w:cs="Times New Roman"/>
          <w:noProof/>
          <w:szCs w:val="32"/>
        </w:rPr>
      </w:pPr>
      <w:r w:rsidRPr="00F737D8">
        <w:rPr>
          <w:rFonts w:eastAsia="MS Mincho" w:cs="Times New Roman"/>
          <w:b/>
          <w:noProof/>
          <w:szCs w:val="32"/>
          <w:u w:val="single"/>
        </w:rPr>
        <w:t>Example 2:</w:t>
      </w:r>
      <w:r w:rsidRPr="00F737D8">
        <w:rPr>
          <w:rFonts w:eastAsia="MS Mincho" w:cs="Times New Roman"/>
          <w:b/>
          <w:noProof/>
          <w:szCs w:val="32"/>
        </w:rPr>
        <w:t xml:space="preserve"> </w:t>
      </w:r>
      <w:r w:rsidRPr="00F737D8">
        <w:rPr>
          <w:rFonts w:eastAsia="MS Mincho" w:cs="Times New Roman"/>
          <w:noProof/>
          <w:szCs w:val="32"/>
        </w:rPr>
        <w:t xml:space="preserve">Reverse stock split (SPLR). </w:t>
      </w:r>
      <w:r>
        <w:rPr>
          <w:rFonts w:eastAsia="MS Mincho" w:cs="Times New Roman"/>
          <w:noProof/>
          <w:szCs w:val="32"/>
        </w:rPr>
        <w:t>According to the terms fo the corporate action, 3 former securities A must be replaced by 1 new security B.</w:t>
      </w:r>
    </w:p>
    <w:p w:rsidR="00F737D8" w:rsidRDefault="00F737D8" w:rsidP="00A05F16">
      <w:pPr>
        <w:spacing w:after="120" w:line="240" w:lineRule="auto"/>
        <w:jc w:val="both"/>
        <w:rPr>
          <w:rFonts w:eastAsia="MS Mincho" w:cs="Times New Roman"/>
          <w:noProof/>
          <w:szCs w:val="32"/>
        </w:rPr>
      </w:pPr>
      <w:r>
        <w:rPr>
          <w:rFonts w:eastAsia="MS Mincho" w:cs="Times New Roman"/>
          <w:noProof/>
          <w:szCs w:val="32"/>
        </w:rPr>
        <w:t xml:space="preserve">At RD COB, the following instruction agains payment is matched and </w:t>
      </w:r>
      <w:r w:rsidR="00DA614C">
        <w:rPr>
          <w:rFonts w:eastAsia="MS Mincho" w:cs="Times New Roman"/>
          <w:noProof/>
          <w:szCs w:val="32"/>
        </w:rPr>
        <w:t xml:space="preserve">not </w:t>
      </w:r>
      <w:r>
        <w:rPr>
          <w:rFonts w:eastAsia="MS Mincho" w:cs="Times New Roman"/>
          <w:noProof/>
          <w:szCs w:val="32"/>
        </w:rPr>
        <w:t>settled.</w:t>
      </w:r>
    </w:p>
    <w:p w:rsidR="00F737D8" w:rsidRPr="00A05F16" w:rsidRDefault="00F737D8" w:rsidP="00F737D8">
      <w:pPr>
        <w:spacing w:after="0"/>
        <w:jc w:val="both"/>
        <w:rPr>
          <w:rFonts w:eastAsia="MS Mincho" w:cs="Times New Roman"/>
          <w:noProof/>
          <w:szCs w:val="32"/>
        </w:rPr>
      </w:pPr>
      <w:r w:rsidRPr="00A05F16">
        <w:rPr>
          <w:rFonts w:eastAsia="MS Mincho" w:cs="Times New Roman"/>
          <w:noProof/>
          <w:szCs w:val="32"/>
        </w:rPr>
        <w:t xml:space="preserve">                                             </w:t>
      </w:r>
      <w:r>
        <w:rPr>
          <w:rFonts w:eastAsia="MS Mincho" w:cs="Times New Roman"/>
          <w:noProof/>
          <w:szCs w:val="32"/>
        </w:rPr>
        <w:t>2</w:t>
      </w:r>
      <w:r w:rsidRPr="00A05F16">
        <w:rPr>
          <w:rFonts w:eastAsia="MS Mincho" w:cs="Times New Roman"/>
          <w:noProof/>
          <w:szCs w:val="32"/>
        </w:rPr>
        <w:t xml:space="preserve"> Securities B </w:t>
      </w:r>
    </w:p>
    <w:p w:rsidR="00F737D8" w:rsidRPr="00093923" w:rsidRDefault="00F737D8" w:rsidP="00F737D8">
      <w:pPr>
        <w:spacing w:after="0"/>
        <w:jc w:val="both"/>
        <w:rPr>
          <w:rFonts w:eastAsia="MS Mincho" w:cs="Times New Roman"/>
          <w:noProof/>
          <w:szCs w:val="32"/>
        </w:rPr>
      </w:pPr>
      <w:r w:rsidRPr="00093923">
        <w:rPr>
          <w:rFonts w:eastAsia="MS Mincho" w:cs="Times New Roman"/>
          <w:noProof/>
          <w:szCs w:val="32"/>
        </w:rPr>
        <w:t xml:space="preserve">Seller X       </w:t>
      </w:r>
      <w:r>
        <w:rPr>
          <w:rFonts w:eastAsia="MS Mincho" w:cs="Times New Roman"/>
          <w:noProof/>
          <w:szCs w:val="32"/>
        </w:rPr>
        <w:t xml:space="preserve">      </w:t>
      </w:r>
      <w:r w:rsidRPr="00093923">
        <w:rPr>
          <w:rFonts w:eastAsia="MS Mincho" w:cs="Times New Roman"/>
          <w:noProof/>
          <w:szCs w:val="32"/>
        </w:rPr>
        <w:t xml:space="preserve">----------------------------------------------------- </w:t>
      </w:r>
      <w:r w:rsidRPr="00DD50BE">
        <w:rPr>
          <w:rFonts w:eastAsia="MS Mincho" w:cs="Times New Roman"/>
          <w:noProof/>
          <w:szCs w:val="32"/>
          <w:lang w:val="fr-FR"/>
        </w:rPr>
        <w:sym w:font="Wingdings" w:char="F0E0"/>
      </w:r>
      <w:r w:rsidRPr="00093923">
        <w:rPr>
          <w:rFonts w:eastAsia="MS Mincho" w:cs="Times New Roman"/>
          <w:noProof/>
          <w:szCs w:val="32"/>
        </w:rPr>
        <w:t xml:space="preserve">       Buyer Y</w:t>
      </w:r>
    </w:p>
    <w:p w:rsidR="00F737D8" w:rsidRPr="00093923" w:rsidRDefault="00F737D8" w:rsidP="00F737D8">
      <w:pPr>
        <w:spacing w:after="0"/>
        <w:jc w:val="both"/>
        <w:rPr>
          <w:rFonts w:eastAsia="MS Mincho" w:cs="Times New Roman"/>
          <w:noProof/>
          <w:szCs w:val="32"/>
        </w:rPr>
      </w:pPr>
      <w:r w:rsidRPr="00093923">
        <w:rPr>
          <w:rFonts w:eastAsia="MS Mincho" w:cs="Times New Roman"/>
          <w:noProof/>
          <w:szCs w:val="32"/>
        </w:rPr>
        <w:t xml:space="preserve">                          &lt;  --------------------------------------------------   </w:t>
      </w:r>
    </w:p>
    <w:p w:rsidR="00F737D8" w:rsidRPr="00093923" w:rsidRDefault="00F737D8" w:rsidP="00F737D8">
      <w:pPr>
        <w:jc w:val="both"/>
        <w:rPr>
          <w:rFonts w:eastAsia="MS Mincho" w:cs="Times New Roman"/>
          <w:noProof/>
          <w:szCs w:val="32"/>
        </w:rPr>
      </w:pPr>
      <w:r w:rsidRPr="00093923">
        <w:rPr>
          <w:rFonts w:eastAsia="MS Mincho" w:cs="Times New Roman"/>
          <w:noProof/>
          <w:szCs w:val="32"/>
        </w:rPr>
        <w:t xml:space="preserve">                                                </w:t>
      </w:r>
      <w:r>
        <w:rPr>
          <w:rFonts w:eastAsia="MS Mincho" w:cs="Times New Roman"/>
          <w:noProof/>
          <w:szCs w:val="32"/>
        </w:rPr>
        <w:t>7</w:t>
      </w:r>
      <w:r w:rsidRPr="00093923">
        <w:rPr>
          <w:rFonts w:eastAsia="MS Mincho" w:cs="Times New Roman"/>
          <w:noProof/>
          <w:szCs w:val="32"/>
        </w:rPr>
        <w:t xml:space="preserve"> EUR</w:t>
      </w:r>
    </w:p>
    <w:p w:rsidR="00F737D8" w:rsidRDefault="00F737D8" w:rsidP="00A05F16">
      <w:pPr>
        <w:spacing w:after="120" w:line="240" w:lineRule="auto"/>
        <w:jc w:val="both"/>
        <w:rPr>
          <w:rFonts w:eastAsia="MS Mincho" w:cs="Times New Roman"/>
          <w:noProof/>
          <w:szCs w:val="32"/>
        </w:rPr>
      </w:pPr>
      <w:r>
        <w:rPr>
          <w:rFonts w:eastAsia="MS Mincho" w:cs="Times New Roman"/>
          <w:noProof/>
          <w:szCs w:val="32"/>
        </w:rPr>
        <w:lastRenderedPageBreak/>
        <w:t>The buyer is eligible to receive 2 new securities A * ratio (1/3) = 0.66666 new security B, meaning that the proceed only corresponds to fractions.</w:t>
      </w:r>
    </w:p>
    <w:p w:rsidR="00F737D8" w:rsidRDefault="00F737D8" w:rsidP="00A05F16">
      <w:pPr>
        <w:spacing w:after="120" w:line="240" w:lineRule="auto"/>
        <w:jc w:val="both"/>
        <w:rPr>
          <w:rFonts w:eastAsia="MS Mincho" w:cs="Times New Roman"/>
          <w:noProof/>
          <w:szCs w:val="32"/>
        </w:rPr>
      </w:pPr>
      <w:r>
        <w:rPr>
          <w:rFonts w:eastAsia="MS Mincho" w:cs="Times New Roman"/>
          <w:b/>
          <w:noProof/>
          <w:szCs w:val="32"/>
        </w:rPr>
        <w:t>Scenario 1</w:t>
      </w:r>
      <w:r>
        <w:rPr>
          <w:rFonts w:eastAsia="MS Mincho" w:cs="Times New Roman"/>
          <w:noProof/>
          <w:szCs w:val="32"/>
        </w:rPr>
        <w:t>: The issue</w:t>
      </w:r>
      <w:r w:rsidR="006D0683">
        <w:rPr>
          <w:rFonts w:eastAsia="MS Mincho" w:cs="Times New Roman"/>
          <w:noProof/>
          <w:szCs w:val="32"/>
        </w:rPr>
        <w:t>r</w:t>
      </w:r>
      <w:r>
        <w:rPr>
          <w:rFonts w:eastAsia="MS Mincho" w:cs="Times New Roman"/>
          <w:noProof/>
          <w:szCs w:val="32"/>
        </w:rPr>
        <w:t xml:space="preserve"> announces that fractions are indemnified AND the reference price is communicated before the record date (at the latest D-1 of the RD according to the standards </w:t>
      </w:r>
      <w:r w:rsidR="00A87B50">
        <w:rPr>
          <w:rFonts w:eastAsia="MS Mincho" w:cs="Times New Roman"/>
          <w:noProof/>
          <w:szCs w:val="32"/>
        </w:rPr>
        <w:t>and the market practice defined by AFTI Corporate Action Expert Group).</w:t>
      </w:r>
    </w:p>
    <w:p w:rsidR="00A87B50" w:rsidRDefault="00A87B50" w:rsidP="00A05F16">
      <w:pPr>
        <w:spacing w:after="120" w:line="240" w:lineRule="auto"/>
        <w:jc w:val="both"/>
        <w:rPr>
          <w:rFonts w:eastAsia="MS Mincho" w:cs="Times New Roman"/>
          <w:noProof/>
          <w:szCs w:val="32"/>
        </w:rPr>
      </w:pPr>
      <w:r>
        <w:rPr>
          <w:rFonts w:eastAsia="MS Mincho" w:cs="Times New Roman"/>
          <w:noProof/>
          <w:szCs w:val="32"/>
        </w:rPr>
        <w:t>The reference price for the indemnification of fractions is 9 EUR for each security B.</w:t>
      </w:r>
    </w:p>
    <w:p w:rsidR="00A87B50" w:rsidRDefault="00A87B50" w:rsidP="00A05F16">
      <w:pPr>
        <w:spacing w:after="120" w:line="240" w:lineRule="auto"/>
        <w:jc w:val="both"/>
        <w:rPr>
          <w:rFonts w:eastAsia="MS Mincho" w:cs="Times New Roman"/>
          <w:noProof/>
          <w:szCs w:val="32"/>
        </w:rPr>
      </w:pPr>
      <w:r>
        <w:rPr>
          <w:rFonts w:eastAsia="MS Mincho" w:cs="Times New Roman"/>
          <w:noProof/>
          <w:szCs w:val="32"/>
        </w:rPr>
        <w:t>After cancellation of the underlying instruction by Euroclear, market participants must send the following instructions:</w:t>
      </w:r>
    </w:p>
    <w:p w:rsidR="00A87B50" w:rsidRDefault="00A87B50" w:rsidP="00A87B50">
      <w:pPr>
        <w:pStyle w:val="ListParagraph"/>
        <w:numPr>
          <w:ilvl w:val="0"/>
          <w:numId w:val="21"/>
        </w:numPr>
        <w:spacing w:after="120" w:line="240" w:lineRule="auto"/>
        <w:jc w:val="both"/>
        <w:rPr>
          <w:rFonts w:eastAsia="MS Mincho" w:cs="Times New Roman"/>
          <w:noProof/>
          <w:szCs w:val="32"/>
        </w:rPr>
      </w:pPr>
      <w:r>
        <w:rPr>
          <w:rFonts w:eastAsia="MS Mincho" w:cs="Times New Roman"/>
          <w:noProof/>
          <w:szCs w:val="32"/>
        </w:rPr>
        <w:t>An instruction in cash from the buyer to the seller to transfer the amount of the initial transaction</w:t>
      </w:r>
    </w:p>
    <w:p w:rsidR="00A87B50" w:rsidRPr="00A87B50" w:rsidRDefault="00A87B50" w:rsidP="00A87B50">
      <w:pPr>
        <w:pStyle w:val="ListParagraph"/>
        <w:numPr>
          <w:ilvl w:val="0"/>
          <w:numId w:val="21"/>
        </w:numPr>
        <w:spacing w:after="120" w:line="240" w:lineRule="auto"/>
        <w:jc w:val="both"/>
        <w:rPr>
          <w:rFonts w:eastAsia="MS Mincho" w:cs="Times New Roman"/>
          <w:noProof/>
          <w:szCs w:val="32"/>
        </w:rPr>
      </w:pPr>
      <w:r>
        <w:rPr>
          <w:rFonts w:eastAsia="MS Mincho" w:cs="Times New Roman"/>
          <w:noProof/>
          <w:szCs w:val="32"/>
        </w:rPr>
        <w:t>A second instruction in cash from the seller to the buyer to transfer the amount corresponding to the indemnification of the fractions.</w:t>
      </w:r>
    </w:p>
    <w:p w:rsidR="0036580A" w:rsidRPr="00A87B50" w:rsidRDefault="00A87B50" w:rsidP="00A05F16">
      <w:pPr>
        <w:spacing w:after="120" w:line="240" w:lineRule="auto"/>
        <w:jc w:val="both"/>
        <w:rPr>
          <w:rFonts w:eastAsia="MS Mincho" w:cs="Times New Roman"/>
          <w:noProof/>
          <w:szCs w:val="32"/>
          <w:u w:val="single"/>
          <w:lang w:val="fr-FR"/>
        </w:rPr>
      </w:pPr>
      <w:r w:rsidRPr="00A87B50">
        <w:rPr>
          <w:rFonts w:eastAsia="MS Mincho" w:cs="Times New Roman"/>
          <w:noProof/>
          <w:szCs w:val="32"/>
          <w:u w:val="single"/>
          <w:lang w:val="fr-FR"/>
        </w:rPr>
        <w:t>Instruction 1: PFOD</w:t>
      </w:r>
    </w:p>
    <w:p w:rsidR="00A87B50" w:rsidRPr="00A87B50" w:rsidRDefault="00A87B50" w:rsidP="00A87B50">
      <w:pPr>
        <w:spacing w:after="0" w:line="240" w:lineRule="auto"/>
        <w:jc w:val="both"/>
        <w:rPr>
          <w:rFonts w:eastAsia="MS Mincho" w:cs="Times New Roman"/>
          <w:noProof/>
          <w:szCs w:val="32"/>
          <w:lang w:val="fr-FR"/>
        </w:rPr>
      </w:pPr>
      <w:r>
        <w:rPr>
          <w:rFonts w:eastAsia="MS Mincho" w:cs="Times New Roman"/>
          <w:noProof/>
          <w:szCs w:val="32"/>
          <w:lang w:val="fr-FR"/>
        </w:rPr>
        <w:t xml:space="preserve">Seller </w:t>
      </w:r>
      <w:r w:rsidRPr="00A87B50">
        <w:rPr>
          <w:rFonts w:eastAsia="MS Mincho" w:cs="Times New Roman"/>
          <w:noProof/>
          <w:szCs w:val="32"/>
          <w:lang w:val="fr-FR"/>
        </w:rPr>
        <w:t xml:space="preserve">X                                                                 </w:t>
      </w:r>
      <w:r>
        <w:rPr>
          <w:rFonts w:eastAsia="MS Mincho" w:cs="Times New Roman"/>
          <w:noProof/>
          <w:szCs w:val="32"/>
          <w:lang w:val="fr-FR"/>
        </w:rPr>
        <w:t>Buyer</w:t>
      </w:r>
      <w:r w:rsidRPr="00A87B50">
        <w:rPr>
          <w:rFonts w:eastAsia="MS Mincho" w:cs="Times New Roman"/>
          <w:noProof/>
          <w:szCs w:val="32"/>
          <w:lang w:val="fr-FR"/>
        </w:rPr>
        <w:t xml:space="preserve"> Y</w:t>
      </w:r>
    </w:p>
    <w:p w:rsidR="00A87B50" w:rsidRPr="00A87B50" w:rsidRDefault="00A87B50" w:rsidP="00A87B50">
      <w:pPr>
        <w:spacing w:after="0" w:line="240" w:lineRule="auto"/>
        <w:jc w:val="both"/>
        <w:rPr>
          <w:rFonts w:eastAsia="MS Mincho" w:cs="Times New Roman"/>
          <w:noProof/>
          <w:szCs w:val="32"/>
          <w:lang w:val="fr-FR"/>
        </w:rPr>
      </w:pPr>
      <w:r w:rsidRPr="00A87B50">
        <w:rPr>
          <w:rFonts w:eastAsia="MS Mincho" w:cs="Times New Roman"/>
          <w:noProof/>
          <w:szCs w:val="32"/>
          <w:lang w:val="fr-FR"/>
        </w:rPr>
        <w:t xml:space="preserve">                     &lt; ------------------------------------------</w:t>
      </w:r>
    </w:p>
    <w:p w:rsidR="00A87B50" w:rsidRPr="00A87B50" w:rsidRDefault="00A87B50" w:rsidP="00A87B50">
      <w:pPr>
        <w:spacing w:after="0" w:line="240" w:lineRule="auto"/>
        <w:jc w:val="both"/>
        <w:rPr>
          <w:rFonts w:eastAsia="MS Mincho" w:cs="Times New Roman"/>
          <w:noProof/>
          <w:szCs w:val="32"/>
          <w:lang w:val="fr-FR"/>
        </w:rPr>
      </w:pPr>
      <w:r w:rsidRPr="00A87B50">
        <w:rPr>
          <w:rFonts w:eastAsia="MS Mincho" w:cs="Times New Roman"/>
          <w:noProof/>
          <w:szCs w:val="32"/>
          <w:lang w:val="fr-FR"/>
        </w:rPr>
        <w:t xml:space="preserve">                                             7    EUR</w:t>
      </w:r>
    </w:p>
    <w:p w:rsidR="00A87B50" w:rsidRPr="00A87B50" w:rsidRDefault="00A87B50" w:rsidP="00A87B50">
      <w:pPr>
        <w:spacing w:after="0" w:line="240" w:lineRule="auto"/>
        <w:jc w:val="both"/>
        <w:rPr>
          <w:rFonts w:eastAsia="MS Mincho" w:cs="Times New Roman"/>
          <w:noProof/>
          <w:szCs w:val="32"/>
        </w:rPr>
      </w:pPr>
      <w:r w:rsidRPr="006A4780">
        <w:rPr>
          <w:rFonts w:eastAsia="MS Mincho" w:cs="Times New Roman"/>
          <w:noProof/>
          <w:szCs w:val="32"/>
          <w:lang w:val="fr-FR"/>
        </w:rPr>
        <w:t xml:space="preserve">                      </w:t>
      </w:r>
      <w:r w:rsidRPr="00A87B50">
        <w:rPr>
          <w:rFonts w:eastAsia="MS Mincho" w:cs="Times New Roman"/>
          <w:noProof/>
          <w:szCs w:val="32"/>
        </w:rPr>
        <w:t>(amount for the initial transaction)</w:t>
      </w:r>
    </w:p>
    <w:p w:rsidR="00A87B50" w:rsidRDefault="00A87B50" w:rsidP="00A05F16">
      <w:pPr>
        <w:spacing w:after="120" w:line="240" w:lineRule="auto"/>
        <w:jc w:val="both"/>
        <w:rPr>
          <w:rFonts w:eastAsia="MS Mincho" w:cs="Times New Roman"/>
          <w:noProof/>
          <w:szCs w:val="32"/>
        </w:rPr>
      </w:pPr>
    </w:p>
    <w:p w:rsidR="00A87B50" w:rsidRDefault="00A87B50" w:rsidP="00A05F16">
      <w:pPr>
        <w:spacing w:after="120" w:line="240" w:lineRule="auto"/>
        <w:jc w:val="both"/>
        <w:rPr>
          <w:rFonts w:eastAsia="MS Mincho" w:cs="Times New Roman"/>
          <w:noProof/>
          <w:szCs w:val="32"/>
        </w:rPr>
      </w:pPr>
      <w:r>
        <w:rPr>
          <w:rFonts w:eastAsia="MS Mincho" w:cs="Times New Roman"/>
          <w:noProof/>
          <w:szCs w:val="32"/>
        </w:rPr>
        <w:t>The remaining fraction 0.66666 must be indemnified at the price of 9 EUR: 0.66666 * 9 EUR = 6 EUR</w:t>
      </w:r>
    </w:p>
    <w:p w:rsidR="00A87B50" w:rsidRPr="006A4780" w:rsidRDefault="00A87B50" w:rsidP="00A05F16">
      <w:pPr>
        <w:spacing w:after="120" w:line="240" w:lineRule="auto"/>
        <w:jc w:val="both"/>
        <w:rPr>
          <w:rFonts w:eastAsia="MS Mincho" w:cs="Times New Roman"/>
          <w:noProof/>
          <w:szCs w:val="32"/>
          <w:u w:val="single"/>
        </w:rPr>
      </w:pPr>
      <w:r w:rsidRPr="006A4780">
        <w:rPr>
          <w:rFonts w:eastAsia="MS Mincho" w:cs="Times New Roman"/>
          <w:noProof/>
          <w:szCs w:val="32"/>
          <w:u w:val="single"/>
        </w:rPr>
        <w:t>Instruction 2: PFOD</w:t>
      </w:r>
    </w:p>
    <w:p w:rsidR="00A87B50" w:rsidRPr="00A87B50" w:rsidRDefault="00A87B50" w:rsidP="00A87B50">
      <w:pPr>
        <w:spacing w:after="0"/>
        <w:rPr>
          <w:rFonts w:eastAsia="MS Mincho" w:cs="Times New Roman"/>
          <w:szCs w:val="32"/>
        </w:rPr>
      </w:pPr>
      <w:r w:rsidRPr="00A87B50">
        <w:rPr>
          <w:rFonts w:eastAsia="MS Mincho" w:cs="Times New Roman"/>
          <w:szCs w:val="32"/>
        </w:rPr>
        <w:t xml:space="preserve">                                    6 EUR </w:t>
      </w:r>
    </w:p>
    <w:p w:rsidR="00A87B50" w:rsidRPr="00A87B50" w:rsidRDefault="00A87B50" w:rsidP="00A87B50">
      <w:pPr>
        <w:spacing w:after="0"/>
        <w:rPr>
          <w:rFonts w:eastAsia="MS Mincho" w:cs="Times New Roman"/>
          <w:szCs w:val="32"/>
        </w:rPr>
      </w:pPr>
      <w:r>
        <w:rPr>
          <w:rFonts w:eastAsia="MS Mincho" w:cs="Times New Roman"/>
          <w:szCs w:val="32"/>
        </w:rPr>
        <w:t xml:space="preserve">             </w:t>
      </w:r>
      <w:r w:rsidRPr="00A87B50">
        <w:rPr>
          <w:rFonts w:eastAsia="MS Mincho" w:cs="Times New Roman"/>
          <w:szCs w:val="32"/>
        </w:rPr>
        <w:t>(</w:t>
      </w:r>
      <w:proofErr w:type="gramStart"/>
      <w:r w:rsidRPr="00A87B50">
        <w:rPr>
          <w:rFonts w:eastAsia="MS Mincho" w:cs="Times New Roman"/>
          <w:szCs w:val="32"/>
        </w:rPr>
        <w:t>indemnification</w:t>
      </w:r>
      <w:proofErr w:type="gramEnd"/>
      <w:r w:rsidRPr="00A87B50">
        <w:rPr>
          <w:rFonts w:eastAsia="MS Mincho" w:cs="Times New Roman"/>
          <w:szCs w:val="32"/>
        </w:rPr>
        <w:t xml:space="preserve"> of the fractions)</w:t>
      </w:r>
    </w:p>
    <w:p w:rsidR="00A87B50" w:rsidRPr="00A87B50" w:rsidRDefault="00A87B50" w:rsidP="00A87B50">
      <w:pPr>
        <w:spacing w:after="0"/>
        <w:rPr>
          <w:rFonts w:eastAsia="MS Mincho" w:cs="Times New Roman"/>
          <w:szCs w:val="32"/>
        </w:rPr>
      </w:pPr>
      <w:r w:rsidRPr="00A87B50">
        <w:rPr>
          <w:rFonts w:eastAsia="MS Mincho" w:cs="Times New Roman"/>
          <w:szCs w:val="32"/>
        </w:rPr>
        <w:t>Seller X   ------------------------------------------</w:t>
      </w:r>
      <w:r w:rsidRPr="00DD50BE">
        <w:rPr>
          <w:rFonts w:eastAsia="MS Mincho" w:cs="Times New Roman"/>
          <w:szCs w:val="32"/>
          <w:lang w:val="fr-FR"/>
        </w:rPr>
        <w:sym w:font="Wingdings" w:char="F0E0"/>
      </w:r>
      <w:r w:rsidRPr="00A87B50">
        <w:rPr>
          <w:rFonts w:eastAsia="MS Mincho" w:cs="Times New Roman"/>
          <w:szCs w:val="32"/>
        </w:rPr>
        <w:t xml:space="preserve">   Buyer Y</w:t>
      </w:r>
    </w:p>
    <w:p w:rsidR="00A87B50" w:rsidRPr="00A87B50" w:rsidRDefault="00A87B50" w:rsidP="00A05F16">
      <w:pPr>
        <w:spacing w:after="120" w:line="240" w:lineRule="auto"/>
        <w:jc w:val="both"/>
        <w:rPr>
          <w:rFonts w:eastAsia="MS Mincho" w:cs="Times New Roman"/>
          <w:noProof/>
          <w:szCs w:val="32"/>
        </w:rPr>
      </w:pPr>
    </w:p>
    <w:p w:rsidR="00A87B50" w:rsidRDefault="00A87B50" w:rsidP="00A05F16">
      <w:pPr>
        <w:spacing w:after="120" w:line="240" w:lineRule="auto"/>
        <w:jc w:val="both"/>
        <w:rPr>
          <w:rFonts w:eastAsia="MS Mincho" w:cs="Times New Roman"/>
          <w:noProof/>
          <w:szCs w:val="32"/>
        </w:rPr>
      </w:pPr>
      <w:r w:rsidRPr="00A87B50">
        <w:rPr>
          <w:rFonts w:eastAsia="MS Mincho" w:cs="Times New Roman"/>
          <w:b/>
          <w:noProof/>
          <w:szCs w:val="32"/>
        </w:rPr>
        <w:t>Scenario 2</w:t>
      </w:r>
      <w:r>
        <w:rPr>
          <w:rFonts w:eastAsia="MS Mincho" w:cs="Times New Roman"/>
          <w:noProof/>
          <w:szCs w:val="32"/>
        </w:rPr>
        <w:t>: the issuer does not indemnify fractions OR fractions are indemnified but the reference price is communicated after the RD.</w:t>
      </w:r>
    </w:p>
    <w:p w:rsidR="00A87B50" w:rsidRDefault="00A87B50" w:rsidP="00A05F16">
      <w:pPr>
        <w:spacing w:after="120" w:line="240" w:lineRule="auto"/>
        <w:jc w:val="both"/>
        <w:rPr>
          <w:rFonts w:eastAsia="MS Mincho" w:cs="Times New Roman"/>
          <w:noProof/>
          <w:szCs w:val="32"/>
        </w:rPr>
      </w:pPr>
      <w:r>
        <w:rPr>
          <w:rFonts w:eastAsia="MS Mincho" w:cs="Times New Roman"/>
          <w:noProof/>
          <w:szCs w:val="32"/>
        </w:rPr>
        <w:t>After the cancellation of the underlying instruction by Euroclear, market participants will take no action because the fraction musst not be handled in this case.</w:t>
      </w:r>
    </w:p>
    <w:p w:rsidR="0021229D" w:rsidRDefault="0021229D" w:rsidP="00A05F16">
      <w:pPr>
        <w:spacing w:after="120" w:line="240" w:lineRule="auto"/>
        <w:jc w:val="both"/>
        <w:rPr>
          <w:rFonts w:eastAsia="MS Mincho" w:cs="Times New Roman"/>
          <w:noProof/>
          <w:szCs w:val="32"/>
        </w:rPr>
      </w:pPr>
    </w:p>
    <w:p w:rsidR="0021229D" w:rsidRPr="00A05F16" w:rsidRDefault="0021229D" w:rsidP="0021229D">
      <w:pPr>
        <w:spacing w:after="120" w:line="240" w:lineRule="auto"/>
        <w:jc w:val="both"/>
        <w:rPr>
          <w:rFonts w:eastAsia="MS Mincho" w:cs="Times New Roman"/>
          <w:b/>
          <w:noProof/>
          <w:sz w:val="24"/>
          <w:szCs w:val="32"/>
        </w:rPr>
      </w:pPr>
      <w:r w:rsidRPr="00A05F16">
        <w:rPr>
          <w:rFonts w:eastAsia="MS Mincho" w:cs="Times New Roman"/>
          <w:b/>
          <w:noProof/>
          <w:sz w:val="24"/>
          <w:szCs w:val="32"/>
        </w:rPr>
        <w:t>‘</w:t>
      </w:r>
      <w:r>
        <w:rPr>
          <w:rFonts w:eastAsia="MS Mincho" w:cs="Times New Roman"/>
          <w:b/>
          <w:noProof/>
          <w:sz w:val="24"/>
          <w:szCs w:val="32"/>
        </w:rPr>
        <w:t>Ratio Compliant</w:t>
      </w:r>
      <w:r w:rsidRPr="00A05F16">
        <w:rPr>
          <w:rFonts w:eastAsia="MS Mincho" w:cs="Times New Roman"/>
          <w:b/>
          <w:noProof/>
          <w:sz w:val="24"/>
          <w:szCs w:val="32"/>
        </w:rPr>
        <w:t>’ Method</w:t>
      </w:r>
    </w:p>
    <w:p w:rsidR="0021229D" w:rsidRDefault="0021229D" w:rsidP="0021229D">
      <w:pPr>
        <w:spacing w:after="120" w:line="240" w:lineRule="auto"/>
        <w:jc w:val="both"/>
        <w:rPr>
          <w:rFonts w:eastAsia="MS Mincho" w:cs="Times New Roman"/>
          <w:noProof/>
          <w:szCs w:val="32"/>
        </w:rPr>
      </w:pPr>
      <w:r>
        <w:rPr>
          <w:rFonts w:eastAsia="MS Mincho" w:cs="Times New Roman"/>
          <w:b/>
          <w:noProof/>
          <w:szCs w:val="32"/>
          <w:u w:val="single"/>
        </w:rPr>
        <w:t xml:space="preserve">Back to </w:t>
      </w:r>
      <w:r w:rsidRPr="00A05F16">
        <w:rPr>
          <w:rFonts w:eastAsia="MS Mincho" w:cs="Times New Roman"/>
          <w:b/>
          <w:noProof/>
          <w:szCs w:val="32"/>
          <w:u w:val="single"/>
        </w:rPr>
        <w:t>Example 1</w:t>
      </w:r>
      <w:r>
        <w:rPr>
          <w:rFonts w:eastAsia="MS Mincho" w:cs="Times New Roman"/>
          <w:b/>
          <w:noProof/>
          <w:szCs w:val="32"/>
        </w:rPr>
        <w:t>:</w:t>
      </w:r>
      <w:r>
        <w:rPr>
          <w:rFonts w:eastAsia="MS Mincho" w:cs="Times New Roman"/>
          <w:noProof/>
          <w:szCs w:val="32"/>
        </w:rPr>
        <w:t xml:space="preserve"> reverse stock split (SPLR). According to the terms of the corporate action, 3 former securities A must be replaced by 5 new securities B.</w:t>
      </w:r>
    </w:p>
    <w:p w:rsidR="0021229D" w:rsidRDefault="0021229D" w:rsidP="00A05F16">
      <w:pPr>
        <w:spacing w:after="120" w:line="240" w:lineRule="auto"/>
        <w:jc w:val="both"/>
        <w:rPr>
          <w:rFonts w:eastAsia="MS Mincho" w:cs="Times New Roman"/>
          <w:noProof/>
          <w:szCs w:val="32"/>
        </w:rPr>
      </w:pPr>
      <w:r>
        <w:rPr>
          <w:rFonts w:eastAsia="MS Mincho" w:cs="Times New Roman"/>
          <w:b/>
          <w:noProof/>
          <w:szCs w:val="32"/>
        </w:rPr>
        <w:t>Scenario 1</w:t>
      </w:r>
      <w:r>
        <w:rPr>
          <w:rFonts w:eastAsia="MS Mincho" w:cs="Times New Roman"/>
          <w:noProof/>
          <w:szCs w:val="32"/>
        </w:rPr>
        <w:t xml:space="preserve">: the issuer announces that fractions are indemnified AND the reference price is communicated </w:t>
      </w:r>
      <w:r>
        <w:rPr>
          <w:rFonts w:eastAsia="MS Mincho" w:cs="Times New Roman"/>
          <w:noProof/>
          <w:szCs w:val="32"/>
          <w:u w:val="single"/>
        </w:rPr>
        <w:t>before</w:t>
      </w:r>
      <w:r>
        <w:rPr>
          <w:rFonts w:eastAsia="MS Mincho" w:cs="Times New Roman"/>
          <w:noProof/>
          <w:szCs w:val="32"/>
        </w:rPr>
        <w:t xml:space="preserve"> RD (at the latests on D-1 of the RD according to standards and and the market practice defined by AFTI Corporate Action Expert Group).</w:t>
      </w:r>
    </w:p>
    <w:p w:rsidR="0021229D" w:rsidRDefault="0021229D" w:rsidP="0021229D">
      <w:pPr>
        <w:spacing w:after="120" w:line="240" w:lineRule="auto"/>
        <w:jc w:val="both"/>
        <w:rPr>
          <w:rFonts w:eastAsia="MS Mincho" w:cs="Times New Roman"/>
          <w:noProof/>
          <w:szCs w:val="32"/>
        </w:rPr>
      </w:pPr>
      <w:r>
        <w:rPr>
          <w:rFonts w:eastAsia="MS Mincho" w:cs="Times New Roman"/>
          <w:noProof/>
          <w:szCs w:val="32"/>
        </w:rPr>
        <w:t>The reference price for the indemnification of fractions is 9 EUR for each security B.</w:t>
      </w:r>
    </w:p>
    <w:p w:rsidR="00A87B50" w:rsidRDefault="0021229D" w:rsidP="00A05F16">
      <w:pPr>
        <w:spacing w:after="120" w:line="240" w:lineRule="auto"/>
        <w:jc w:val="both"/>
        <w:rPr>
          <w:rFonts w:eastAsia="MS Mincho" w:cs="Times New Roman"/>
          <w:noProof/>
          <w:szCs w:val="32"/>
        </w:rPr>
      </w:pPr>
      <w:r>
        <w:rPr>
          <w:rFonts w:eastAsia="MS Mincho" w:cs="Times New Roman"/>
          <w:noProof/>
          <w:szCs w:val="32"/>
        </w:rPr>
        <w:lastRenderedPageBreak/>
        <w:t xml:space="preserve">At RD COB, the following instruction against payment is matched and </w:t>
      </w:r>
      <w:r w:rsidR="00DA614C">
        <w:rPr>
          <w:rFonts w:eastAsia="MS Mincho" w:cs="Times New Roman"/>
          <w:noProof/>
          <w:szCs w:val="32"/>
        </w:rPr>
        <w:t xml:space="preserve">not </w:t>
      </w:r>
      <w:r>
        <w:rPr>
          <w:rFonts w:eastAsia="MS Mincho" w:cs="Times New Roman"/>
          <w:noProof/>
          <w:szCs w:val="32"/>
        </w:rPr>
        <w:t>settled.</w:t>
      </w:r>
    </w:p>
    <w:p w:rsidR="0021229D" w:rsidRPr="00A05F16" w:rsidRDefault="0021229D" w:rsidP="0021229D">
      <w:pPr>
        <w:spacing w:after="0"/>
        <w:jc w:val="both"/>
        <w:rPr>
          <w:rFonts w:eastAsia="MS Mincho" w:cs="Times New Roman"/>
          <w:noProof/>
          <w:szCs w:val="32"/>
        </w:rPr>
      </w:pPr>
      <w:r w:rsidRPr="00A05F16">
        <w:rPr>
          <w:rFonts w:eastAsia="MS Mincho" w:cs="Times New Roman"/>
          <w:noProof/>
          <w:szCs w:val="32"/>
        </w:rPr>
        <w:t xml:space="preserve">                                             </w:t>
      </w:r>
      <w:r>
        <w:rPr>
          <w:rFonts w:eastAsia="MS Mincho" w:cs="Times New Roman"/>
          <w:noProof/>
          <w:szCs w:val="32"/>
        </w:rPr>
        <w:t>22</w:t>
      </w:r>
      <w:r w:rsidRPr="00A05F16">
        <w:rPr>
          <w:rFonts w:eastAsia="MS Mincho" w:cs="Times New Roman"/>
          <w:noProof/>
          <w:szCs w:val="32"/>
        </w:rPr>
        <w:t xml:space="preserve"> Securities </w:t>
      </w:r>
      <w:r>
        <w:rPr>
          <w:rFonts w:eastAsia="MS Mincho" w:cs="Times New Roman"/>
          <w:noProof/>
          <w:szCs w:val="32"/>
        </w:rPr>
        <w:t>A</w:t>
      </w:r>
      <w:r w:rsidRPr="00A05F16">
        <w:rPr>
          <w:rFonts w:eastAsia="MS Mincho" w:cs="Times New Roman"/>
          <w:noProof/>
          <w:szCs w:val="32"/>
        </w:rPr>
        <w:t xml:space="preserve"> </w:t>
      </w:r>
    </w:p>
    <w:p w:rsidR="0021229D" w:rsidRPr="00093923" w:rsidRDefault="0021229D" w:rsidP="0021229D">
      <w:pPr>
        <w:spacing w:after="0"/>
        <w:jc w:val="both"/>
        <w:rPr>
          <w:rFonts w:eastAsia="MS Mincho" w:cs="Times New Roman"/>
          <w:noProof/>
          <w:szCs w:val="32"/>
        </w:rPr>
      </w:pPr>
      <w:r w:rsidRPr="00093923">
        <w:rPr>
          <w:rFonts w:eastAsia="MS Mincho" w:cs="Times New Roman"/>
          <w:noProof/>
          <w:szCs w:val="32"/>
        </w:rPr>
        <w:t xml:space="preserve">Seller X       </w:t>
      </w:r>
      <w:r>
        <w:rPr>
          <w:rFonts w:eastAsia="MS Mincho" w:cs="Times New Roman"/>
          <w:noProof/>
          <w:szCs w:val="32"/>
        </w:rPr>
        <w:t xml:space="preserve">      </w:t>
      </w:r>
      <w:r w:rsidRPr="00093923">
        <w:rPr>
          <w:rFonts w:eastAsia="MS Mincho" w:cs="Times New Roman"/>
          <w:noProof/>
          <w:szCs w:val="32"/>
        </w:rPr>
        <w:t xml:space="preserve">----------------------------------------------------- </w:t>
      </w:r>
      <w:r w:rsidRPr="00DD50BE">
        <w:rPr>
          <w:rFonts w:eastAsia="MS Mincho" w:cs="Times New Roman"/>
          <w:noProof/>
          <w:szCs w:val="32"/>
          <w:lang w:val="fr-FR"/>
        </w:rPr>
        <w:sym w:font="Wingdings" w:char="F0E0"/>
      </w:r>
      <w:r w:rsidRPr="00093923">
        <w:rPr>
          <w:rFonts w:eastAsia="MS Mincho" w:cs="Times New Roman"/>
          <w:noProof/>
          <w:szCs w:val="32"/>
        </w:rPr>
        <w:t xml:space="preserve">       Buyer Y</w:t>
      </w:r>
    </w:p>
    <w:p w:rsidR="0021229D" w:rsidRPr="00093923" w:rsidRDefault="0021229D" w:rsidP="0021229D">
      <w:pPr>
        <w:spacing w:after="0"/>
        <w:jc w:val="both"/>
        <w:rPr>
          <w:rFonts w:eastAsia="MS Mincho" w:cs="Times New Roman"/>
          <w:noProof/>
          <w:szCs w:val="32"/>
        </w:rPr>
      </w:pPr>
      <w:r w:rsidRPr="00093923">
        <w:rPr>
          <w:rFonts w:eastAsia="MS Mincho" w:cs="Times New Roman"/>
          <w:noProof/>
          <w:szCs w:val="32"/>
        </w:rPr>
        <w:t xml:space="preserve">                          &lt;  --------------------------------------------------   </w:t>
      </w:r>
    </w:p>
    <w:p w:rsidR="0021229D" w:rsidRPr="00093923" w:rsidRDefault="0021229D" w:rsidP="0021229D">
      <w:pPr>
        <w:jc w:val="both"/>
        <w:rPr>
          <w:rFonts w:eastAsia="MS Mincho" w:cs="Times New Roman"/>
          <w:noProof/>
          <w:szCs w:val="32"/>
        </w:rPr>
      </w:pPr>
      <w:r w:rsidRPr="00093923">
        <w:rPr>
          <w:rFonts w:eastAsia="MS Mincho" w:cs="Times New Roman"/>
          <w:noProof/>
          <w:szCs w:val="32"/>
        </w:rPr>
        <w:t xml:space="preserve">                                                </w:t>
      </w:r>
      <w:r>
        <w:rPr>
          <w:rFonts w:eastAsia="MS Mincho" w:cs="Times New Roman"/>
          <w:noProof/>
          <w:szCs w:val="32"/>
        </w:rPr>
        <w:t>100</w:t>
      </w:r>
      <w:r w:rsidRPr="00093923">
        <w:rPr>
          <w:rFonts w:eastAsia="MS Mincho" w:cs="Times New Roman"/>
          <w:noProof/>
          <w:szCs w:val="32"/>
        </w:rPr>
        <w:t xml:space="preserve"> EUR</w:t>
      </w:r>
    </w:p>
    <w:p w:rsidR="0021229D" w:rsidRDefault="002B421C" w:rsidP="00A05F16">
      <w:pPr>
        <w:spacing w:after="120" w:line="240" w:lineRule="auto"/>
        <w:jc w:val="both"/>
        <w:rPr>
          <w:rFonts w:eastAsia="MS Mincho" w:cs="Times New Roman"/>
          <w:noProof/>
          <w:szCs w:val="32"/>
        </w:rPr>
      </w:pPr>
      <w:r>
        <w:rPr>
          <w:rFonts w:eastAsia="MS Mincho" w:cs="Times New Roman"/>
          <w:noProof/>
          <w:szCs w:val="32"/>
        </w:rPr>
        <w:t>The buyer is eligible to a quantity of 21 securities A. After applying the ratio on the quantity of former securities, he is eligible to receive 35 new securities B.</w:t>
      </w:r>
    </w:p>
    <w:p w:rsidR="002B421C" w:rsidRDefault="00DA614C" w:rsidP="00A05F16">
      <w:pPr>
        <w:spacing w:after="120" w:line="240" w:lineRule="auto"/>
        <w:jc w:val="both"/>
        <w:rPr>
          <w:rFonts w:eastAsia="MS Mincho" w:cs="Times New Roman"/>
          <w:noProof/>
          <w:szCs w:val="32"/>
        </w:rPr>
      </w:pPr>
      <w:r>
        <w:rPr>
          <w:rFonts w:eastAsia="MS Mincho" w:cs="Times New Roman"/>
          <w:noProof/>
          <w:szCs w:val="32"/>
        </w:rPr>
        <w:t>The re</w:t>
      </w:r>
      <w:r w:rsidR="002B421C">
        <w:rPr>
          <w:rFonts w:eastAsia="MS Mincho" w:cs="Times New Roman"/>
          <w:noProof/>
          <w:szCs w:val="32"/>
        </w:rPr>
        <w:t>m</w:t>
      </w:r>
      <w:r>
        <w:rPr>
          <w:rFonts w:eastAsia="MS Mincho" w:cs="Times New Roman"/>
          <w:noProof/>
          <w:szCs w:val="32"/>
        </w:rPr>
        <w:t>a</w:t>
      </w:r>
      <w:r w:rsidR="002B421C">
        <w:rPr>
          <w:rFonts w:eastAsia="MS Mincho" w:cs="Times New Roman"/>
          <w:noProof/>
          <w:szCs w:val="32"/>
        </w:rPr>
        <w:t>ining fraction to be indemnified corresponds to the number of underlying former securities remaining (non multiple of the ratio), times the ratio :</w:t>
      </w:r>
    </w:p>
    <w:p w:rsidR="002B421C" w:rsidRDefault="002B421C" w:rsidP="00A05F16">
      <w:pPr>
        <w:spacing w:after="120" w:line="240" w:lineRule="auto"/>
        <w:jc w:val="both"/>
        <w:rPr>
          <w:rFonts w:eastAsia="MS Mincho" w:cs="Times New Roman"/>
          <w:noProof/>
          <w:szCs w:val="32"/>
        </w:rPr>
      </w:pPr>
      <w:r>
        <w:rPr>
          <w:rFonts w:eastAsia="MS Mincho" w:cs="Times New Roman"/>
          <w:noProof/>
          <w:szCs w:val="32"/>
        </w:rPr>
        <w:t>1 former security A (=remaining quantity of former securities), that is 22 (quantity of former securities multiple of the ratio, that is 21) * ratio (5/3) = 1.66666 security B to indemnify.</w:t>
      </w:r>
    </w:p>
    <w:p w:rsidR="002B421C" w:rsidRDefault="002B421C" w:rsidP="00A05F16">
      <w:pPr>
        <w:spacing w:after="120" w:line="240" w:lineRule="auto"/>
        <w:jc w:val="both"/>
        <w:rPr>
          <w:rFonts w:eastAsia="MS Mincho" w:cs="Times New Roman"/>
          <w:noProof/>
          <w:szCs w:val="32"/>
        </w:rPr>
      </w:pPr>
      <w:r>
        <w:rPr>
          <w:rFonts w:eastAsia="MS Mincho" w:cs="Times New Roman"/>
          <w:noProof/>
          <w:szCs w:val="32"/>
        </w:rPr>
        <w:t>The cash amount corresponding to the fraction is: 1.66666 security B to indemnify * reference price (9 EUR) = 15 EUR</w:t>
      </w:r>
    </w:p>
    <w:p w:rsidR="002B421C" w:rsidRDefault="002B421C" w:rsidP="00A05F16">
      <w:pPr>
        <w:spacing w:after="120" w:line="240" w:lineRule="auto"/>
        <w:jc w:val="both"/>
        <w:rPr>
          <w:rFonts w:eastAsia="MS Mincho" w:cs="Times New Roman"/>
          <w:noProof/>
          <w:szCs w:val="32"/>
        </w:rPr>
      </w:pPr>
      <w:r>
        <w:rPr>
          <w:rFonts w:eastAsia="MS Mincho" w:cs="Times New Roman"/>
          <w:noProof/>
          <w:szCs w:val="32"/>
        </w:rPr>
        <w:t>After cancellation of the underlying transaction by Euroclear, market participants will have to send the following instructions:</w:t>
      </w:r>
    </w:p>
    <w:p w:rsidR="002B421C" w:rsidRDefault="002B421C" w:rsidP="002B421C">
      <w:pPr>
        <w:pStyle w:val="ListParagraph"/>
        <w:numPr>
          <w:ilvl w:val="0"/>
          <w:numId w:val="21"/>
        </w:numPr>
        <w:spacing w:after="120" w:line="240" w:lineRule="auto"/>
        <w:jc w:val="both"/>
        <w:rPr>
          <w:rFonts w:eastAsia="MS Mincho" w:cs="Times New Roman"/>
          <w:noProof/>
          <w:szCs w:val="32"/>
        </w:rPr>
      </w:pPr>
      <w:r>
        <w:rPr>
          <w:rFonts w:eastAsia="MS Mincho" w:cs="Times New Roman"/>
          <w:noProof/>
          <w:szCs w:val="32"/>
        </w:rPr>
        <w:t>A delivery vs pay</w:t>
      </w:r>
      <w:r w:rsidR="006D0683">
        <w:rPr>
          <w:rFonts w:eastAsia="MS Mincho" w:cs="Times New Roman"/>
          <w:noProof/>
          <w:szCs w:val="32"/>
        </w:rPr>
        <w:t>ment instruction from the selle</w:t>
      </w:r>
      <w:r>
        <w:rPr>
          <w:rFonts w:eastAsia="MS Mincho" w:cs="Times New Roman"/>
          <w:noProof/>
          <w:szCs w:val="32"/>
        </w:rPr>
        <w:t xml:space="preserve">r to the buyer to transfer </w:t>
      </w:r>
      <w:r w:rsidR="006D0683">
        <w:rPr>
          <w:rFonts w:eastAsia="MS Mincho" w:cs="Times New Roman"/>
          <w:noProof/>
          <w:szCs w:val="32"/>
        </w:rPr>
        <w:t>new securities roun</w:t>
      </w:r>
      <w:r>
        <w:rPr>
          <w:rFonts w:eastAsia="MS Mincho" w:cs="Times New Roman"/>
          <w:noProof/>
          <w:szCs w:val="32"/>
        </w:rPr>
        <w:t>de</w:t>
      </w:r>
      <w:r w:rsidR="006D0683">
        <w:rPr>
          <w:rFonts w:eastAsia="MS Mincho" w:cs="Times New Roman"/>
          <w:noProof/>
          <w:szCs w:val="32"/>
        </w:rPr>
        <w:t>d</w:t>
      </w:r>
      <w:r>
        <w:rPr>
          <w:rFonts w:eastAsia="MS Mincho" w:cs="Times New Roman"/>
          <w:noProof/>
          <w:szCs w:val="32"/>
        </w:rPr>
        <w:t xml:space="preserve"> to the inferior, in exchange for the initial amount of the transaction.</w:t>
      </w:r>
    </w:p>
    <w:p w:rsidR="002B421C" w:rsidRPr="002B421C" w:rsidRDefault="002B421C" w:rsidP="002B421C">
      <w:pPr>
        <w:pStyle w:val="ListParagraph"/>
        <w:numPr>
          <w:ilvl w:val="0"/>
          <w:numId w:val="21"/>
        </w:numPr>
        <w:spacing w:after="120" w:line="240" w:lineRule="auto"/>
        <w:jc w:val="both"/>
        <w:rPr>
          <w:rFonts w:eastAsia="MS Mincho" w:cs="Times New Roman"/>
          <w:noProof/>
          <w:szCs w:val="32"/>
        </w:rPr>
      </w:pPr>
      <w:r>
        <w:rPr>
          <w:rFonts w:eastAsia="MS Mincho" w:cs="Times New Roman"/>
          <w:noProof/>
          <w:szCs w:val="32"/>
        </w:rPr>
        <w:t>A second instruction in cash from the seller to the buyer to transfer the amount corresponding to the indemnification of the fractions.</w:t>
      </w:r>
    </w:p>
    <w:p w:rsidR="0021229D" w:rsidRPr="002B421C" w:rsidRDefault="002B421C" w:rsidP="00A05F16">
      <w:pPr>
        <w:spacing w:after="120" w:line="240" w:lineRule="auto"/>
        <w:jc w:val="both"/>
        <w:rPr>
          <w:rFonts w:eastAsia="MS Mincho" w:cs="Times New Roman"/>
          <w:noProof/>
          <w:szCs w:val="32"/>
          <w:u w:val="single"/>
        </w:rPr>
      </w:pPr>
      <w:r w:rsidRPr="002B421C">
        <w:rPr>
          <w:rFonts w:eastAsia="MS Mincho" w:cs="Times New Roman"/>
          <w:noProof/>
          <w:szCs w:val="32"/>
          <w:u w:val="single"/>
        </w:rPr>
        <w:t>Instruction 1: DVP</w:t>
      </w:r>
    </w:p>
    <w:p w:rsidR="002B421C" w:rsidRPr="00A05F16" w:rsidRDefault="002B421C" w:rsidP="002B421C">
      <w:pPr>
        <w:spacing w:after="0"/>
        <w:jc w:val="both"/>
        <w:rPr>
          <w:rFonts w:eastAsia="MS Mincho" w:cs="Times New Roman"/>
          <w:noProof/>
          <w:szCs w:val="32"/>
        </w:rPr>
      </w:pPr>
      <w:r w:rsidRPr="00A05F16">
        <w:rPr>
          <w:rFonts w:eastAsia="MS Mincho" w:cs="Times New Roman"/>
          <w:noProof/>
          <w:szCs w:val="32"/>
        </w:rPr>
        <w:t xml:space="preserve">                                             </w:t>
      </w:r>
      <w:r>
        <w:rPr>
          <w:rFonts w:eastAsia="MS Mincho" w:cs="Times New Roman"/>
          <w:noProof/>
          <w:szCs w:val="32"/>
        </w:rPr>
        <w:t>35</w:t>
      </w:r>
      <w:r w:rsidRPr="00A05F16">
        <w:rPr>
          <w:rFonts w:eastAsia="MS Mincho" w:cs="Times New Roman"/>
          <w:noProof/>
          <w:szCs w:val="32"/>
        </w:rPr>
        <w:t xml:space="preserve"> Securities </w:t>
      </w:r>
      <w:r>
        <w:rPr>
          <w:rFonts w:eastAsia="MS Mincho" w:cs="Times New Roman"/>
          <w:noProof/>
          <w:szCs w:val="32"/>
        </w:rPr>
        <w:t>A</w:t>
      </w:r>
      <w:r w:rsidRPr="00A05F16">
        <w:rPr>
          <w:rFonts w:eastAsia="MS Mincho" w:cs="Times New Roman"/>
          <w:noProof/>
          <w:szCs w:val="32"/>
        </w:rPr>
        <w:t xml:space="preserve"> </w:t>
      </w:r>
    </w:p>
    <w:p w:rsidR="002B421C" w:rsidRPr="00093923" w:rsidRDefault="002B421C" w:rsidP="002B421C">
      <w:pPr>
        <w:spacing w:after="0"/>
        <w:jc w:val="both"/>
        <w:rPr>
          <w:rFonts w:eastAsia="MS Mincho" w:cs="Times New Roman"/>
          <w:noProof/>
          <w:szCs w:val="32"/>
        </w:rPr>
      </w:pPr>
      <w:r w:rsidRPr="00093923">
        <w:rPr>
          <w:rFonts w:eastAsia="MS Mincho" w:cs="Times New Roman"/>
          <w:noProof/>
          <w:szCs w:val="32"/>
        </w:rPr>
        <w:t xml:space="preserve">Seller X       </w:t>
      </w:r>
      <w:r>
        <w:rPr>
          <w:rFonts w:eastAsia="MS Mincho" w:cs="Times New Roman"/>
          <w:noProof/>
          <w:szCs w:val="32"/>
        </w:rPr>
        <w:t xml:space="preserve">      </w:t>
      </w:r>
      <w:r w:rsidRPr="00093923">
        <w:rPr>
          <w:rFonts w:eastAsia="MS Mincho" w:cs="Times New Roman"/>
          <w:noProof/>
          <w:szCs w:val="32"/>
        </w:rPr>
        <w:t xml:space="preserve">----------------------------------------------------- </w:t>
      </w:r>
      <w:r w:rsidRPr="00DD50BE">
        <w:rPr>
          <w:rFonts w:eastAsia="MS Mincho" w:cs="Times New Roman"/>
          <w:noProof/>
          <w:szCs w:val="32"/>
          <w:lang w:val="fr-FR"/>
        </w:rPr>
        <w:sym w:font="Wingdings" w:char="F0E0"/>
      </w:r>
      <w:r w:rsidRPr="00093923">
        <w:rPr>
          <w:rFonts w:eastAsia="MS Mincho" w:cs="Times New Roman"/>
          <w:noProof/>
          <w:szCs w:val="32"/>
        </w:rPr>
        <w:t xml:space="preserve">       Buyer Y</w:t>
      </w:r>
    </w:p>
    <w:p w:rsidR="002B421C" w:rsidRPr="00093923" w:rsidRDefault="002B421C" w:rsidP="002B421C">
      <w:pPr>
        <w:spacing w:after="0"/>
        <w:jc w:val="both"/>
        <w:rPr>
          <w:rFonts w:eastAsia="MS Mincho" w:cs="Times New Roman"/>
          <w:noProof/>
          <w:szCs w:val="32"/>
        </w:rPr>
      </w:pPr>
      <w:r w:rsidRPr="00093923">
        <w:rPr>
          <w:rFonts w:eastAsia="MS Mincho" w:cs="Times New Roman"/>
          <w:noProof/>
          <w:szCs w:val="32"/>
        </w:rPr>
        <w:t xml:space="preserve">                          &lt;  --------------------------------------------------   </w:t>
      </w:r>
    </w:p>
    <w:p w:rsidR="002B421C" w:rsidRPr="00093923" w:rsidRDefault="002B421C" w:rsidP="002B421C">
      <w:pPr>
        <w:jc w:val="both"/>
        <w:rPr>
          <w:rFonts w:eastAsia="MS Mincho" w:cs="Times New Roman"/>
          <w:noProof/>
          <w:szCs w:val="32"/>
        </w:rPr>
      </w:pPr>
      <w:r w:rsidRPr="00093923">
        <w:rPr>
          <w:rFonts w:eastAsia="MS Mincho" w:cs="Times New Roman"/>
          <w:noProof/>
          <w:szCs w:val="32"/>
        </w:rPr>
        <w:t xml:space="preserve">                                                </w:t>
      </w:r>
      <w:r>
        <w:rPr>
          <w:rFonts w:eastAsia="MS Mincho" w:cs="Times New Roman"/>
          <w:noProof/>
          <w:szCs w:val="32"/>
        </w:rPr>
        <w:t>100</w:t>
      </w:r>
      <w:r w:rsidRPr="00093923">
        <w:rPr>
          <w:rFonts w:eastAsia="MS Mincho" w:cs="Times New Roman"/>
          <w:noProof/>
          <w:szCs w:val="32"/>
        </w:rPr>
        <w:t xml:space="preserve"> EUR</w:t>
      </w:r>
    </w:p>
    <w:p w:rsidR="002B421C" w:rsidRDefault="002B421C" w:rsidP="00A05F16">
      <w:pPr>
        <w:spacing w:after="120" w:line="240" w:lineRule="auto"/>
        <w:jc w:val="both"/>
        <w:rPr>
          <w:rFonts w:eastAsia="MS Mincho" w:cs="Times New Roman"/>
          <w:noProof/>
          <w:szCs w:val="32"/>
        </w:rPr>
      </w:pPr>
      <w:r>
        <w:rPr>
          <w:rFonts w:eastAsia="MS Mincho" w:cs="Times New Roman"/>
          <w:noProof/>
          <w:szCs w:val="32"/>
        </w:rPr>
        <w:t>The remaining fraction of 1.66666 must be indemnified at the price of 9 EUR: 1.66666 * 9 EUR = 15 EUR</w:t>
      </w:r>
    </w:p>
    <w:p w:rsidR="002B421C" w:rsidRPr="002B421C" w:rsidRDefault="002B421C" w:rsidP="00A05F16">
      <w:pPr>
        <w:spacing w:after="120" w:line="240" w:lineRule="auto"/>
        <w:jc w:val="both"/>
        <w:rPr>
          <w:rFonts w:eastAsia="MS Mincho" w:cs="Times New Roman"/>
          <w:noProof/>
          <w:szCs w:val="32"/>
          <w:u w:val="single"/>
          <w:lang w:val="fr-FR"/>
        </w:rPr>
      </w:pPr>
      <w:r w:rsidRPr="002B421C">
        <w:rPr>
          <w:rFonts w:eastAsia="MS Mincho" w:cs="Times New Roman"/>
          <w:noProof/>
          <w:szCs w:val="32"/>
          <w:u w:val="single"/>
          <w:lang w:val="fr-FR"/>
        </w:rPr>
        <w:t>Instruction 2: PFOD</w:t>
      </w:r>
    </w:p>
    <w:p w:rsidR="002B421C" w:rsidRPr="00DD50BE" w:rsidRDefault="002B421C" w:rsidP="002B421C">
      <w:pPr>
        <w:spacing w:after="0"/>
        <w:rPr>
          <w:rFonts w:eastAsia="MS Mincho" w:cs="Times New Roman"/>
          <w:szCs w:val="32"/>
          <w:lang w:val="fr-FR"/>
        </w:rPr>
      </w:pPr>
      <w:r w:rsidRPr="00DD50BE">
        <w:rPr>
          <w:rFonts w:eastAsia="MS Mincho" w:cs="Times New Roman"/>
          <w:szCs w:val="32"/>
          <w:lang w:val="fr-FR"/>
        </w:rPr>
        <w:t xml:space="preserve">                                           15 EUR </w:t>
      </w:r>
    </w:p>
    <w:p w:rsidR="002B421C" w:rsidRPr="00DD50BE" w:rsidRDefault="002B421C" w:rsidP="002B421C">
      <w:pPr>
        <w:spacing w:after="0"/>
        <w:rPr>
          <w:rFonts w:eastAsia="MS Mincho" w:cs="Times New Roman"/>
          <w:szCs w:val="32"/>
          <w:lang w:val="fr-FR"/>
        </w:rPr>
      </w:pPr>
      <w:r>
        <w:rPr>
          <w:rFonts w:eastAsia="MS Mincho" w:cs="Times New Roman"/>
          <w:szCs w:val="32"/>
          <w:lang w:val="fr-FR"/>
        </w:rPr>
        <w:t xml:space="preserve">Seller </w:t>
      </w:r>
      <w:r w:rsidRPr="00DD50BE">
        <w:rPr>
          <w:rFonts w:eastAsia="MS Mincho" w:cs="Times New Roman"/>
          <w:szCs w:val="32"/>
          <w:lang w:val="fr-FR"/>
        </w:rPr>
        <w:t>X   ------------------------------------------</w:t>
      </w:r>
      <w:r w:rsidRPr="00DD50BE">
        <w:rPr>
          <w:rFonts w:eastAsia="MS Mincho" w:cs="Times New Roman"/>
          <w:szCs w:val="32"/>
          <w:lang w:val="fr-FR"/>
        </w:rPr>
        <w:sym w:font="Wingdings" w:char="F0E0"/>
      </w:r>
      <w:r w:rsidRPr="00DD50BE">
        <w:rPr>
          <w:rFonts w:eastAsia="MS Mincho" w:cs="Times New Roman"/>
          <w:szCs w:val="32"/>
          <w:lang w:val="fr-FR"/>
        </w:rPr>
        <w:t xml:space="preserve">   </w:t>
      </w:r>
      <w:proofErr w:type="spellStart"/>
      <w:r>
        <w:rPr>
          <w:rFonts w:eastAsia="MS Mincho" w:cs="Times New Roman"/>
          <w:szCs w:val="32"/>
          <w:lang w:val="fr-FR"/>
        </w:rPr>
        <w:t>Buyer</w:t>
      </w:r>
      <w:proofErr w:type="spellEnd"/>
      <w:r w:rsidRPr="00DD50BE">
        <w:rPr>
          <w:rFonts w:eastAsia="MS Mincho" w:cs="Times New Roman"/>
          <w:szCs w:val="32"/>
          <w:lang w:val="fr-FR"/>
        </w:rPr>
        <w:t xml:space="preserve"> Y</w:t>
      </w:r>
    </w:p>
    <w:p w:rsidR="002B421C" w:rsidRDefault="002B421C" w:rsidP="00A05F16">
      <w:pPr>
        <w:spacing w:after="120" w:line="240" w:lineRule="auto"/>
        <w:jc w:val="both"/>
        <w:rPr>
          <w:rFonts w:eastAsia="MS Mincho" w:cs="Times New Roman"/>
          <w:noProof/>
          <w:szCs w:val="32"/>
          <w:lang w:val="fr-FR"/>
        </w:rPr>
      </w:pPr>
    </w:p>
    <w:p w:rsidR="002B421C" w:rsidRPr="002B421C" w:rsidRDefault="002B421C" w:rsidP="00A05F16">
      <w:pPr>
        <w:spacing w:after="120" w:line="240" w:lineRule="auto"/>
        <w:jc w:val="both"/>
        <w:rPr>
          <w:rFonts w:eastAsia="MS Mincho" w:cs="Times New Roman"/>
          <w:noProof/>
          <w:szCs w:val="32"/>
        </w:rPr>
      </w:pPr>
      <w:r w:rsidRPr="002B421C">
        <w:rPr>
          <w:rFonts w:eastAsia="MS Mincho" w:cs="Times New Roman"/>
          <w:b/>
          <w:noProof/>
          <w:szCs w:val="32"/>
        </w:rPr>
        <w:t>Scenario 2 </w:t>
      </w:r>
      <w:r w:rsidRPr="002B421C">
        <w:rPr>
          <w:rFonts w:eastAsia="MS Mincho" w:cs="Times New Roman"/>
          <w:noProof/>
          <w:szCs w:val="32"/>
        </w:rPr>
        <w:t>: the issuer does not indemnify fractions OR fractions are indemnified but the refer</w:t>
      </w:r>
      <w:r>
        <w:rPr>
          <w:rFonts w:eastAsia="MS Mincho" w:cs="Times New Roman"/>
          <w:noProof/>
          <w:szCs w:val="32"/>
        </w:rPr>
        <w:t>e</w:t>
      </w:r>
      <w:r w:rsidRPr="002B421C">
        <w:rPr>
          <w:rFonts w:eastAsia="MS Mincho" w:cs="Times New Roman"/>
          <w:noProof/>
          <w:szCs w:val="32"/>
        </w:rPr>
        <w:t xml:space="preserve">nce price is communicated </w:t>
      </w:r>
      <w:r>
        <w:rPr>
          <w:rFonts w:eastAsia="MS Mincho" w:cs="Times New Roman"/>
          <w:noProof/>
          <w:szCs w:val="32"/>
          <w:u w:val="single"/>
        </w:rPr>
        <w:t>after</w:t>
      </w:r>
      <w:r>
        <w:rPr>
          <w:rFonts w:eastAsia="MS Mincho" w:cs="Times New Roman"/>
          <w:noProof/>
          <w:szCs w:val="32"/>
        </w:rPr>
        <w:t xml:space="preserve"> the RD.</w:t>
      </w:r>
    </w:p>
    <w:p w:rsidR="002B421C" w:rsidRDefault="002B421C" w:rsidP="00A05F16">
      <w:pPr>
        <w:spacing w:after="120" w:line="240" w:lineRule="auto"/>
        <w:jc w:val="both"/>
        <w:rPr>
          <w:rFonts w:eastAsia="MS Mincho" w:cs="Times New Roman"/>
          <w:noProof/>
          <w:szCs w:val="32"/>
        </w:rPr>
      </w:pPr>
      <w:r>
        <w:rPr>
          <w:rFonts w:eastAsia="MS Mincho" w:cs="Times New Roman"/>
          <w:noProof/>
          <w:szCs w:val="32"/>
        </w:rPr>
        <w:t>After the cancellation of the underlying instruction by Euroclear, market participants will have to send the follo</w:t>
      </w:r>
      <w:r w:rsidR="006D0683">
        <w:rPr>
          <w:rFonts w:eastAsia="MS Mincho" w:cs="Times New Roman"/>
          <w:noProof/>
          <w:szCs w:val="32"/>
        </w:rPr>
        <w:t>w</w:t>
      </w:r>
      <w:r>
        <w:rPr>
          <w:rFonts w:eastAsia="MS Mincho" w:cs="Times New Roman"/>
          <w:noProof/>
          <w:szCs w:val="32"/>
        </w:rPr>
        <w:t>ing instructions:</w:t>
      </w:r>
    </w:p>
    <w:p w:rsidR="002B421C" w:rsidRDefault="002B421C" w:rsidP="002B421C">
      <w:pPr>
        <w:pStyle w:val="ListParagraph"/>
        <w:numPr>
          <w:ilvl w:val="0"/>
          <w:numId w:val="21"/>
        </w:numPr>
        <w:spacing w:after="120" w:line="240" w:lineRule="auto"/>
        <w:jc w:val="both"/>
        <w:rPr>
          <w:rFonts w:eastAsia="MS Mincho" w:cs="Times New Roman"/>
          <w:noProof/>
          <w:szCs w:val="32"/>
        </w:rPr>
      </w:pPr>
      <w:r>
        <w:rPr>
          <w:rFonts w:eastAsia="MS Mincho" w:cs="Times New Roman"/>
          <w:noProof/>
          <w:szCs w:val="32"/>
        </w:rPr>
        <w:t>A delivery vs payment instruction from the seller to the buyer to transfer the new securities rounded to the inferior in exchange for the initial transaction amount</w:t>
      </w:r>
    </w:p>
    <w:p w:rsidR="002B421C" w:rsidRPr="002B421C" w:rsidRDefault="002B421C" w:rsidP="002B421C">
      <w:pPr>
        <w:pStyle w:val="ListParagraph"/>
        <w:numPr>
          <w:ilvl w:val="0"/>
          <w:numId w:val="21"/>
        </w:numPr>
        <w:spacing w:after="120" w:line="240" w:lineRule="auto"/>
        <w:jc w:val="both"/>
        <w:rPr>
          <w:rFonts w:eastAsia="MS Mincho" w:cs="Times New Roman"/>
          <w:noProof/>
          <w:szCs w:val="32"/>
        </w:rPr>
      </w:pPr>
      <w:r>
        <w:rPr>
          <w:rFonts w:eastAsia="MS Mincho" w:cs="Times New Roman"/>
          <w:noProof/>
          <w:szCs w:val="32"/>
        </w:rPr>
        <w:t>The fractions in the transformation is ignored.</w:t>
      </w:r>
    </w:p>
    <w:p w:rsidR="0021229D" w:rsidRPr="006A4780" w:rsidRDefault="002B421C" w:rsidP="00A05F16">
      <w:pPr>
        <w:spacing w:after="120" w:line="240" w:lineRule="auto"/>
        <w:jc w:val="both"/>
        <w:rPr>
          <w:rFonts w:eastAsia="MS Mincho" w:cs="Times New Roman"/>
          <w:noProof/>
          <w:szCs w:val="32"/>
          <w:u w:val="single"/>
        </w:rPr>
      </w:pPr>
      <w:r w:rsidRPr="006A4780">
        <w:rPr>
          <w:rFonts w:eastAsia="MS Mincho" w:cs="Times New Roman"/>
          <w:noProof/>
          <w:szCs w:val="32"/>
          <w:u w:val="single"/>
        </w:rPr>
        <w:lastRenderedPageBreak/>
        <w:t>A DVP instruction</w:t>
      </w:r>
    </w:p>
    <w:p w:rsidR="00303A55" w:rsidRPr="006A4780" w:rsidRDefault="00303A55" w:rsidP="00303A55">
      <w:pPr>
        <w:spacing w:after="0"/>
        <w:rPr>
          <w:rFonts w:eastAsia="MS Mincho" w:cs="Times New Roman"/>
          <w:szCs w:val="32"/>
        </w:rPr>
      </w:pPr>
      <w:r w:rsidRPr="006A4780">
        <w:rPr>
          <w:rFonts w:eastAsia="MS Mincho" w:cs="Times New Roman"/>
          <w:szCs w:val="32"/>
        </w:rPr>
        <w:t xml:space="preserve">                                       35 Securities B </w:t>
      </w:r>
    </w:p>
    <w:p w:rsidR="00303A55" w:rsidRPr="006A4780" w:rsidRDefault="00303A55" w:rsidP="00303A55">
      <w:pPr>
        <w:spacing w:after="0"/>
        <w:rPr>
          <w:rFonts w:eastAsia="MS Mincho" w:cs="Times New Roman"/>
          <w:szCs w:val="32"/>
        </w:rPr>
      </w:pPr>
      <w:r w:rsidRPr="006A4780">
        <w:rPr>
          <w:rFonts w:eastAsia="MS Mincho" w:cs="Times New Roman"/>
          <w:szCs w:val="32"/>
        </w:rPr>
        <w:t>Seller X   ------------------------------------------</w:t>
      </w:r>
      <w:r w:rsidRPr="00303A55">
        <w:rPr>
          <w:rFonts w:eastAsia="MS Mincho" w:cs="Times New Roman"/>
          <w:szCs w:val="32"/>
          <w:lang w:val="fr-FR"/>
        </w:rPr>
        <w:sym w:font="Wingdings" w:char="F0E0"/>
      </w:r>
      <w:r w:rsidRPr="006A4780">
        <w:rPr>
          <w:rFonts w:eastAsia="MS Mincho" w:cs="Times New Roman"/>
          <w:szCs w:val="32"/>
        </w:rPr>
        <w:t xml:space="preserve">   Buyer Y</w:t>
      </w:r>
    </w:p>
    <w:p w:rsidR="00303A55" w:rsidRPr="006A4780" w:rsidRDefault="00303A55" w:rsidP="00303A55">
      <w:pPr>
        <w:spacing w:after="0"/>
        <w:rPr>
          <w:rFonts w:eastAsia="MS Mincho" w:cs="Times New Roman"/>
          <w:szCs w:val="32"/>
        </w:rPr>
      </w:pPr>
      <w:r w:rsidRPr="006A4780">
        <w:rPr>
          <w:rFonts w:eastAsia="MS Mincho" w:cs="Times New Roman"/>
          <w:szCs w:val="32"/>
        </w:rPr>
        <w:t xml:space="preserve">                     &lt; ------------------------------------------</w:t>
      </w:r>
    </w:p>
    <w:p w:rsidR="00303A55" w:rsidRPr="006A4780" w:rsidRDefault="00303A55" w:rsidP="00303A55">
      <w:pPr>
        <w:spacing w:after="0"/>
        <w:rPr>
          <w:rFonts w:eastAsia="MS Mincho" w:cs="Times New Roman"/>
          <w:szCs w:val="32"/>
        </w:rPr>
      </w:pPr>
      <w:r w:rsidRPr="006A4780">
        <w:rPr>
          <w:rFonts w:eastAsia="MS Mincho" w:cs="Times New Roman"/>
          <w:szCs w:val="32"/>
        </w:rPr>
        <w:t xml:space="preserve">                                      100 EUR</w:t>
      </w:r>
    </w:p>
    <w:p w:rsidR="0021229D" w:rsidRPr="006A4780" w:rsidRDefault="0021229D" w:rsidP="00A05F16">
      <w:pPr>
        <w:spacing w:after="120" w:line="240" w:lineRule="auto"/>
        <w:jc w:val="both"/>
        <w:rPr>
          <w:rFonts w:eastAsia="MS Mincho" w:cs="Times New Roman"/>
          <w:noProof/>
          <w:szCs w:val="32"/>
        </w:rPr>
      </w:pPr>
    </w:p>
    <w:p w:rsidR="00212EB3" w:rsidRPr="006A4780" w:rsidRDefault="00212EB3">
      <w:pPr>
        <w:rPr>
          <w:rFonts w:eastAsia="MS Mincho" w:cs="Times New Roman"/>
          <w:noProof/>
          <w:szCs w:val="32"/>
        </w:rPr>
      </w:pPr>
      <w:r w:rsidRPr="006A4780">
        <w:rPr>
          <w:rFonts w:eastAsia="MS Mincho" w:cs="Times New Roman"/>
          <w:noProof/>
          <w:szCs w:val="32"/>
        </w:rPr>
        <w:br w:type="page"/>
      </w:r>
    </w:p>
    <w:p w:rsidR="00212EB3" w:rsidRPr="00212EB3" w:rsidRDefault="00212EB3" w:rsidP="00212EB3">
      <w:pPr>
        <w:spacing w:after="0" w:line="240" w:lineRule="auto"/>
        <w:jc w:val="center"/>
        <w:rPr>
          <w:rFonts w:eastAsia="MS Mincho" w:cs="Times New Roman"/>
          <w:b/>
          <w:noProof/>
          <w:szCs w:val="32"/>
        </w:rPr>
      </w:pPr>
      <w:r w:rsidRPr="00212EB3">
        <w:rPr>
          <w:rFonts w:eastAsia="MS Mincho" w:cs="Times New Roman"/>
          <w:b/>
          <w:noProof/>
          <w:szCs w:val="32"/>
        </w:rPr>
        <w:lastRenderedPageBreak/>
        <w:t xml:space="preserve">APPENDIX 2 – Mandatory reorganizations in </w:t>
      </w:r>
      <w:r>
        <w:rPr>
          <w:rFonts w:eastAsia="MS Mincho" w:cs="Times New Roman"/>
          <w:b/>
          <w:noProof/>
          <w:szCs w:val="32"/>
        </w:rPr>
        <w:t>cash</w:t>
      </w:r>
    </w:p>
    <w:p w:rsidR="00212EB3" w:rsidRDefault="00212EB3" w:rsidP="00212EB3">
      <w:pPr>
        <w:spacing w:after="0" w:line="240" w:lineRule="auto"/>
        <w:rPr>
          <w:rFonts w:eastAsia="MS Mincho" w:cs="Times New Roman"/>
          <w:noProof/>
          <w:szCs w:val="32"/>
        </w:rPr>
      </w:pPr>
    </w:p>
    <w:p w:rsidR="00212EB3" w:rsidRDefault="00212EB3" w:rsidP="00DA614C">
      <w:pPr>
        <w:spacing w:after="120" w:line="240" w:lineRule="auto"/>
        <w:jc w:val="both"/>
        <w:rPr>
          <w:rFonts w:eastAsia="MS Mincho" w:cs="Times New Roman"/>
          <w:noProof/>
          <w:szCs w:val="32"/>
        </w:rPr>
      </w:pPr>
      <w:r w:rsidRPr="00212EB3">
        <w:rPr>
          <w:rFonts w:eastAsia="MS Mincho" w:cs="Times New Roman"/>
          <w:b/>
          <w:noProof/>
          <w:szCs w:val="32"/>
          <w:u w:val="single"/>
        </w:rPr>
        <w:t>Example 1</w:t>
      </w:r>
      <w:r>
        <w:rPr>
          <w:rFonts w:eastAsia="MS Mincho" w:cs="Times New Roman"/>
          <w:noProof/>
          <w:szCs w:val="32"/>
        </w:rPr>
        <w:t>: Final redemption (REDM). According to the terms of the corporate action, each bond C is redeemed for 3</w:t>
      </w:r>
      <w:r w:rsidR="00DA614C">
        <w:rPr>
          <w:rFonts w:eastAsia="MS Mincho" w:cs="Times New Roman"/>
          <w:noProof/>
          <w:szCs w:val="32"/>
        </w:rPr>
        <w:t>,</w:t>
      </w:r>
      <w:r>
        <w:rPr>
          <w:rFonts w:eastAsia="MS Mincho" w:cs="Times New Roman"/>
          <w:noProof/>
          <w:szCs w:val="32"/>
        </w:rPr>
        <w:t>000 EUR.</w:t>
      </w:r>
    </w:p>
    <w:p w:rsidR="00212EB3" w:rsidRDefault="00212EB3" w:rsidP="00DA614C">
      <w:pPr>
        <w:spacing w:after="120" w:line="240" w:lineRule="auto"/>
        <w:jc w:val="both"/>
        <w:rPr>
          <w:rFonts w:eastAsia="MS Mincho" w:cs="Times New Roman"/>
          <w:noProof/>
          <w:szCs w:val="32"/>
        </w:rPr>
      </w:pPr>
      <w:r>
        <w:rPr>
          <w:rFonts w:eastAsia="MS Mincho" w:cs="Times New Roman"/>
          <w:noProof/>
          <w:szCs w:val="32"/>
        </w:rPr>
        <w:t xml:space="preserve">At RD COB, the following delivery vs payment instruction is matched and </w:t>
      </w:r>
      <w:r w:rsidR="00DA614C">
        <w:rPr>
          <w:rFonts w:eastAsia="MS Mincho" w:cs="Times New Roman"/>
          <w:noProof/>
          <w:szCs w:val="32"/>
        </w:rPr>
        <w:t xml:space="preserve">not </w:t>
      </w:r>
      <w:r>
        <w:rPr>
          <w:rFonts w:eastAsia="MS Mincho" w:cs="Times New Roman"/>
          <w:noProof/>
          <w:szCs w:val="32"/>
        </w:rPr>
        <w:t>settled.</w:t>
      </w:r>
    </w:p>
    <w:p w:rsidR="00212EB3" w:rsidRPr="006A4780" w:rsidRDefault="00212EB3" w:rsidP="00DA614C">
      <w:pPr>
        <w:spacing w:after="0"/>
        <w:jc w:val="both"/>
        <w:rPr>
          <w:rFonts w:eastAsia="MS Mincho" w:cs="Times New Roman"/>
          <w:noProof/>
          <w:szCs w:val="32"/>
        </w:rPr>
      </w:pPr>
      <w:r w:rsidRPr="00DA614C">
        <w:rPr>
          <w:rFonts w:eastAsia="MS Mincho" w:cs="Times New Roman"/>
          <w:noProof/>
          <w:szCs w:val="32"/>
        </w:rPr>
        <w:t xml:space="preserve">                                             </w:t>
      </w:r>
      <w:r w:rsidRPr="006A4780">
        <w:rPr>
          <w:rFonts w:eastAsia="MS Mincho" w:cs="Times New Roman"/>
          <w:noProof/>
          <w:szCs w:val="32"/>
        </w:rPr>
        <w:t xml:space="preserve">100 Bonds C </w:t>
      </w:r>
    </w:p>
    <w:p w:rsidR="00212EB3" w:rsidRPr="006A4780" w:rsidRDefault="00212EB3" w:rsidP="00DA614C">
      <w:pPr>
        <w:spacing w:after="0"/>
        <w:jc w:val="both"/>
        <w:rPr>
          <w:rFonts w:eastAsia="MS Mincho" w:cs="Times New Roman"/>
          <w:noProof/>
          <w:szCs w:val="32"/>
        </w:rPr>
      </w:pPr>
      <w:r w:rsidRPr="006A4780">
        <w:rPr>
          <w:rFonts w:eastAsia="MS Mincho" w:cs="Times New Roman"/>
          <w:noProof/>
          <w:szCs w:val="32"/>
        </w:rPr>
        <w:t xml:space="preserve">Seller X       ----------------------------------------------------- </w:t>
      </w:r>
      <w:r w:rsidRPr="00DD50BE">
        <w:rPr>
          <w:rFonts w:eastAsia="MS Mincho" w:cs="Times New Roman"/>
          <w:noProof/>
          <w:szCs w:val="32"/>
          <w:lang w:val="fr-FR"/>
        </w:rPr>
        <w:sym w:font="Wingdings" w:char="F0E0"/>
      </w:r>
      <w:r w:rsidRPr="006A4780">
        <w:rPr>
          <w:rFonts w:eastAsia="MS Mincho" w:cs="Times New Roman"/>
          <w:noProof/>
          <w:szCs w:val="32"/>
        </w:rPr>
        <w:t xml:space="preserve">       Buyer Y</w:t>
      </w:r>
    </w:p>
    <w:p w:rsidR="00212EB3" w:rsidRPr="006A4780" w:rsidRDefault="00212EB3" w:rsidP="00DA614C">
      <w:pPr>
        <w:spacing w:after="0"/>
        <w:jc w:val="both"/>
        <w:rPr>
          <w:rFonts w:eastAsia="MS Mincho" w:cs="Times New Roman"/>
          <w:noProof/>
          <w:szCs w:val="32"/>
        </w:rPr>
      </w:pPr>
      <w:r w:rsidRPr="006A4780">
        <w:rPr>
          <w:rFonts w:eastAsia="MS Mincho" w:cs="Times New Roman"/>
          <w:noProof/>
          <w:szCs w:val="32"/>
        </w:rPr>
        <w:t xml:space="preserve">                          &lt;  --------------------------------------------------   </w:t>
      </w:r>
    </w:p>
    <w:p w:rsidR="00212EB3" w:rsidRPr="006A4780" w:rsidRDefault="00212EB3" w:rsidP="00DA614C">
      <w:pPr>
        <w:spacing w:after="0"/>
        <w:jc w:val="both"/>
        <w:rPr>
          <w:rFonts w:eastAsia="MS Mincho" w:cs="Times New Roman"/>
          <w:noProof/>
          <w:szCs w:val="32"/>
        </w:rPr>
      </w:pPr>
      <w:r w:rsidRPr="006A4780">
        <w:rPr>
          <w:rFonts w:eastAsia="MS Mincho" w:cs="Times New Roman"/>
          <w:noProof/>
          <w:szCs w:val="32"/>
        </w:rPr>
        <w:t xml:space="preserve">                    </w:t>
      </w:r>
      <w:r w:rsidR="00DA614C" w:rsidRPr="006A4780">
        <w:rPr>
          <w:rFonts w:eastAsia="MS Mincho" w:cs="Times New Roman"/>
          <w:noProof/>
          <w:szCs w:val="32"/>
        </w:rPr>
        <w:t xml:space="preserve">                           300,</w:t>
      </w:r>
      <w:r w:rsidRPr="006A4780">
        <w:rPr>
          <w:rFonts w:eastAsia="MS Mincho" w:cs="Times New Roman"/>
          <w:noProof/>
          <w:szCs w:val="32"/>
        </w:rPr>
        <w:t>005 EUR</w:t>
      </w:r>
    </w:p>
    <w:p w:rsidR="00212EB3" w:rsidRPr="006A4780" w:rsidRDefault="00212EB3" w:rsidP="00DA614C">
      <w:pPr>
        <w:spacing w:after="120" w:line="240" w:lineRule="auto"/>
        <w:jc w:val="both"/>
        <w:rPr>
          <w:rFonts w:eastAsia="MS Mincho" w:cs="Times New Roman"/>
          <w:noProof/>
          <w:szCs w:val="32"/>
        </w:rPr>
      </w:pPr>
    </w:p>
    <w:p w:rsidR="00212EB3" w:rsidRDefault="00DA614C" w:rsidP="00DA614C">
      <w:pPr>
        <w:spacing w:after="120" w:line="240" w:lineRule="auto"/>
        <w:jc w:val="both"/>
        <w:rPr>
          <w:rFonts w:eastAsia="MS Mincho" w:cs="Times New Roman"/>
          <w:noProof/>
          <w:szCs w:val="32"/>
        </w:rPr>
      </w:pPr>
      <w:r>
        <w:rPr>
          <w:rFonts w:eastAsia="MS Mincho" w:cs="Times New Roman"/>
          <w:noProof/>
          <w:szCs w:val="32"/>
        </w:rPr>
        <w:t xml:space="preserve">After the cancellation </w:t>
      </w:r>
      <w:r w:rsidR="006D0683">
        <w:rPr>
          <w:rFonts w:eastAsia="MS Mincho" w:cs="Times New Roman"/>
          <w:noProof/>
          <w:szCs w:val="32"/>
        </w:rPr>
        <w:t>of the instruction by Euroclear</w:t>
      </w:r>
      <w:r>
        <w:rPr>
          <w:rFonts w:eastAsia="MS Mincho" w:cs="Times New Roman"/>
          <w:noProof/>
          <w:szCs w:val="32"/>
        </w:rPr>
        <w:t>, market participants will have to bilaterally agree and make one single cash transfer.</w:t>
      </w:r>
    </w:p>
    <w:p w:rsidR="00DA614C" w:rsidRDefault="00DA614C" w:rsidP="00DA614C">
      <w:pPr>
        <w:spacing w:after="120" w:line="240" w:lineRule="auto"/>
        <w:jc w:val="both"/>
        <w:rPr>
          <w:rFonts w:eastAsia="MS Mincho" w:cs="Times New Roman"/>
          <w:noProof/>
          <w:szCs w:val="32"/>
        </w:rPr>
      </w:pPr>
      <w:r>
        <w:rPr>
          <w:rFonts w:eastAsia="MS Mincho" w:cs="Times New Roman"/>
          <w:noProof/>
          <w:szCs w:val="32"/>
        </w:rPr>
        <w:t>The amount corresponding to the final redemption is 300,000 EUR = 100 bonds * 3,000 EUR.</w:t>
      </w:r>
    </w:p>
    <w:p w:rsidR="00212EB3" w:rsidRDefault="00DA614C" w:rsidP="00DA614C">
      <w:pPr>
        <w:spacing w:after="120" w:line="240" w:lineRule="auto"/>
        <w:jc w:val="both"/>
        <w:rPr>
          <w:rFonts w:eastAsia="MS Mincho" w:cs="Times New Roman"/>
          <w:noProof/>
          <w:szCs w:val="32"/>
        </w:rPr>
      </w:pPr>
      <w:r>
        <w:rPr>
          <w:rFonts w:eastAsia="MS Mincho" w:cs="Times New Roman"/>
          <w:noProof/>
          <w:szCs w:val="32"/>
        </w:rPr>
        <w:t xml:space="preserve">The initial transaction amount is 300,005 EUR. The difference </w:t>
      </w:r>
      <w:r w:rsidR="007E2FA3">
        <w:rPr>
          <w:rFonts w:eastAsia="MS Mincho" w:cs="Times New Roman"/>
          <w:noProof/>
          <w:szCs w:val="32"/>
        </w:rPr>
        <w:t xml:space="preserve">between the two </w:t>
      </w:r>
      <w:r>
        <w:rPr>
          <w:rFonts w:eastAsia="MS Mincho" w:cs="Times New Roman"/>
          <w:noProof/>
          <w:szCs w:val="32"/>
        </w:rPr>
        <w:t>amounts to 5 EUR. In this case, the buyer owes the seller 5 EUR.</w:t>
      </w:r>
    </w:p>
    <w:p w:rsidR="00DA614C" w:rsidRDefault="00DA614C" w:rsidP="00DA614C">
      <w:pPr>
        <w:spacing w:after="120" w:line="240" w:lineRule="auto"/>
        <w:jc w:val="both"/>
        <w:rPr>
          <w:rFonts w:eastAsia="MS Mincho" w:cs="Times New Roman"/>
          <w:noProof/>
          <w:szCs w:val="32"/>
        </w:rPr>
      </w:pPr>
      <w:r>
        <w:rPr>
          <w:rFonts w:eastAsia="MS Mincho" w:cs="Times New Roman"/>
          <w:noProof/>
          <w:szCs w:val="32"/>
        </w:rPr>
        <w:t>The seller will reclaim 5 EUR to the buyer by e-mail using the form. It will be the party that must receive the cash that will send its request to its counterparty by e-mail.</w:t>
      </w:r>
    </w:p>
    <w:p w:rsidR="00DA614C" w:rsidRDefault="00DA614C" w:rsidP="00DA614C">
      <w:pPr>
        <w:spacing w:after="120" w:line="240" w:lineRule="auto"/>
        <w:jc w:val="both"/>
        <w:rPr>
          <w:rFonts w:eastAsia="MS Mincho" w:cs="Times New Roman"/>
          <w:noProof/>
          <w:szCs w:val="32"/>
        </w:rPr>
      </w:pPr>
    </w:p>
    <w:p w:rsidR="00DA614C" w:rsidRPr="00212EB3" w:rsidRDefault="00DA614C" w:rsidP="00DA614C">
      <w:pPr>
        <w:spacing w:after="120" w:line="240" w:lineRule="auto"/>
        <w:jc w:val="both"/>
        <w:rPr>
          <w:rFonts w:eastAsia="MS Mincho" w:cs="Times New Roman"/>
          <w:noProof/>
          <w:szCs w:val="32"/>
        </w:rPr>
      </w:pPr>
      <w:r w:rsidRPr="00DA614C">
        <w:rPr>
          <w:rFonts w:eastAsia="MS Mincho" w:cs="Times New Roman"/>
          <w:b/>
          <w:noProof/>
          <w:szCs w:val="32"/>
        </w:rPr>
        <w:t>Example 2</w:t>
      </w:r>
      <w:r>
        <w:rPr>
          <w:rFonts w:eastAsia="MS Mincho" w:cs="Times New Roman"/>
          <w:noProof/>
          <w:szCs w:val="32"/>
        </w:rPr>
        <w:t>: Final redemption (REDM). According to the terms of the corporate action, each bond C is redeemed at 3,000 EUR.</w:t>
      </w:r>
    </w:p>
    <w:p w:rsidR="00DA614C" w:rsidRDefault="00DA614C" w:rsidP="00DA614C">
      <w:pPr>
        <w:spacing w:after="120" w:line="240" w:lineRule="auto"/>
        <w:jc w:val="both"/>
        <w:rPr>
          <w:rFonts w:eastAsia="MS Mincho" w:cs="Times New Roman"/>
          <w:noProof/>
          <w:szCs w:val="32"/>
        </w:rPr>
      </w:pPr>
      <w:r>
        <w:rPr>
          <w:rFonts w:eastAsia="MS Mincho" w:cs="Times New Roman"/>
          <w:noProof/>
          <w:szCs w:val="32"/>
        </w:rPr>
        <w:t>At RD COB, the following delivery vs payment instruction is matched and not settled.</w:t>
      </w:r>
    </w:p>
    <w:p w:rsidR="007E2FA3" w:rsidRPr="006A4780" w:rsidRDefault="007E2FA3" w:rsidP="007E2FA3">
      <w:pPr>
        <w:spacing w:after="0"/>
        <w:rPr>
          <w:rFonts w:eastAsia="MS Mincho" w:cs="Times New Roman"/>
          <w:noProof/>
          <w:szCs w:val="32"/>
        </w:rPr>
      </w:pPr>
      <w:r w:rsidRPr="006A4780">
        <w:rPr>
          <w:rFonts w:eastAsia="MS Mincho" w:cs="Times New Roman"/>
          <w:noProof/>
          <w:szCs w:val="32"/>
        </w:rPr>
        <w:t xml:space="preserve">                                             100 Bonds C </w:t>
      </w:r>
    </w:p>
    <w:p w:rsidR="007E2FA3" w:rsidRPr="006A4780" w:rsidRDefault="007E2FA3" w:rsidP="007E2FA3">
      <w:pPr>
        <w:spacing w:after="0"/>
        <w:rPr>
          <w:rFonts w:eastAsia="MS Mincho" w:cs="Times New Roman"/>
          <w:noProof/>
          <w:szCs w:val="32"/>
        </w:rPr>
      </w:pPr>
      <w:r w:rsidRPr="006A4780">
        <w:rPr>
          <w:rFonts w:eastAsia="MS Mincho" w:cs="Times New Roman"/>
          <w:noProof/>
          <w:szCs w:val="32"/>
        </w:rPr>
        <w:t xml:space="preserve">Seller X       ----------------------------------------------------- </w:t>
      </w:r>
      <w:r w:rsidRPr="00DD50BE">
        <w:rPr>
          <w:rFonts w:eastAsia="MS Mincho" w:cs="Times New Roman"/>
          <w:noProof/>
          <w:szCs w:val="32"/>
          <w:lang w:val="fr-FR"/>
        </w:rPr>
        <w:sym w:font="Wingdings" w:char="F0E0"/>
      </w:r>
      <w:r w:rsidRPr="006A4780">
        <w:rPr>
          <w:rFonts w:eastAsia="MS Mincho" w:cs="Times New Roman"/>
          <w:noProof/>
          <w:szCs w:val="32"/>
        </w:rPr>
        <w:t xml:space="preserve">       Buyer Y</w:t>
      </w:r>
    </w:p>
    <w:p w:rsidR="007E2FA3" w:rsidRPr="006A4780" w:rsidRDefault="007E2FA3" w:rsidP="007E2FA3">
      <w:pPr>
        <w:spacing w:after="0"/>
        <w:rPr>
          <w:rFonts w:eastAsia="MS Mincho" w:cs="Times New Roman"/>
          <w:noProof/>
          <w:szCs w:val="32"/>
        </w:rPr>
      </w:pPr>
      <w:r w:rsidRPr="006A4780">
        <w:rPr>
          <w:rFonts w:eastAsia="MS Mincho" w:cs="Times New Roman"/>
          <w:noProof/>
          <w:szCs w:val="32"/>
        </w:rPr>
        <w:t xml:space="preserve">                          &lt;  --------------------------------------------------   </w:t>
      </w:r>
    </w:p>
    <w:p w:rsidR="007E2FA3" w:rsidRPr="006A4780" w:rsidRDefault="007E2FA3" w:rsidP="007E2FA3">
      <w:pPr>
        <w:spacing w:after="0"/>
        <w:rPr>
          <w:rFonts w:eastAsia="MS Mincho" w:cs="Times New Roman"/>
          <w:noProof/>
          <w:szCs w:val="32"/>
        </w:rPr>
      </w:pPr>
      <w:r w:rsidRPr="006A4780">
        <w:rPr>
          <w:rFonts w:eastAsia="MS Mincho" w:cs="Times New Roman"/>
          <w:noProof/>
          <w:szCs w:val="32"/>
        </w:rPr>
        <w:t xml:space="preserve">                                               290,000 EUR</w:t>
      </w:r>
    </w:p>
    <w:p w:rsidR="00303A55" w:rsidRPr="006A4780" w:rsidRDefault="00303A55" w:rsidP="00DA614C">
      <w:pPr>
        <w:spacing w:after="120" w:line="240" w:lineRule="auto"/>
        <w:jc w:val="both"/>
        <w:rPr>
          <w:rFonts w:eastAsia="MS Mincho" w:cs="Times New Roman"/>
          <w:noProof/>
          <w:szCs w:val="32"/>
        </w:rPr>
      </w:pPr>
    </w:p>
    <w:p w:rsidR="00303A55" w:rsidRDefault="007E2FA3" w:rsidP="00DA614C">
      <w:pPr>
        <w:spacing w:after="120" w:line="240" w:lineRule="auto"/>
        <w:jc w:val="both"/>
        <w:rPr>
          <w:rFonts w:eastAsia="MS Mincho" w:cs="Times New Roman"/>
          <w:noProof/>
          <w:szCs w:val="32"/>
        </w:rPr>
      </w:pPr>
      <w:r w:rsidRPr="007E2FA3">
        <w:rPr>
          <w:rFonts w:eastAsia="MS Mincho" w:cs="Times New Roman"/>
          <w:noProof/>
          <w:szCs w:val="32"/>
        </w:rPr>
        <w:t xml:space="preserve">In this example : the seller </w:t>
      </w:r>
      <w:r>
        <w:rPr>
          <w:rFonts w:eastAsia="MS Mincho" w:cs="Times New Roman"/>
          <w:noProof/>
          <w:szCs w:val="32"/>
        </w:rPr>
        <w:t>delivers 100 bonds C which are redeemed at 3,000 EUR, amounting to a total of 300,000 EUR.</w:t>
      </w:r>
    </w:p>
    <w:p w:rsidR="007E2FA3" w:rsidRDefault="007E2FA3" w:rsidP="00DA614C">
      <w:pPr>
        <w:spacing w:after="120" w:line="240" w:lineRule="auto"/>
        <w:jc w:val="both"/>
        <w:rPr>
          <w:rFonts w:eastAsia="MS Mincho" w:cs="Times New Roman"/>
          <w:noProof/>
          <w:szCs w:val="32"/>
        </w:rPr>
      </w:pPr>
      <w:r>
        <w:rPr>
          <w:rFonts w:eastAsia="MS Mincho" w:cs="Times New Roman"/>
          <w:noProof/>
          <w:szCs w:val="32"/>
        </w:rPr>
        <w:t>The initial amount of the transaction is 290,000 EUR. The difference between the two amounts to 10,000 EUR. The seller owes 10,000 EUR to the buyer.</w:t>
      </w:r>
    </w:p>
    <w:p w:rsidR="007E2FA3" w:rsidRDefault="007E2FA3" w:rsidP="00DA614C">
      <w:pPr>
        <w:spacing w:after="120" w:line="240" w:lineRule="auto"/>
        <w:jc w:val="both"/>
        <w:rPr>
          <w:rFonts w:eastAsia="MS Mincho" w:cs="Times New Roman"/>
          <w:noProof/>
          <w:szCs w:val="32"/>
        </w:rPr>
      </w:pPr>
      <w:r>
        <w:rPr>
          <w:rFonts w:eastAsia="MS Mincho" w:cs="Times New Roman"/>
          <w:noProof/>
          <w:szCs w:val="32"/>
        </w:rPr>
        <w:t>The buyer must reclaim 10,000 EUR to the seller on the next business day ofter the RD using the form</w:t>
      </w:r>
      <w:r w:rsidRPr="007E2FA3">
        <w:rPr>
          <w:rFonts w:eastAsia="MS Mincho" w:cs="Times New Roman"/>
          <w:noProof/>
          <w:szCs w:val="32"/>
        </w:rPr>
        <w:t xml:space="preserve"> </w:t>
      </w:r>
      <w:r>
        <w:rPr>
          <w:rFonts w:eastAsia="MS Mincho" w:cs="Times New Roman"/>
          <w:noProof/>
          <w:szCs w:val="32"/>
        </w:rPr>
        <w:t>below.</w:t>
      </w:r>
    </w:p>
    <w:p w:rsidR="007E2FA3" w:rsidRDefault="007E2FA3" w:rsidP="00DA614C">
      <w:pPr>
        <w:spacing w:after="120" w:line="240" w:lineRule="auto"/>
        <w:jc w:val="both"/>
        <w:rPr>
          <w:rFonts w:eastAsia="MS Mincho" w:cs="Times New Roman"/>
          <w:noProof/>
          <w:szCs w:val="32"/>
        </w:rPr>
      </w:pPr>
      <w:r>
        <w:rPr>
          <w:rFonts w:eastAsia="MS Mincho" w:cs="Times New Roman"/>
          <w:noProof/>
          <w:szCs w:val="32"/>
        </w:rPr>
        <w:t>In case the initial underlying transaction is free of payment, only the amount of the corporate action will be transferred. In that case, it will be the buyer who will send its reclaim to the seller in order to get the proceeds back.</w:t>
      </w:r>
    </w:p>
    <w:p w:rsidR="007E2FA3" w:rsidRDefault="007E2FA3">
      <w:pPr>
        <w:rPr>
          <w:rFonts w:eastAsia="MS Mincho" w:cs="Times New Roman"/>
          <w:noProof/>
          <w:szCs w:val="32"/>
        </w:rPr>
      </w:pPr>
      <w:r>
        <w:rPr>
          <w:rFonts w:eastAsia="MS Mincho" w:cs="Times New Roman"/>
          <w:noProof/>
          <w:szCs w:val="32"/>
        </w:rPr>
        <w:br w:type="page"/>
      </w:r>
      <w:bookmarkStart w:id="0" w:name="_GoBack"/>
      <w:bookmarkEnd w:id="0"/>
    </w:p>
    <w:p w:rsidR="007E2FA3" w:rsidRPr="007E2FA3" w:rsidRDefault="007E2FA3" w:rsidP="007E2FA3">
      <w:pPr>
        <w:spacing w:after="120" w:line="240" w:lineRule="auto"/>
        <w:jc w:val="center"/>
        <w:rPr>
          <w:rFonts w:eastAsia="MS Mincho" w:cs="Times New Roman"/>
          <w:b/>
          <w:noProof/>
          <w:szCs w:val="32"/>
        </w:rPr>
      </w:pPr>
      <w:r w:rsidRPr="007E2FA3">
        <w:rPr>
          <w:rFonts w:eastAsia="MS Mincho" w:cs="Times New Roman"/>
          <w:b/>
          <w:noProof/>
          <w:szCs w:val="32"/>
        </w:rPr>
        <w:lastRenderedPageBreak/>
        <w:t>Appendix 3</w:t>
      </w:r>
      <w:r>
        <w:rPr>
          <w:rFonts w:eastAsia="MS Mincho" w:cs="Times New Roman"/>
          <w:b/>
          <w:noProof/>
          <w:szCs w:val="32"/>
        </w:rPr>
        <w:t xml:space="preserve"> – Form for Transformations in cash</w:t>
      </w:r>
    </w:p>
    <w:p w:rsidR="007E2FA3" w:rsidRPr="007E2FA3" w:rsidRDefault="00FC0877" w:rsidP="00FC0877">
      <w:pPr>
        <w:jc w:val="center"/>
        <w:rPr>
          <w:rFonts w:eastAsia="MS Mincho" w:cs="Times New Roman"/>
          <w:noProof/>
          <w:szCs w:val="32"/>
        </w:rPr>
      </w:pPr>
      <w:r w:rsidRPr="00FC0877">
        <w:drawing>
          <wp:inline distT="0" distB="0" distL="0" distR="0" wp14:anchorId="3248980A" wp14:editId="25FD9119">
            <wp:extent cx="5017066" cy="728133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17457" cy="7281901"/>
                    </a:xfrm>
                    <a:prstGeom prst="rect">
                      <a:avLst/>
                    </a:prstGeom>
                    <a:noFill/>
                    <a:ln>
                      <a:noFill/>
                    </a:ln>
                  </pic:spPr>
                </pic:pic>
              </a:graphicData>
            </a:graphic>
          </wp:inline>
        </w:drawing>
      </w:r>
    </w:p>
    <w:sectPr w:rsidR="007E2FA3" w:rsidRPr="007E2FA3" w:rsidSect="006D6846">
      <w:headerReference w:type="default" r:id="rId9"/>
      <w:footerReference w:type="default" r:id="rId10"/>
      <w:pgSz w:w="12240" w:h="15840"/>
      <w:pgMar w:top="14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3004" w:rsidRDefault="00383004" w:rsidP="006D6846">
      <w:pPr>
        <w:spacing w:after="0" w:line="240" w:lineRule="auto"/>
      </w:pPr>
      <w:r>
        <w:separator/>
      </w:r>
    </w:p>
  </w:endnote>
  <w:endnote w:type="continuationSeparator" w:id="0">
    <w:p w:rsidR="00383004" w:rsidRDefault="00383004" w:rsidP="006D6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auto"/>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9825659"/>
      <w:docPartObj>
        <w:docPartGallery w:val="Page Numbers (Bottom of Page)"/>
        <w:docPartUnique/>
      </w:docPartObj>
    </w:sdtPr>
    <w:sdtEndPr>
      <w:rPr>
        <w:noProof/>
      </w:rPr>
    </w:sdtEndPr>
    <w:sdtContent>
      <w:p w:rsidR="00A0160C" w:rsidRDefault="00A0160C">
        <w:pPr>
          <w:pStyle w:val="Footer"/>
          <w:jc w:val="right"/>
        </w:pPr>
        <w:r>
          <w:fldChar w:fldCharType="begin"/>
        </w:r>
        <w:r>
          <w:instrText xml:space="preserve"> PAGE   \* MERGEFORMAT </w:instrText>
        </w:r>
        <w:r>
          <w:fldChar w:fldCharType="separate"/>
        </w:r>
        <w:r w:rsidR="00FC0877">
          <w:rPr>
            <w:noProof/>
          </w:rPr>
          <w:t>15</w:t>
        </w:r>
        <w:r>
          <w:rPr>
            <w:noProof/>
          </w:rPr>
          <w:fldChar w:fldCharType="end"/>
        </w:r>
      </w:p>
    </w:sdtContent>
  </w:sdt>
  <w:p w:rsidR="00A0160C" w:rsidRDefault="00A016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3004" w:rsidRDefault="00383004" w:rsidP="006D6846">
      <w:pPr>
        <w:spacing w:after="0" w:line="240" w:lineRule="auto"/>
      </w:pPr>
      <w:r>
        <w:separator/>
      </w:r>
    </w:p>
  </w:footnote>
  <w:footnote w:type="continuationSeparator" w:id="0">
    <w:p w:rsidR="00383004" w:rsidRDefault="00383004" w:rsidP="006D68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798"/>
    </w:tblGrid>
    <w:tr w:rsidR="00A0160C" w:rsidTr="00EC776F">
      <w:tc>
        <w:tcPr>
          <w:tcW w:w="5778" w:type="dxa"/>
          <w:vAlign w:val="center"/>
        </w:tcPr>
        <w:p w:rsidR="00A0160C" w:rsidRPr="005B1C9D" w:rsidRDefault="00A0160C" w:rsidP="002650CD">
          <w:pPr>
            <w:pStyle w:val="Header"/>
            <w:jc w:val="center"/>
            <w:rPr>
              <w:b/>
            </w:rPr>
          </w:pPr>
          <w:r w:rsidRPr="005B1C9D">
            <w:rPr>
              <w:b/>
            </w:rPr>
            <w:t>T2S Market Practice Adaptation Workgroup</w:t>
          </w:r>
        </w:p>
        <w:p w:rsidR="00A0160C" w:rsidRPr="002650CD" w:rsidRDefault="00A0160C" w:rsidP="002650CD">
          <w:pPr>
            <w:pStyle w:val="Header"/>
            <w:jc w:val="center"/>
            <w:rPr>
              <w:b/>
            </w:rPr>
          </w:pPr>
          <w:r w:rsidRPr="005B1C9D">
            <w:rPr>
              <w:b/>
            </w:rPr>
            <w:t xml:space="preserve">Market Practice </w:t>
          </w:r>
          <w:r>
            <w:rPr>
              <w:b/>
            </w:rPr>
            <w:t>Sheet</w:t>
          </w:r>
        </w:p>
      </w:tc>
      <w:tc>
        <w:tcPr>
          <w:tcW w:w="3798" w:type="dxa"/>
          <w:vAlign w:val="center"/>
        </w:tcPr>
        <w:p w:rsidR="00A0160C" w:rsidRDefault="00A0160C" w:rsidP="00EC776F">
          <w:pPr>
            <w:pStyle w:val="Header"/>
            <w:jc w:val="center"/>
            <w:rPr>
              <w:b/>
              <w:lang w:val="fr-FR"/>
            </w:rPr>
          </w:pPr>
          <w:r>
            <w:rPr>
              <w:noProof/>
            </w:rPr>
            <w:drawing>
              <wp:inline distT="0" distB="0" distL="0" distR="0" wp14:anchorId="23DA1461" wp14:editId="004C9BFE">
                <wp:extent cx="1032931" cy="516467"/>
                <wp:effectExtent l="0" t="0" r="0" b="0"/>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228" cy="517116"/>
                        </a:xfrm>
                        <a:prstGeom prst="rect">
                          <a:avLst/>
                        </a:prstGeom>
                      </pic:spPr>
                    </pic:pic>
                  </a:graphicData>
                </a:graphic>
              </wp:inline>
            </w:drawing>
          </w:r>
          <w:r>
            <w:object w:dxaOrig="7200" w:dyaOrig="46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54pt" o:ole="">
                <v:imagedata r:id="rId2" o:title=""/>
              </v:shape>
              <o:OLEObject Type="Embed" ProgID="PBrush" ShapeID="_x0000_i1025" DrawAspect="Content" ObjectID="_1537273870" r:id="rId3"/>
            </w:object>
          </w:r>
        </w:p>
      </w:tc>
    </w:tr>
    <w:tr w:rsidR="00A0160C" w:rsidRPr="00776CD9" w:rsidTr="00EC776F">
      <w:tc>
        <w:tcPr>
          <w:tcW w:w="5778" w:type="dxa"/>
          <w:vAlign w:val="center"/>
        </w:tcPr>
        <w:p w:rsidR="00A0160C" w:rsidRPr="001B5915" w:rsidRDefault="00A0160C" w:rsidP="00756030">
          <w:pPr>
            <w:pStyle w:val="Header"/>
            <w:rPr>
              <w:i/>
            </w:rPr>
          </w:pPr>
          <w:r>
            <w:rPr>
              <w:i/>
            </w:rPr>
            <w:t>Practice</w:t>
          </w:r>
          <w:r w:rsidRPr="0033411F">
            <w:rPr>
              <w:i/>
            </w:rPr>
            <w:t xml:space="preserve"> reference</w:t>
          </w:r>
          <w:r w:rsidRPr="00B3406E">
            <w:rPr>
              <w:i/>
            </w:rPr>
            <w:t xml:space="preserve">: </w:t>
          </w:r>
          <w:r w:rsidRPr="00B90628">
            <w:rPr>
              <w:i/>
              <w:lang w:val="fr-FR"/>
            </w:rPr>
            <w:t>OS-OST-TRANSFO-01</w:t>
          </w:r>
        </w:p>
      </w:tc>
      <w:tc>
        <w:tcPr>
          <w:tcW w:w="3798" w:type="dxa"/>
          <w:vAlign w:val="center"/>
        </w:tcPr>
        <w:p w:rsidR="00A0160C" w:rsidRPr="00B3406E" w:rsidRDefault="00A0160C" w:rsidP="00EC776F">
          <w:pPr>
            <w:pStyle w:val="Header"/>
            <w:jc w:val="center"/>
            <w:rPr>
              <w:noProof/>
            </w:rPr>
          </w:pPr>
        </w:p>
      </w:tc>
    </w:tr>
  </w:tbl>
  <w:p w:rsidR="00A0160C" w:rsidRPr="00B3406E" w:rsidRDefault="00A0160C">
    <w:pPr>
      <w:pStyle w:val="Header"/>
      <w:rPr>
        <w:b/>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44BC6"/>
    <w:multiLevelType w:val="hybridMultilevel"/>
    <w:tmpl w:val="2C0049D2"/>
    <w:lvl w:ilvl="0" w:tplc="A162A862">
      <w:start w:val="1"/>
      <w:numFmt w:val="bullet"/>
      <w:lvlText w:val=""/>
      <w:lvlJc w:val="left"/>
      <w:pPr>
        <w:ind w:left="1140" w:hanging="360"/>
      </w:pPr>
      <w:rPr>
        <w:rFonts w:ascii="Wingdings" w:eastAsia="MS Mincho" w:hAnsi="Wingdings" w:cs="Times New Roman"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
    <w:nsid w:val="049741B3"/>
    <w:multiLevelType w:val="hybridMultilevel"/>
    <w:tmpl w:val="1B20EB06"/>
    <w:lvl w:ilvl="0" w:tplc="437E9AEE">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72706BD"/>
    <w:multiLevelType w:val="hybridMultilevel"/>
    <w:tmpl w:val="26C48420"/>
    <w:lvl w:ilvl="0" w:tplc="F6FE39A0">
      <w:start w:val="4"/>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7A094A"/>
    <w:multiLevelType w:val="hybridMultilevel"/>
    <w:tmpl w:val="6DB89270"/>
    <w:lvl w:ilvl="0" w:tplc="3D402A80">
      <w:start w:val="1"/>
      <w:numFmt w:val="bullet"/>
      <w:lvlText w:val=""/>
      <w:lvlJc w:val="left"/>
      <w:pPr>
        <w:ind w:left="720" w:hanging="360"/>
      </w:pPr>
      <w:rPr>
        <w:rFonts w:ascii="Wingdings" w:hAnsi="Wingdings" w:hint="default"/>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4E79DC"/>
    <w:multiLevelType w:val="hybridMultilevel"/>
    <w:tmpl w:val="FF563AE0"/>
    <w:lvl w:ilvl="0" w:tplc="040C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D7101850">
      <w:start w:val="30"/>
      <w:numFmt w:val="bullet"/>
      <w:lvlText w:val=""/>
      <w:lvlJc w:val="left"/>
      <w:pPr>
        <w:ind w:left="2520" w:hanging="360"/>
      </w:pPr>
      <w:rPr>
        <w:rFonts w:ascii="Wingdings" w:eastAsia="MS Mincho" w:hAnsi="Wingdings" w:cs="Tahoma"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172F0CF4"/>
    <w:multiLevelType w:val="hybridMultilevel"/>
    <w:tmpl w:val="8AF4518A"/>
    <w:lvl w:ilvl="0" w:tplc="4DB0C7A4">
      <w:start w:val="1"/>
      <w:numFmt w:val="bullet"/>
      <w:lvlText w:val="-"/>
      <w:lvlJc w:val="left"/>
      <w:pPr>
        <w:ind w:left="720" w:hanging="360"/>
      </w:pPr>
      <w:rPr>
        <w:rFonts w:ascii="Calibri" w:eastAsiaTheme="minorHAnsi" w:hAnsi="Calibri"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5A7E25"/>
    <w:multiLevelType w:val="hybridMultilevel"/>
    <w:tmpl w:val="B692A802"/>
    <w:lvl w:ilvl="0" w:tplc="0C880406">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A3E0530"/>
    <w:multiLevelType w:val="hybridMultilevel"/>
    <w:tmpl w:val="5404B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FF73F6"/>
    <w:multiLevelType w:val="hybridMultilevel"/>
    <w:tmpl w:val="3210E624"/>
    <w:lvl w:ilvl="0" w:tplc="F6FE39A0">
      <w:start w:val="2"/>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EE0E17"/>
    <w:multiLevelType w:val="hybridMultilevel"/>
    <w:tmpl w:val="31BEA8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A43941"/>
    <w:multiLevelType w:val="hybridMultilevel"/>
    <w:tmpl w:val="45FC57A0"/>
    <w:lvl w:ilvl="0" w:tplc="E3F2411C">
      <w:numFmt w:val="bullet"/>
      <w:lvlText w:val=""/>
      <w:lvlJc w:val="left"/>
      <w:pPr>
        <w:ind w:left="720" w:hanging="360"/>
      </w:pPr>
      <w:rPr>
        <w:rFonts w:ascii="Wingdings" w:eastAsia="MS Mincho"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B5B456E"/>
    <w:multiLevelType w:val="hybridMultilevel"/>
    <w:tmpl w:val="83C6E49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B7B0E1E"/>
    <w:multiLevelType w:val="hybridMultilevel"/>
    <w:tmpl w:val="43EAEF10"/>
    <w:lvl w:ilvl="0" w:tplc="934663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DF75D84"/>
    <w:multiLevelType w:val="hybridMultilevel"/>
    <w:tmpl w:val="E21AB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2685906"/>
    <w:multiLevelType w:val="hybridMultilevel"/>
    <w:tmpl w:val="B170918E"/>
    <w:lvl w:ilvl="0" w:tplc="1546A4E6">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7AE76DE"/>
    <w:multiLevelType w:val="hybridMultilevel"/>
    <w:tmpl w:val="C15C7D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60C1906"/>
    <w:multiLevelType w:val="hybridMultilevel"/>
    <w:tmpl w:val="896ECC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DA178A8"/>
    <w:multiLevelType w:val="hybridMultilevel"/>
    <w:tmpl w:val="1A7A2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2ED2FEF"/>
    <w:multiLevelType w:val="hybridMultilevel"/>
    <w:tmpl w:val="19A66FFE"/>
    <w:lvl w:ilvl="0" w:tplc="F6FE39A0">
      <w:start w:val="9"/>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3C22D62"/>
    <w:multiLevelType w:val="hybridMultilevel"/>
    <w:tmpl w:val="A57AE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786FCF"/>
    <w:multiLevelType w:val="hybridMultilevel"/>
    <w:tmpl w:val="5F9A1742"/>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nsid w:val="765323E3"/>
    <w:multiLevelType w:val="hybridMultilevel"/>
    <w:tmpl w:val="92625E74"/>
    <w:lvl w:ilvl="0" w:tplc="1A349598">
      <w:start w:val="1"/>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AEA276D"/>
    <w:multiLevelType w:val="hybridMultilevel"/>
    <w:tmpl w:val="2A869C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D8479E7"/>
    <w:multiLevelType w:val="hybridMultilevel"/>
    <w:tmpl w:val="0BDE89BE"/>
    <w:lvl w:ilvl="0" w:tplc="DA6629F6">
      <w:start w:val="1"/>
      <w:numFmt w:val="bullet"/>
      <w:lvlText w:val=""/>
      <w:lvlJc w:val="left"/>
      <w:pPr>
        <w:ind w:left="720" w:hanging="360"/>
      </w:pPr>
      <w:rPr>
        <w:rFonts w:ascii="Symbol" w:hAnsi="Symbol" w:hint="default"/>
        <w:lang w:val="en-U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E2F2BC6"/>
    <w:multiLevelType w:val="hybridMultilevel"/>
    <w:tmpl w:val="1C8C7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4"/>
  </w:num>
  <w:num w:numId="3">
    <w:abstractNumId w:val="23"/>
  </w:num>
  <w:num w:numId="4">
    <w:abstractNumId w:val="21"/>
  </w:num>
  <w:num w:numId="5">
    <w:abstractNumId w:val="1"/>
  </w:num>
  <w:num w:numId="6">
    <w:abstractNumId w:val="0"/>
  </w:num>
  <w:num w:numId="7">
    <w:abstractNumId w:val="6"/>
  </w:num>
  <w:num w:numId="8">
    <w:abstractNumId w:val="4"/>
  </w:num>
  <w:num w:numId="9">
    <w:abstractNumId w:val="7"/>
  </w:num>
  <w:num w:numId="10">
    <w:abstractNumId w:val="14"/>
  </w:num>
  <w:num w:numId="11">
    <w:abstractNumId w:val="18"/>
  </w:num>
  <w:num w:numId="12">
    <w:abstractNumId w:val="17"/>
  </w:num>
  <w:num w:numId="13">
    <w:abstractNumId w:val="19"/>
  </w:num>
  <w:num w:numId="14">
    <w:abstractNumId w:val="20"/>
  </w:num>
  <w:num w:numId="15">
    <w:abstractNumId w:val="9"/>
  </w:num>
  <w:num w:numId="16">
    <w:abstractNumId w:val="5"/>
  </w:num>
  <w:num w:numId="17">
    <w:abstractNumId w:val="13"/>
  </w:num>
  <w:num w:numId="18">
    <w:abstractNumId w:val="22"/>
  </w:num>
  <w:num w:numId="19">
    <w:abstractNumId w:val="8"/>
  </w:num>
  <w:num w:numId="20">
    <w:abstractNumId w:val="15"/>
  </w:num>
  <w:num w:numId="21">
    <w:abstractNumId w:val="2"/>
  </w:num>
  <w:num w:numId="22">
    <w:abstractNumId w:val="16"/>
  </w:num>
  <w:num w:numId="23">
    <w:abstractNumId w:val="10"/>
  </w:num>
  <w:num w:numId="24">
    <w:abstractNumId w:val="3"/>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846"/>
    <w:rsid w:val="00020084"/>
    <w:rsid w:val="00033FBF"/>
    <w:rsid w:val="00050E68"/>
    <w:rsid w:val="000706A3"/>
    <w:rsid w:val="00071BAE"/>
    <w:rsid w:val="00093923"/>
    <w:rsid w:val="000A0704"/>
    <w:rsid w:val="000A6C94"/>
    <w:rsid w:val="000B1F19"/>
    <w:rsid w:val="000C1C9B"/>
    <w:rsid w:val="000D6F4D"/>
    <w:rsid w:val="000F3C24"/>
    <w:rsid w:val="00113071"/>
    <w:rsid w:val="00140482"/>
    <w:rsid w:val="00145ADA"/>
    <w:rsid w:val="001522A5"/>
    <w:rsid w:val="00162BBA"/>
    <w:rsid w:val="00183F7A"/>
    <w:rsid w:val="001A26CA"/>
    <w:rsid w:val="001B0416"/>
    <w:rsid w:val="001B1E38"/>
    <w:rsid w:val="001B5915"/>
    <w:rsid w:val="001C4C4C"/>
    <w:rsid w:val="001C7BAF"/>
    <w:rsid w:val="001D7830"/>
    <w:rsid w:val="001E0D83"/>
    <w:rsid w:val="001F21F9"/>
    <w:rsid w:val="00211814"/>
    <w:rsid w:val="0021229D"/>
    <w:rsid w:val="00212EB3"/>
    <w:rsid w:val="00217510"/>
    <w:rsid w:val="00223D2C"/>
    <w:rsid w:val="002650CD"/>
    <w:rsid w:val="00280082"/>
    <w:rsid w:val="00283DDE"/>
    <w:rsid w:val="0028538B"/>
    <w:rsid w:val="00291B60"/>
    <w:rsid w:val="002A5553"/>
    <w:rsid w:val="002B421C"/>
    <w:rsid w:val="002B7106"/>
    <w:rsid w:val="00303A55"/>
    <w:rsid w:val="00343829"/>
    <w:rsid w:val="00343B9E"/>
    <w:rsid w:val="00343E9C"/>
    <w:rsid w:val="003631EA"/>
    <w:rsid w:val="00363E89"/>
    <w:rsid w:val="0036580A"/>
    <w:rsid w:val="00367A12"/>
    <w:rsid w:val="00383004"/>
    <w:rsid w:val="003929BA"/>
    <w:rsid w:val="003943BE"/>
    <w:rsid w:val="003A4E76"/>
    <w:rsid w:val="003A7B29"/>
    <w:rsid w:val="003B3DA4"/>
    <w:rsid w:val="003D5E9F"/>
    <w:rsid w:val="003D7060"/>
    <w:rsid w:val="003F58F9"/>
    <w:rsid w:val="0044347F"/>
    <w:rsid w:val="00443E07"/>
    <w:rsid w:val="004521D0"/>
    <w:rsid w:val="004522E6"/>
    <w:rsid w:val="00464015"/>
    <w:rsid w:val="004818D8"/>
    <w:rsid w:val="00482296"/>
    <w:rsid w:val="004B19AC"/>
    <w:rsid w:val="004C6FD4"/>
    <w:rsid w:val="004D78AA"/>
    <w:rsid w:val="004F6025"/>
    <w:rsid w:val="004F751F"/>
    <w:rsid w:val="005010F8"/>
    <w:rsid w:val="005061BA"/>
    <w:rsid w:val="0051485E"/>
    <w:rsid w:val="005449B9"/>
    <w:rsid w:val="00547FC1"/>
    <w:rsid w:val="00567B1D"/>
    <w:rsid w:val="00575F36"/>
    <w:rsid w:val="005B7B22"/>
    <w:rsid w:val="005C2ACA"/>
    <w:rsid w:val="005C7194"/>
    <w:rsid w:val="005E593C"/>
    <w:rsid w:val="00617D97"/>
    <w:rsid w:val="00622E8A"/>
    <w:rsid w:val="00625541"/>
    <w:rsid w:val="006511DC"/>
    <w:rsid w:val="00652C13"/>
    <w:rsid w:val="00694503"/>
    <w:rsid w:val="0069580E"/>
    <w:rsid w:val="006A4780"/>
    <w:rsid w:val="006D0683"/>
    <w:rsid w:val="006D6846"/>
    <w:rsid w:val="006F4569"/>
    <w:rsid w:val="00701AE2"/>
    <w:rsid w:val="00714CE6"/>
    <w:rsid w:val="00727BF7"/>
    <w:rsid w:val="0073357F"/>
    <w:rsid w:val="0074709E"/>
    <w:rsid w:val="00756030"/>
    <w:rsid w:val="00765664"/>
    <w:rsid w:val="00773E60"/>
    <w:rsid w:val="00776CD9"/>
    <w:rsid w:val="007B4D1C"/>
    <w:rsid w:val="007B7B10"/>
    <w:rsid w:val="007C7303"/>
    <w:rsid w:val="007E2FA3"/>
    <w:rsid w:val="007E66DA"/>
    <w:rsid w:val="007F6CFC"/>
    <w:rsid w:val="00802269"/>
    <w:rsid w:val="0080446B"/>
    <w:rsid w:val="0081511D"/>
    <w:rsid w:val="008214BC"/>
    <w:rsid w:val="00821F27"/>
    <w:rsid w:val="00830B7B"/>
    <w:rsid w:val="00837334"/>
    <w:rsid w:val="00841E84"/>
    <w:rsid w:val="0085743B"/>
    <w:rsid w:val="0086669A"/>
    <w:rsid w:val="00870555"/>
    <w:rsid w:val="008800A4"/>
    <w:rsid w:val="00893912"/>
    <w:rsid w:val="008A30A6"/>
    <w:rsid w:val="008B1A1E"/>
    <w:rsid w:val="008C734C"/>
    <w:rsid w:val="008D0CDE"/>
    <w:rsid w:val="008F612F"/>
    <w:rsid w:val="009021B9"/>
    <w:rsid w:val="0091257E"/>
    <w:rsid w:val="0092276F"/>
    <w:rsid w:val="00922A8E"/>
    <w:rsid w:val="00922B9C"/>
    <w:rsid w:val="009310D4"/>
    <w:rsid w:val="00933237"/>
    <w:rsid w:val="00936535"/>
    <w:rsid w:val="009606C4"/>
    <w:rsid w:val="00971207"/>
    <w:rsid w:val="0097645B"/>
    <w:rsid w:val="00982218"/>
    <w:rsid w:val="00995F65"/>
    <w:rsid w:val="009978DE"/>
    <w:rsid w:val="009A0B1C"/>
    <w:rsid w:val="009A24A6"/>
    <w:rsid w:val="009A2F1A"/>
    <w:rsid w:val="009A64D1"/>
    <w:rsid w:val="00A0160C"/>
    <w:rsid w:val="00A03851"/>
    <w:rsid w:val="00A05F16"/>
    <w:rsid w:val="00A133A7"/>
    <w:rsid w:val="00A20577"/>
    <w:rsid w:val="00A21489"/>
    <w:rsid w:val="00A35AA8"/>
    <w:rsid w:val="00A40ED4"/>
    <w:rsid w:val="00A45A45"/>
    <w:rsid w:val="00A678C0"/>
    <w:rsid w:val="00A746A0"/>
    <w:rsid w:val="00A87B50"/>
    <w:rsid w:val="00A90EEC"/>
    <w:rsid w:val="00A96A5D"/>
    <w:rsid w:val="00AA1FDB"/>
    <w:rsid w:val="00AA4C70"/>
    <w:rsid w:val="00AA62D7"/>
    <w:rsid w:val="00AC134F"/>
    <w:rsid w:val="00AC3602"/>
    <w:rsid w:val="00AD57D4"/>
    <w:rsid w:val="00AE20EB"/>
    <w:rsid w:val="00AE3BC4"/>
    <w:rsid w:val="00B067D0"/>
    <w:rsid w:val="00B26098"/>
    <w:rsid w:val="00B31057"/>
    <w:rsid w:val="00B3406E"/>
    <w:rsid w:val="00B40E65"/>
    <w:rsid w:val="00B44E11"/>
    <w:rsid w:val="00B457D4"/>
    <w:rsid w:val="00B540C8"/>
    <w:rsid w:val="00B62B1E"/>
    <w:rsid w:val="00B727D8"/>
    <w:rsid w:val="00B9491F"/>
    <w:rsid w:val="00BA0A76"/>
    <w:rsid w:val="00BA66D3"/>
    <w:rsid w:val="00BA6B0A"/>
    <w:rsid w:val="00BB283B"/>
    <w:rsid w:val="00BC7577"/>
    <w:rsid w:val="00BE4C60"/>
    <w:rsid w:val="00C070B0"/>
    <w:rsid w:val="00C1000A"/>
    <w:rsid w:val="00C12FF7"/>
    <w:rsid w:val="00C221EA"/>
    <w:rsid w:val="00C33595"/>
    <w:rsid w:val="00C3423B"/>
    <w:rsid w:val="00C43D15"/>
    <w:rsid w:val="00C57689"/>
    <w:rsid w:val="00C60EC8"/>
    <w:rsid w:val="00C65EB2"/>
    <w:rsid w:val="00C77C0A"/>
    <w:rsid w:val="00CB0F41"/>
    <w:rsid w:val="00CB5DDB"/>
    <w:rsid w:val="00CC7462"/>
    <w:rsid w:val="00CD3A9E"/>
    <w:rsid w:val="00CE6DA3"/>
    <w:rsid w:val="00CF605A"/>
    <w:rsid w:val="00CF7206"/>
    <w:rsid w:val="00D103DA"/>
    <w:rsid w:val="00D12DE8"/>
    <w:rsid w:val="00D252A7"/>
    <w:rsid w:val="00D50DB6"/>
    <w:rsid w:val="00D529B3"/>
    <w:rsid w:val="00D53037"/>
    <w:rsid w:val="00D5515F"/>
    <w:rsid w:val="00D6446A"/>
    <w:rsid w:val="00D66DD4"/>
    <w:rsid w:val="00DA614C"/>
    <w:rsid w:val="00DB106F"/>
    <w:rsid w:val="00DD071C"/>
    <w:rsid w:val="00E351C1"/>
    <w:rsid w:val="00E35B86"/>
    <w:rsid w:val="00E438E3"/>
    <w:rsid w:val="00E52109"/>
    <w:rsid w:val="00E62EAE"/>
    <w:rsid w:val="00EA5560"/>
    <w:rsid w:val="00EB44AB"/>
    <w:rsid w:val="00EC35CD"/>
    <w:rsid w:val="00EC776F"/>
    <w:rsid w:val="00ED3A3A"/>
    <w:rsid w:val="00F00BF4"/>
    <w:rsid w:val="00F1144C"/>
    <w:rsid w:val="00F138F4"/>
    <w:rsid w:val="00F358FF"/>
    <w:rsid w:val="00F35CCA"/>
    <w:rsid w:val="00F370B0"/>
    <w:rsid w:val="00F71329"/>
    <w:rsid w:val="00F737D8"/>
    <w:rsid w:val="00F84B2D"/>
    <w:rsid w:val="00F904C9"/>
    <w:rsid w:val="00FC06B7"/>
    <w:rsid w:val="00FC0877"/>
    <w:rsid w:val="00FC4F18"/>
    <w:rsid w:val="00FE1975"/>
    <w:rsid w:val="00FF1C23"/>
    <w:rsid w:val="00FF29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 w:type="table" w:styleId="MediumGrid3-Accent1">
    <w:name w:val="Medium Grid 3 Accent 1"/>
    <w:basedOn w:val="TableNormal"/>
    <w:uiPriority w:val="69"/>
    <w:rsid w:val="007B4D1C"/>
    <w:pPr>
      <w:spacing w:after="0" w:line="240" w:lineRule="auto"/>
    </w:pPr>
    <w:rPr>
      <w:rFonts w:ascii="Times New Roman" w:hAnsi="Times New Roman" w:cs="Times New Roman"/>
      <w:sz w:val="20"/>
      <w:szCs w:val="20"/>
      <w:lang w:val="fr-FR"/>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Hyperlink">
    <w:name w:val="Hyperlink"/>
    <w:basedOn w:val="DefaultParagraphFont"/>
    <w:uiPriority w:val="99"/>
    <w:semiHidden/>
    <w:unhideWhenUsed/>
    <w:rsid w:val="00AE20EB"/>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 w:type="table" w:styleId="MediumGrid3-Accent1">
    <w:name w:val="Medium Grid 3 Accent 1"/>
    <w:basedOn w:val="TableNormal"/>
    <w:uiPriority w:val="69"/>
    <w:rsid w:val="007B4D1C"/>
    <w:pPr>
      <w:spacing w:after="0" w:line="240" w:lineRule="auto"/>
    </w:pPr>
    <w:rPr>
      <w:rFonts w:ascii="Times New Roman" w:hAnsi="Times New Roman" w:cs="Times New Roman"/>
      <w:sz w:val="20"/>
      <w:szCs w:val="20"/>
      <w:lang w:val="fr-FR"/>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Hyperlink">
    <w:name w:val="Hyperlink"/>
    <w:basedOn w:val="DefaultParagraphFont"/>
    <w:uiPriority w:val="99"/>
    <w:semiHidden/>
    <w:unhideWhenUsed/>
    <w:rsid w:val="00AE20E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0879918">
      <w:bodyDiv w:val="1"/>
      <w:marLeft w:val="0"/>
      <w:marRight w:val="0"/>
      <w:marTop w:val="0"/>
      <w:marBottom w:val="0"/>
      <w:divBdr>
        <w:top w:val="none" w:sz="0" w:space="0" w:color="auto"/>
        <w:left w:val="none" w:sz="0" w:space="0" w:color="auto"/>
        <w:bottom w:val="none" w:sz="0" w:space="0" w:color="auto"/>
        <w:right w:val="none" w:sz="0" w:space="0" w:color="auto"/>
      </w:divBdr>
    </w:div>
    <w:div w:id="75381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2728</TotalTime>
  <Pages>16</Pages>
  <Words>4189</Words>
  <Characters>23883</Characters>
  <Application>Microsoft Office Word</Application>
  <DocSecurity>0</DocSecurity>
  <Lines>199</Lines>
  <Paragraphs>56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Cognizant Technology Solutions</Company>
  <LinksUpToDate>false</LinksUpToDate>
  <CharactersWithSpaces>28016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Cognizant Technology Solutions</dc:creator>
  <cp:lastModifiedBy>François DUBRAU</cp:lastModifiedBy>
  <cp:revision>75</cp:revision>
  <cp:lastPrinted>2015-10-09T10:36:00Z</cp:lastPrinted>
  <dcterms:created xsi:type="dcterms:W3CDTF">2016-01-07T06:52:00Z</dcterms:created>
  <dcterms:modified xsi:type="dcterms:W3CDTF">2016-10-06T13:41:00Z</dcterms:modified>
</cp:coreProperties>
</file>