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664" w:rsidRDefault="00765664" w:rsidP="006D6846">
      <w:pPr>
        <w:tabs>
          <w:tab w:val="left" w:pos="9356"/>
        </w:tabs>
        <w:ind w:right="-279"/>
        <w:jc w:val="center"/>
        <w:rPr>
          <w:sz w:val="36"/>
          <w:lang w:val="fr-FR"/>
        </w:rPr>
      </w:pPr>
    </w:p>
    <w:p w:rsidR="00575F36" w:rsidRPr="00112611" w:rsidRDefault="00F91864" w:rsidP="00AA1FD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000000" w:fill="FFFFFF"/>
        <w:jc w:val="center"/>
        <w:rPr>
          <w:b/>
          <w:noProof/>
          <w:sz w:val="36"/>
        </w:rPr>
      </w:pPr>
      <w:r>
        <w:rPr>
          <w:b/>
          <w:noProof/>
          <w:sz w:val="36"/>
        </w:rPr>
        <w:t>Def</w:t>
      </w:r>
      <w:r w:rsidR="00745F82">
        <w:rPr>
          <w:b/>
          <w:noProof/>
          <w:sz w:val="36"/>
        </w:rPr>
        <w:t>inition of the t</w:t>
      </w:r>
      <w:r w:rsidR="00112611" w:rsidRPr="00112611">
        <w:rPr>
          <w:b/>
          <w:noProof/>
          <w:sz w:val="36"/>
        </w:rPr>
        <w:t xml:space="preserve">rade date </w:t>
      </w:r>
      <w:r w:rsidR="005B0320">
        <w:rPr>
          <w:b/>
          <w:noProof/>
          <w:sz w:val="36"/>
        </w:rPr>
        <w:t xml:space="preserve">for </w:t>
      </w:r>
      <w:r w:rsidR="00112611" w:rsidRPr="00112611">
        <w:rPr>
          <w:b/>
          <w:noProof/>
          <w:sz w:val="36"/>
        </w:rPr>
        <w:t>instructions on funds</w:t>
      </w:r>
    </w:p>
    <w:p w:rsidR="001B1E38" w:rsidRPr="00112611" w:rsidRDefault="001B1E38" w:rsidP="006D6846">
      <w:pPr>
        <w:tabs>
          <w:tab w:val="left" w:pos="9356"/>
        </w:tabs>
        <w:ind w:right="-279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4932"/>
      </w:tblGrid>
      <w:tr w:rsidR="004F6025" w:rsidTr="0091257E">
        <w:tc>
          <w:tcPr>
            <w:tcW w:w="2093" w:type="dxa"/>
            <w:vMerge w:val="restart"/>
            <w:shd w:val="clear" w:color="auto" w:fill="BFBFBF" w:themeFill="background1" w:themeFillShade="BF"/>
          </w:tcPr>
          <w:p w:rsidR="004F6025" w:rsidRPr="004F6025" w:rsidRDefault="004F6025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  <w:r w:rsidRPr="004F6025">
              <w:rPr>
                <w:b/>
                <w:lang w:val="fr-FR"/>
              </w:rPr>
              <w:t>Versioning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:rsidR="004F6025" w:rsidRDefault="004F6025" w:rsidP="006D6846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Version</w:t>
            </w:r>
          </w:p>
        </w:tc>
        <w:tc>
          <w:tcPr>
            <w:tcW w:w="4932" w:type="dxa"/>
          </w:tcPr>
          <w:p w:rsidR="004F6025" w:rsidRDefault="003D75CA" w:rsidP="00776CD9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1</w:t>
            </w:r>
            <w:r w:rsidR="00140482">
              <w:rPr>
                <w:lang w:val="fr-FR"/>
              </w:rPr>
              <w:t>.</w:t>
            </w:r>
            <w:r w:rsidR="00776CD9">
              <w:rPr>
                <w:lang w:val="fr-FR"/>
              </w:rPr>
              <w:t>0</w:t>
            </w:r>
          </w:p>
        </w:tc>
      </w:tr>
      <w:tr w:rsidR="00112611" w:rsidRPr="00AA1FDB" w:rsidTr="0091257E">
        <w:tc>
          <w:tcPr>
            <w:tcW w:w="2093" w:type="dxa"/>
            <w:vMerge/>
            <w:shd w:val="clear" w:color="auto" w:fill="BFBFBF" w:themeFill="background1" w:themeFillShade="BF"/>
          </w:tcPr>
          <w:p w:rsidR="00112611" w:rsidRPr="004F6025" w:rsidRDefault="00112611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</w:p>
        </w:tc>
        <w:tc>
          <w:tcPr>
            <w:tcW w:w="2551" w:type="dxa"/>
            <w:shd w:val="clear" w:color="auto" w:fill="F2F2F2" w:themeFill="background1" w:themeFillShade="F2"/>
          </w:tcPr>
          <w:p w:rsidR="00112611" w:rsidRDefault="00112611" w:rsidP="000E651B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Publication date</w:t>
            </w:r>
          </w:p>
        </w:tc>
        <w:tc>
          <w:tcPr>
            <w:tcW w:w="4932" w:type="dxa"/>
          </w:tcPr>
          <w:p w:rsidR="00112611" w:rsidRDefault="00112611" w:rsidP="000E651B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April 6th, 2016</w:t>
            </w:r>
          </w:p>
        </w:tc>
      </w:tr>
    </w:tbl>
    <w:p w:rsidR="00B26098" w:rsidRDefault="00B26098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EC776F" w:rsidRDefault="00EC776F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112611" w:rsidRPr="000C4CA6" w:rsidRDefault="00112611" w:rsidP="00112611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</w:rPr>
      </w:pPr>
      <w:r w:rsidRPr="003348A6">
        <w:rPr>
          <w:rFonts w:eastAsia="MS Mincho" w:cs="Times New Roman"/>
          <w:b/>
          <w:caps/>
          <w:noProof/>
          <w:sz w:val="32"/>
          <w:szCs w:val="32"/>
        </w:rPr>
        <w:t>Description of the existing practice &amp; of the Impacts</w:t>
      </w:r>
    </w:p>
    <w:p w:rsidR="0081511D" w:rsidRPr="00112611" w:rsidRDefault="0081511D" w:rsidP="00B26098">
      <w:pPr>
        <w:spacing w:after="0" w:line="240" w:lineRule="auto"/>
        <w:rPr>
          <w:rFonts w:eastAsia="MS Mincho" w:cs="Times New Roman"/>
          <w:noProof/>
          <w:szCs w:val="32"/>
        </w:rPr>
      </w:pPr>
    </w:p>
    <w:tbl>
      <w:tblPr>
        <w:tblStyle w:val="Grilledutableau"/>
        <w:tblW w:w="9606" w:type="dxa"/>
        <w:tblLayout w:type="fixed"/>
        <w:tblLook w:val="04A0" w:firstRow="1" w:lastRow="0" w:firstColumn="1" w:lastColumn="0" w:noHBand="0" w:noVBand="1"/>
      </w:tblPr>
      <w:tblGrid>
        <w:gridCol w:w="2092"/>
        <w:gridCol w:w="7514"/>
      </w:tblGrid>
      <w:tr w:rsidR="00D103DA" w:rsidRPr="00725DD0" w:rsidTr="008360C5">
        <w:tc>
          <w:tcPr>
            <w:tcW w:w="20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103DA" w:rsidRPr="00112611" w:rsidRDefault="00112611" w:rsidP="00893912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112611">
              <w:rPr>
                <w:rFonts w:eastAsia="MS Mincho" w:cs="Times New Roman"/>
                <w:b/>
                <w:noProof/>
                <w:szCs w:val="32"/>
              </w:rPr>
              <w:t>Description of the existing practice</w:t>
            </w:r>
          </w:p>
        </w:tc>
        <w:tc>
          <w:tcPr>
            <w:tcW w:w="7514" w:type="dxa"/>
            <w:tcBorders>
              <w:bottom w:val="single" w:sz="4" w:space="0" w:color="auto"/>
            </w:tcBorders>
          </w:tcPr>
          <w:p w:rsidR="00BB5780" w:rsidRPr="00BB5780" w:rsidRDefault="00BB5780" w:rsidP="00EB5895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BB5780">
              <w:rPr>
                <w:rFonts w:eastAsia="MS Mincho" w:cs="Times New Roman"/>
                <w:noProof/>
                <w:szCs w:val="32"/>
              </w:rPr>
              <w:t>The French market has defined</w:t>
            </w:r>
            <w:r>
              <w:rPr>
                <w:rFonts w:eastAsia="MS Mincho" w:cs="Times New Roman"/>
                <w:noProof/>
                <w:szCs w:val="32"/>
              </w:rPr>
              <w:t xml:space="preserve"> that</w:t>
            </w:r>
            <w:del w:id="0" w:author="de Sousa, Maria" w:date="2016-05-16T19:43:00Z">
              <w:r w:rsidRPr="00BB5780" w:rsidDel="00910D31">
                <w:rPr>
                  <w:rFonts w:eastAsia="MS Mincho" w:cs="Times New Roman"/>
                  <w:noProof/>
                  <w:szCs w:val="32"/>
                </w:rPr>
                <w:delText>:</w:delText>
              </w:r>
            </w:del>
            <w:r w:rsidR="00910D31">
              <w:rPr>
                <w:rFonts w:eastAsia="MS Mincho" w:cs="Times New Roman"/>
                <w:noProof/>
                <w:szCs w:val="32"/>
              </w:rPr>
              <w:t xml:space="preserve"> </w:t>
            </w:r>
            <w:del w:id="1" w:author="de Sousa, Maria" w:date="2016-05-16T19:44:00Z">
              <w:r w:rsidRPr="00BB5780" w:rsidDel="00910D31">
                <w:rPr>
                  <w:rFonts w:eastAsia="MS Mincho" w:cs="Times New Roman"/>
                  <w:noProof/>
                  <w:szCs w:val="32"/>
                </w:rPr>
                <w:delText>F</w:delText>
              </w:r>
            </w:del>
            <w:ins w:id="2" w:author="de Sousa, Maria" w:date="2016-05-16T19:44:00Z">
              <w:r w:rsidR="00910D31">
                <w:rPr>
                  <w:rFonts w:eastAsia="MS Mincho" w:cs="Times New Roman"/>
                  <w:noProof/>
                  <w:szCs w:val="32"/>
                </w:rPr>
                <w:t>f</w:t>
              </w:r>
            </w:ins>
            <w:r w:rsidRPr="00BB5780">
              <w:rPr>
                <w:rFonts w:eastAsia="MS Mincho" w:cs="Times New Roman"/>
                <w:noProof/>
                <w:szCs w:val="32"/>
              </w:rPr>
              <w:t>or all processing, the negotiation date is</w:t>
            </w:r>
            <w:del w:id="3" w:author="de Sousa, Maria" w:date="2016-05-16T19:44:00Z">
              <w:r w:rsidRPr="00BB5780" w:rsidDel="00910D31">
                <w:rPr>
                  <w:rFonts w:eastAsia="MS Mincho" w:cs="Times New Roman"/>
                  <w:noProof/>
                  <w:szCs w:val="32"/>
                </w:rPr>
                <w:delText xml:space="preserve"> defined as</w:delText>
              </w:r>
            </w:del>
            <w:r w:rsidRPr="00BB5780">
              <w:rPr>
                <w:rFonts w:eastAsia="MS Mincho" w:cs="Times New Roman"/>
                <w:noProof/>
                <w:szCs w:val="32"/>
              </w:rPr>
              <w:t xml:space="preserve"> the date at which the price (Net Asset Value) and quantity are known, that is:</w:t>
            </w:r>
          </w:p>
          <w:p w:rsidR="00EB5895" w:rsidRPr="00BB5780" w:rsidRDefault="00BB5780" w:rsidP="00910D31">
            <w:pPr>
              <w:pStyle w:val="Paragraphedeliste"/>
              <w:numPr>
                <w:ilvl w:val="0"/>
                <w:numId w:val="11"/>
              </w:numPr>
              <w:ind w:left="714" w:hanging="357"/>
              <w:contextualSpacing w:val="0"/>
              <w:jc w:val="both"/>
              <w:rPr>
                <w:rFonts w:eastAsia="MS Mincho" w:cs="Times New Roman"/>
                <w:noProof/>
                <w:szCs w:val="32"/>
              </w:rPr>
            </w:pPr>
            <w:r w:rsidRPr="00BB5780">
              <w:rPr>
                <w:rFonts w:eastAsia="MS Mincho" w:cs="Times New Roman"/>
                <w:noProof/>
                <w:szCs w:val="32"/>
              </w:rPr>
              <w:t xml:space="preserve">For </w:t>
            </w:r>
            <w:r>
              <w:rPr>
                <w:rFonts w:eastAsia="MS Mincho" w:cs="Times New Roman"/>
                <w:noProof/>
                <w:szCs w:val="32"/>
              </w:rPr>
              <w:t>un</w:t>
            </w:r>
            <w:r w:rsidRPr="00BB5780">
              <w:rPr>
                <w:rFonts w:eastAsia="MS Mincho" w:cs="Times New Roman"/>
                <w:noProof/>
                <w:szCs w:val="32"/>
              </w:rPr>
              <w:t xml:space="preserve">known-price funds : Negotiation date = Date of </w:t>
            </w:r>
            <w:r w:rsidR="00725DD0">
              <w:rPr>
                <w:rFonts w:eastAsia="MS Mincho" w:cs="Times New Roman"/>
                <w:noProof/>
                <w:szCs w:val="32"/>
              </w:rPr>
              <w:t>establishment</w:t>
            </w:r>
            <w:r w:rsidRPr="00BB5780">
              <w:rPr>
                <w:rFonts w:eastAsia="MS Mincho" w:cs="Times New Roman"/>
                <w:noProof/>
                <w:szCs w:val="32"/>
              </w:rPr>
              <w:t xml:space="preserve"> of the Net Asset Value </w:t>
            </w:r>
            <w:r w:rsidR="00EB5895" w:rsidRPr="00BB5780">
              <w:rPr>
                <w:rFonts w:eastAsia="MS Mincho" w:cs="Times New Roman"/>
                <w:noProof/>
                <w:szCs w:val="32"/>
              </w:rPr>
              <w:t>(1)</w:t>
            </w:r>
          </w:p>
          <w:p w:rsidR="00EB5895" w:rsidRPr="00BB5780" w:rsidRDefault="00BB5780" w:rsidP="00910D31">
            <w:pPr>
              <w:pStyle w:val="Paragraphedeliste"/>
              <w:numPr>
                <w:ilvl w:val="0"/>
                <w:numId w:val="11"/>
              </w:numPr>
              <w:ind w:left="714" w:hanging="357"/>
              <w:contextualSpacing w:val="0"/>
              <w:jc w:val="both"/>
              <w:rPr>
                <w:rFonts w:eastAsia="MS Mincho" w:cs="Times New Roman"/>
                <w:noProof/>
                <w:szCs w:val="32"/>
              </w:rPr>
            </w:pPr>
            <w:r w:rsidRPr="00BB5780">
              <w:rPr>
                <w:rFonts w:eastAsia="MS Mincho" w:cs="Times New Roman"/>
                <w:noProof/>
                <w:szCs w:val="32"/>
              </w:rPr>
              <w:t xml:space="preserve">For known-price funds:  Negotiation date = </w:t>
            </w:r>
            <w:r>
              <w:rPr>
                <w:rFonts w:eastAsia="MS Mincho" w:cs="Times New Roman"/>
                <w:noProof/>
                <w:szCs w:val="32"/>
              </w:rPr>
              <w:t>C</w:t>
            </w:r>
            <w:r w:rsidR="00EB5895" w:rsidRPr="00BB5780">
              <w:rPr>
                <w:rFonts w:eastAsia="MS Mincho" w:cs="Times New Roman"/>
                <w:noProof/>
                <w:szCs w:val="32"/>
              </w:rPr>
              <w:t>entralisation</w:t>
            </w:r>
            <w:r>
              <w:rPr>
                <w:rFonts w:eastAsia="MS Mincho" w:cs="Times New Roman"/>
                <w:noProof/>
                <w:szCs w:val="32"/>
              </w:rPr>
              <w:t xml:space="preserve"> date</w:t>
            </w:r>
            <w:r w:rsidR="00EB5895" w:rsidRPr="00BB5780">
              <w:rPr>
                <w:rFonts w:eastAsia="MS Mincho" w:cs="Times New Roman"/>
                <w:noProof/>
                <w:szCs w:val="32"/>
              </w:rPr>
              <w:t xml:space="preserve"> (2)</w:t>
            </w:r>
          </w:p>
          <w:p w:rsidR="00EB5895" w:rsidRPr="00725DD0" w:rsidRDefault="00EB5895" w:rsidP="00EB5895">
            <w:pPr>
              <w:spacing w:before="120"/>
              <w:jc w:val="both"/>
              <w:rPr>
                <w:rFonts w:eastAsia="MS Mincho" w:cs="Times New Roman"/>
                <w:i/>
                <w:noProof/>
                <w:szCs w:val="32"/>
              </w:rPr>
            </w:pPr>
            <w:r w:rsidRPr="00725DD0">
              <w:rPr>
                <w:rFonts w:eastAsia="MS Mincho" w:cs="Times New Roman"/>
                <w:i/>
                <w:noProof/>
                <w:szCs w:val="32"/>
              </w:rPr>
              <w:t xml:space="preserve">(1) Date </w:t>
            </w:r>
            <w:r w:rsidR="00725DD0" w:rsidRPr="00725DD0">
              <w:rPr>
                <w:rFonts w:eastAsia="MS Mincho" w:cs="Times New Roman"/>
                <w:i/>
                <w:noProof/>
                <w:szCs w:val="32"/>
              </w:rPr>
              <w:t xml:space="preserve">of determination of the assets held by the fund used </w:t>
            </w:r>
            <w:r w:rsidR="00725DD0">
              <w:rPr>
                <w:rFonts w:eastAsia="MS Mincho" w:cs="Times New Roman"/>
                <w:i/>
                <w:noProof/>
                <w:szCs w:val="32"/>
              </w:rPr>
              <w:t>to calculate the NAV.</w:t>
            </w:r>
            <w:r w:rsidR="00725DD0" w:rsidRPr="00725DD0">
              <w:rPr>
                <w:rFonts w:eastAsia="MS Mincho" w:cs="Times New Roman"/>
                <w:i/>
                <w:noProof/>
                <w:szCs w:val="32"/>
              </w:rPr>
              <w:t xml:space="preserve"> This </w:t>
            </w:r>
            <w:r w:rsidRPr="00725DD0">
              <w:rPr>
                <w:rFonts w:eastAsia="MS Mincho" w:cs="Times New Roman"/>
                <w:i/>
                <w:noProof/>
                <w:szCs w:val="32"/>
              </w:rPr>
              <w:t xml:space="preserve">date </w:t>
            </w:r>
            <w:r w:rsidR="00725DD0" w:rsidRPr="00725DD0">
              <w:rPr>
                <w:rFonts w:eastAsia="MS Mincho" w:cs="Times New Roman"/>
                <w:i/>
                <w:noProof/>
                <w:szCs w:val="32"/>
              </w:rPr>
              <w:t>can be different from the date of calculation and the date of publication.</w:t>
            </w:r>
          </w:p>
          <w:p w:rsidR="00140482" w:rsidRPr="00725DD0" w:rsidRDefault="00EB5895" w:rsidP="00725DD0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725DD0">
              <w:rPr>
                <w:rFonts w:eastAsia="MS Mincho" w:cs="Times New Roman"/>
                <w:i/>
                <w:noProof/>
                <w:szCs w:val="32"/>
              </w:rPr>
              <w:t xml:space="preserve">(2) </w:t>
            </w:r>
            <w:r w:rsidR="00725DD0" w:rsidRPr="00725DD0">
              <w:rPr>
                <w:rFonts w:eastAsia="MS Mincho" w:cs="Times New Roman"/>
                <w:i/>
                <w:noProof/>
                <w:szCs w:val="32"/>
              </w:rPr>
              <w:t xml:space="preserve">Setting the negotiation date at the date of establishment of the NAV as is the case for unknown-price funds would imply a retroactive application date not applicable </w:t>
            </w:r>
            <w:r w:rsidR="00725DD0">
              <w:rPr>
                <w:rFonts w:eastAsia="MS Mincho" w:cs="Times New Roman"/>
                <w:i/>
                <w:noProof/>
                <w:szCs w:val="32"/>
              </w:rPr>
              <w:t xml:space="preserve">in </w:t>
            </w:r>
            <w:r w:rsidR="00725DD0" w:rsidRPr="00725DD0">
              <w:rPr>
                <w:rFonts w:eastAsia="MS Mincho" w:cs="Times New Roman"/>
                <w:i/>
                <w:noProof/>
                <w:szCs w:val="32"/>
              </w:rPr>
              <w:t>securities accounting.</w:t>
            </w:r>
          </w:p>
        </w:tc>
      </w:tr>
      <w:tr w:rsidR="00D103DA" w:rsidRPr="00725DD0" w:rsidTr="008360C5">
        <w:tc>
          <w:tcPr>
            <w:tcW w:w="2092" w:type="dxa"/>
            <w:tcBorders>
              <w:left w:val="nil"/>
              <w:right w:val="nil"/>
            </w:tcBorders>
          </w:tcPr>
          <w:p w:rsidR="00EC776F" w:rsidRPr="00725DD0" w:rsidRDefault="00EC776F" w:rsidP="00B26098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4" w:type="dxa"/>
            <w:tcBorders>
              <w:left w:val="nil"/>
              <w:right w:val="nil"/>
            </w:tcBorders>
          </w:tcPr>
          <w:p w:rsidR="00D103DA" w:rsidRPr="00725DD0" w:rsidRDefault="00D103DA" w:rsidP="00B26098">
            <w:pPr>
              <w:rPr>
                <w:rFonts w:eastAsia="MS Mincho" w:cs="Times New Roman"/>
                <w:noProof/>
                <w:szCs w:val="32"/>
              </w:rPr>
            </w:pPr>
          </w:p>
        </w:tc>
      </w:tr>
      <w:tr w:rsidR="00112611" w:rsidRPr="00725DD0" w:rsidTr="008360C5">
        <w:tc>
          <w:tcPr>
            <w:tcW w:w="20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12611" w:rsidRPr="007B216A" w:rsidRDefault="00112611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7B216A">
              <w:rPr>
                <w:rFonts w:eastAsia="MS Mincho" w:cs="Times New Roman"/>
                <w:b/>
                <w:noProof/>
                <w:szCs w:val="32"/>
              </w:rPr>
              <w:t>Description of the T2S impact</w:t>
            </w:r>
          </w:p>
        </w:tc>
        <w:tc>
          <w:tcPr>
            <w:tcW w:w="7514" w:type="dxa"/>
            <w:tcBorders>
              <w:bottom w:val="single" w:sz="4" w:space="0" w:color="auto"/>
            </w:tcBorders>
          </w:tcPr>
          <w:p w:rsidR="00725DD0" w:rsidRPr="00725DD0" w:rsidRDefault="00725DD0" w:rsidP="00910D31">
            <w:pPr>
              <w:jc w:val="both"/>
              <w:rPr>
                <w:rFonts w:eastAsia="MS Mincho" w:cs="Times New Roman"/>
                <w:noProof/>
                <w:szCs w:val="32"/>
              </w:rPr>
            </w:pPr>
            <w:r w:rsidRPr="00725DD0">
              <w:rPr>
                <w:rFonts w:eastAsia="MS Mincho" w:cs="Times New Roman"/>
                <w:noProof/>
                <w:szCs w:val="32"/>
              </w:rPr>
              <w:t xml:space="preserve">Pratice to be implemented upstream of the CSD: </w:t>
            </w:r>
            <w:r>
              <w:rPr>
                <w:rFonts w:eastAsia="MS Mincho" w:cs="Times New Roman"/>
                <w:noProof/>
                <w:szCs w:val="32"/>
              </w:rPr>
              <w:t>no impact at CSD level given that settlement details are validated by counterparties by the time the order is processed, thus avoiding mismatches related to gaps in the trade date.</w:t>
            </w:r>
          </w:p>
          <w:p w:rsidR="00725DD0" w:rsidRPr="00725DD0" w:rsidRDefault="00725DD0" w:rsidP="00910D31">
            <w:pPr>
              <w:jc w:val="both"/>
              <w:rPr>
                <w:rFonts w:eastAsia="MS Mincho" w:cs="Times New Roman"/>
                <w:noProof/>
                <w:szCs w:val="32"/>
              </w:rPr>
            </w:pPr>
            <w:r w:rsidRPr="00725DD0">
              <w:rPr>
                <w:rFonts w:eastAsia="MS Mincho" w:cs="Times New Roman"/>
                <w:noProof/>
                <w:szCs w:val="32"/>
              </w:rPr>
              <w:t xml:space="preserve">Practice to be extended to </w:t>
            </w:r>
            <w:r>
              <w:rPr>
                <w:rFonts w:eastAsia="MS Mincho" w:cs="Times New Roman"/>
                <w:noProof/>
                <w:szCs w:val="32"/>
              </w:rPr>
              <w:t>cross-CSD operations, either as an intermediary in the transmission of orders on foreign funds, or as a Correspondent Transfer Agent or Local Transfer Agent for orders coming from foreign investors.</w:t>
            </w:r>
          </w:p>
          <w:p w:rsidR="00112611" w:rsidRPr="00725DD0" w:rsidRDefault="00725DD0" w:rsidP="00910D31">
            <w:pPr>
              <w:jc w:val="both"/>
              <w:rPr>
                <w:rFonts w:eastAsia="MS Mincho" w:cs="Times New Roman"/>
                <w:noProof/>
                <w:szCs w:val="32"/>
              </w:rPr>
            </w:pPr>
            <w:r w:rsidRPr="00725DD0">
              <w:rPr>
                <w:rFonts w:eastAsia="MS Mincho" w:cs="Times New Roman"/>
                <w:noProof/>
                <w:szCs w:val="32"/>
              </w:rPr>
              <w:t>The implementation of this practice at the international level would allow to avoid disagreements in the trade date, which is a matching criteria.</w:t>
            </w:r>
          </w:p>
        </w:tc>
      </w:tr>
      <w:tr w:rsidR="00112611" w:rsidRPr="00725DD0" w:rsidTr="008360C5">
        <w:tc>
          <w:tcPr>
            <w:tcW w:w="2092" w:type="dxa"/>
            <w:tcBorders>
              <w:left w:val="nil"/>
              <w:right w:val="nil"/>
            </w:tcBorders>
            <w:shd w:val="clear" w:color="auto" w:fill="auto"/>
          </w:tcPr>
          <w:p w:rsidR="00112611" w:rsidRPr="004113EB" w:rsidRDefault="00112611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4" w:type="dxa"/>
            <w:tcBorders>
              <w:left w:val="nil"/>
              <w:right w:val="nil"/>
            </w:tcBorders>
            <w:shd w:val="clear" w:color="auto" w:fill="auto"/>
          </w:tcPr>
          <w:p w:rsidR="00112611" w:rsidRPr="00725DD0" w:rsidRDefault="00112611" w:rsidP="0081511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112611" w:rsidRPr="00E62091" w:rsidTr="008360C5">
        <w:tc>
          <w:tcPr>
            <w:tcW w:w="2092" w:type="dxa"/>
            <w:shd w:val="clear" w:color="auto" w:fill="BFBFBF" w:themeFill="background1" w:themeFillShade="BF"/>
          </w:tcPr>
          <w:p w:rsidR="00112611" w:rsidRPr="000C4CA6" w:rsidRDefault="00112611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Description of the major issue</w:t>
            </w:r>
          </w:p>
        </w:tc>
        <w:tc>
          <w:tcPr>
            <w:tcW w:w="7514" w:type="dxa"/>
          </w:tcPr>
          <w:p w:rsidR="00725DD0" w:rsidRPr="00725DD0" w:rsidRDefault="00725DD0" w:rsidP="00910D31">
            <w:pPr>
              <w:jc w:val="both"/>
              <w:rPr>
                <w:rFonts w:eastAsia="MS Mincho" w:cs="Times New Roman"/>
                <w:noProof/>
                <w:szCs w:val="32"/>
              </w:rPr>
            </w:pPr>
            <w:r w:rsidRPr="00725DD0">
              <w:rPr>
                <w:rFonts w:eastAsia="MS Mincho" w:cs="Times New Roman"/>
                <w:noProof/>
                <w:szCs w:val="32"/>
              </w:rPr>
              <w:t>No</w:t>
            </w:r>
            <w:r w:rsidR="00A85017">
              <w:rPr>
                <w:rFonts w:eastAsia="MS Mincho" w:cs="Times New Roman"/>
                <w:noProof/>
                <w:szCs w:val="32"/>
              </w:rPr>
              <w:t>t</w:t>
            </w:r>
            <w:r w:rsidRPr="00725DD0">
              <w:rPr>
                <w:rFonts w:eastAsia="MS Mincho" w:cs="Times New Roman"/>
                <w:noProof/>
                <w:szCs w:val="32"/>
              </w:rPr>
              <w:t xml:space="preserve"> implementing this practice would force professionals to manage an increase in </w:t>
            </w:r>
            <w:r>
              <w:rPr>
                <w:rFonts w:eastAsia="MS Mincho" w:cs="Times New Roman"/>
                <w:noProof/>
                <w:szCs w:val="32"/>
              </w:rPr>
              <w:t xml:space="preserve">mismatches, as well as issues in the application of </w:t>
            </w:r>
            <w:r w:rsidR="00E62091">
              <w:rPr>
                <w:rFonts w:eastAsia="MS Mincho" w:cs="Times New Roman"/>
                <w:noProof/>
                <w:szCs w:val="32"/>
              </w:rPr>
              <w:t xml:space="preserve">a possible </w:t>
            </w:r>
            <w:r>
              <w:rPr>
                <w:rFonts w:eastAsia="MS Mincho" w:cs="Times New Roman"/>
                <w:noProof/>
                <w:szCs w:val="32"/>
              </w:rPr>
              <w:t>corporate ac</w:t>
            </w:r>
            <w:r w:rsidR="00E62091">
              <w:rPr>
                <w:rFonts w:eastAsia="MS Mincho" w:cs="Times New Roman"/>
                <w:noProof/>
                <w:szCs w:val="32"/>
              </w:rPr>
              <w:t>tion</w:t>
            </w:r>
            <w:r>
              <w:rPr>
                <w:rFonts w:eastAsia="MS Mincho" w:cs="Times New Roman"/>
                <w:noProof/>
                <w:szCs w:val="32"/>
              </w:rPr>
              <w:t>.</w:t>
            </w:r>
          </w:p>
          <w:p w:rsidR="00112611" w:rsidRPr="00E62091" w:rsidRDefault="00E62091" w:rsidP="00910D31">
            <w:pPr>
              <w:jc w:val="both"/>
              <w:rPr>
                <w:rFonts w:eastAsia="MS Mincho" w:cs="Times New Roman"/>
                <w:noProof/>
                <w:szCs w:val="32"/>
              </w:rPr>
            </w:pPr>
            <w:r w:rsidRPr="00E62091">
              <w:rPr>
                <w:rFonts w:eastAsia="MS Mincho" w:cs="Times New Roman"/>
                <w:noProof/>
                <w:szCs w:val="32"/>
              </w:rPr>
              <w:t xml:space="preserve">The objective is to </w:t>
            </w:r>
            <w:r>
              <w:rPr>
                <w:rFonts w:eastAsia="MS Mincho" w:cs="Times New Roman"/>
                <w:noProof/>
                <w:szCs w:val="32"/>
              </w:rPr>
              <w:t xml:space="preserve">avoid </w:t>
            </w:r>
            <w:r w:rsidRPr="00E62091">
              <w:rPr>
                <w:rFonts w:eastAsia="MS Mincho" w:cs="Times New Roman"/>
                <w:noProof/>
                <w:szCs w:val="32"/>
              </w:rPr>
              <w:t>settlement fails</w:t>
            </w:r>
            <w:r>
              <w:rPr>
                <w:rFonts w:eastAsia="MS Mincho" w:cs="Times New Roman"/>
                <w:noProof/>
                <w:szCs w:val="32"/>
              </w:rPr>
              <w:t>, and the possible deterioriation of the service level on the application of corporate actions.</w:t>
            </w:r>
          </w:p>
        </w:tc>
      </w:tr>
      <w:tr w:rsidR="00112611" w:rsidRPr="00E62091" w:rsidTr="008360C5">
        <w:tc>
          <w:tcPr>
            <w:tcW w:w="2092" w:type="dxa"/>
            <w:tcBorders>
              <w:left w:val="nil"/>
              <w:right w:val="nil"/>
            </w:tcBorders>
            <w:shd w:val="clear" w:color="auto" w:fill="auto"/>
          </w:tcPr>
          <w:p w:rsidR="00112611" w:rsidRPr="00E62091" w:rsidRDefault="00112611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4" w:type="dxa"/>
            <w:tcBorders>
              <w:left w:val="nil"/>
              <w:right w:val="nil"/>
            </w:tcBorders>
            <w:shd w:val="clear" w:color="auto" w:fill="auto"/>
          </w:tcPr>
          <w:p w:rsidR="00112611" w:rsidRPr="00E62091" w:rsidRDefault="00112611" w:rsidP="006542E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112611" w:rsidRPr="0081511D" w:rsidTr="008360C5">
        <w:tc>
          <w:tcPr>
            <w:tcW w:w="2092" w:type="dxa"/>
            <w:shd w:val="clear" w:color="auto" w:fill="BFBFBF" w:themeFill="background1" w:themeFillShade="BF"/>
          </w:tcPr>
          <w:p w:rsidR="00112611" w:rsidRPr="003348A6" w:rsidRDefault="00112611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lastRenderedPageBreak/>
              <w:t>Description of the roles and responsibilities of the ac</w:t>
            </w:r>
            <w:r>
              <w:rPr>
                <w:rFonts w:eastAsia="MS Mincho" w:cs="Times New Roman"/>
                <w:b/>
                <w:noProof/>
                <w:szCs w:val="32"/>
              </w:rPr>
              <w:t>to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rs involved </w:t>
            </w:r>
          </w:p>
          <w:p w:rsidR="00112611" w:rsidRPr="00D103DA" w:rsidRDefault="00112611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(OPTIONAL)</w:t>
            </w:r>
          </w:p>
        </w:tc>
        <w:tc>
          <w:tcPr>
            <w:tcW w:w="7514" w:type="dxa"/>
          </w:tcPr>
          <w:p w:rsidR="00112611" w:rsidRDefault="00112611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112611" w:rsidRDefault="00112611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112611" w:rsidRDefault="00112611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112611" w:rsidRPr="0081511D" w:rsidTr="008360C5">
        <w:tc>
          <w:tcPr>
            <w:tcW w:w="2092" w:type="dxa"/>
            <w:tcBorders>
              <w:left w:val="nil"/>
              <w:right w:val="nil"/>
            </w:tcBorders>
            <w:shd w:val="clear" w:color="auto" w:fill="auto"/>
          </w:tcPr>
          <w:p w:rsidR="00112611" w:rsidRDefault="00112611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4" w:type="dxa"/>
            <w:tcBorders>
              <w:left w:val="nil"/>
              <w:right w:val="nil"/>
            </w:tcBorders>
            <w:shd w:val="clear" w:color="auto" w:fill="auto"/>
          </w:tcPr>
          <w:p w:rsidR="00112611" w:rsidRPr="0081511D" w:rsidRDefault="00112611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112611" w:rsidRPr="0081511D" w:rsidTr="008360C5">
        <w:tc>
          <w:tcPr>
            <w:tcW w:w="2092" w:type="dxa"/>
            <w:shd w:val="clear" w:color="auto" w:fill="BFBFBF" w:themeFill="background1" w:themeFillShade="BF"/>
          </w:tcPr>
          <w:p w:rsidR="00112611" w:rsidRDefault="00112611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Workflows</w:t>
            </w:r>
          </w:p>
          <w:p w:rsidR="00112611" w:rsidRDefault="00112611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(OPTIONAL)</w:t>
            </w:r>
          </w:p>
        </w:tc>
        <w:tc>
          <w:tcPr>
            <w:tcW w:w="7514" w:type="dxa"/>
          </w:tcPr>
          <w:p w:rsidR="00112611" w:rsidRPr="00FD2FD6" w:rsidRDefault="00112611" w:rsidP="0081511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112611" w:rsidRPr="0081511D" w:rsidTr="008360C5">
        <w:tc>
          <w:tcPr>
            <w:tcW w:w="2092" w:type="dxa"/>
            <w:tcBorders>
              <w:left w:val="nil"/>
              <w:right w:val="nil"/>
            </w:tcBorders>
            <w:shd w:val="clear" w:color="auto" w:fill="auto"/>
          </w:tcPr>
          <w:p w:rsidR="00112611" w:rsidRDefault="00112611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4" w:type="dxa"/>
            <w:tcBorders>
              <w:left w:val="nil"/>
              <w:right w:val="nil"/>
            </w:tcBorders>
            <w:shd w:val="clear" w:color="auto" w:fill="auto"/>
          </w:tcPr>
          <w:p w:rsidR="00112611" w:rsidRPr="0081511D" w:rsidRDefault="00112611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112611" w:rsidRPr="00EB5895" w:rsidTr="008360C5">
        <w:tc>
          <w:tcPr>
            <w:tcW w:w="20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12611" w:rsidRPr="003348A6" w:rsidRDefault="00112611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Links with other market practices</w:t>
            </w:r>
          </w:p>
        </w:tc>
        <w:tc>
          <w:tcPr>
            <w:tcW w:w="7514" w:type="dxa"/>
            <w:tcBorders>
              <w:bottom w:val="single" w:sz="4" w:space="0" w:color="auto"/>
            </w:tcBorders>
          </w:tcPr>
          <w:p w:rsidR="00112611" w:rsidRPr="00112611" w:rsidRDefault="00112611" w:rsidP="003D75CA">
            <w:pPr>
              <w:jc w:val="both"/>
              <w:rPr>
                <w:rFonts w:eastAsia="MS Mincho" w:cs="Times New Roman"/>
                <w:noProof/>
                <w:szCs w:val="32"/>
              </w:rPr>
            </w:pPr>
          </w:p>
        </w:tc>
      </w:tr>
    </w:tbl>
    <w:p w:rsidR="001E0D83" w:rsidRPr="00112611" w:rsidRDefault="001E0D83" w:rsidP="00D103DA">
      <w:pPr>
        <w:spacing w:after="0" w:line="240" w:lineRule="auto"/>
        <w:rPr>
          <w:rFonts w:eastAsia="MS Mincho" w:cs="Times New Roman"/>
          <w:noProof/>
          <w:szCs w:val="32"/>
        </w:rPr>
      </w:pPr>
    </w:p>
    <w:p w:rsidR="0081511D" w:rsidRPr="00112611" w:rsidRDefault="0081511D" w:rsidP="00D103DA">
      <w:pPr>
        <w:spacing w:after="0" w:line="240" w:lineRule="auto"/>
        <w:rPr>
          <w:rFonts w:eastAsia="MS Mincho" w:cs="Times New Roman"/>
          <w:noProof/>
          <w:szCs w:val="32"/>
        </w:rPr>
      </w:pPr>
    </w:p>
    <w:p w:rsidR="00112611" w:rsidRPr="004F6025" w:rsidRDefault="00112611" w:rsidP="00112611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Recommended market practice</w:t>
      </w:r>
    </w:p>
    <w:p w:rsidR="0081511D" w:rsidRPr="00910D31" w:rsidRDefault="0081511D" w:rsidP="00D103DA">
      <w:pPr>
        <w:spacing w:after="0" w:line="240" w:lineRule="auto"/>
        <w:rPr>
          <w:rFonts w:eastAsia="MS Mincho" w:cs="Times New Roman"/>
          <w:noProof/>
          <w:sz w:val="6"/>
          <w:szCs w:val="32"/>
          <w:lang w:val="fr-FR"/>
        </w:rPr>
      </w:pPr>
    </w:p>
    <w:tbl>
      <w:tblPr>
        <w:tblStyle w:val="Grilledutableau"/>
        <w:tblW w:w="9605" w:type="dxa"/>
        <w:tblLook w:val="04A0" w:firstRow="1" w:lastRow="0" w:firstColumn="1" w:lastColumn="0" w:noHBand="0" w:noVBand="1"/>
      </w:tblPr>
      <w:tblGrid>
        <w:gridCol w:w="2092"/>
        <w:gridCol w:w="7513"/>
      </w:tblGrid>
      <w:tr w:rsidR="001E0D83" w:rsidRPr="008360C5" w:rsidTr="008360C5">
        <w:tc>
          <w:tcPr>
            <w:tcW w:w="2092" w:type="dxa"/>
            <w:shd w:val="clear" w:color="auto" w:fill="BFBFBF" w:themeFill="background1" w:themeFillShade="BF"/>
          </w:tcPr>
          <w:p w:rsidR="001E0D83" w:rsidRPr="00D103DA" w:rsidRDefault="00112611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Recommended practice</w:t>
            </w:r>
          </w:p>
        </w:tc>
        <w:tc>
          <w:tcPr>
            <w:tcW w:w="7513" w:type="dxa"/>
          </w:tcPr>
          <w:p w:rsidR="003D75CA" w:rsidRPr="00E62091" w:rsidRDefault="00E62091" w:rsidP="003D75CA">
            <w:pPr>
              <w:jc w:val="both"/>
              <w:rPr>
                <w:rFonts w:eastAsia="MS Mincho" w:cs="Times New Roman"/>
                <w:noProof/>
                <w:szCs w:val="32"/>
              </w:rPr>
            </w:pPr>
            <w:r w:rsidRPr="00E62091">
              <w:rPr>
                <w:rFonts w:eastAsia="MS Mincho" w:cs="Times New Roman"/>
                <w:noProof/>
                <w:szCs w:val="32"/>
              </w:rPr>
              <w:t>The recommendation is to keep the current market practice.</w:t>
            </w:r>
          </w:p>
          <w:p w:rsidR="00AA1FDB" w:rsidRPr="00E62091" w:rsidRDefault="00AA1FDB" w:rsidP="00C06869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</w:p>
        </w:tc>
      </w:tr>
      <w:tr w:rsidR="00112611" w:rsidRPr="00E62091" w:rsidTr="008360C5">
        <w:tc>
          <w:tcPr>
            <w:tcW w:w="2092" w:type="dxa"/>
            <w:shd w:val="clear" w:color="auto" w:fill="BFBFBF" w:themeFill="background1" w:themeFillShade="BF"/>
          </w:tcPr>
          <w:p w:rsidR="00112611" w:rsidRDefault="00112611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Reasons for the choice</w:t>
            </w:r>
          </w:p>
        </w:tc>
        <w:tc>
          <w:tcPr>
            <w:tcW w:w="7513" w:type="dxa"/>
          </w:tcPr>
          <w:p w:rsidR="00112611" w:rsidRPr="00E62091" w:rsidRDefault="00E62091" w:rsidP="00910D31">
            <w:pPr>
              <w:jc w:val="both"/>
              <w:rPr>
                <w:rFonts w:eastAsia="MS Mincho" w:cs="Times New Roman"/>
                <w:noProof/>
                <w:szCs w:val="32"/>
              </w:rPr>
            </w:pPr>
            <w:r w:rsidRPr="00E62091">
              <w:rPr>
                <w:rFonts w:eastAsia="MS Mincho" w:cs="Times New Roman"/>
                <w:noProof/>
                <w:szCs w:val="32"/>
              </w:rPr>
              <w:t xml:space="preserve">This market practice is already in force on the CSD model in France on French funds </w:t>
            </w:r>
            <w:r w:rsidR="00112611" w:rsidRPr="00E62091">
              <w:rPr>
                <w:rFonts w:eastAsia="MS Mincho" w:cs="Times New Roman"/>
                <w:noProof/>
                <w:szCs w:val="32"/>
              </w:rPr>
              <w:t xml:space="preserve">(Eses </w:t>
            </w:r>
            <w:r w:rsidRPr="00E62091">
              <w:rPr>
                <w:rFonts w:eastAsia="MS Mincho" w:cs="Times New Roman"/>
                <w:noProof/>
                <w:szCs w:val="32"/>
              </w:rPr>
              <w:t xml:space="preserve">and outside of </w:t>
            </w:r>
            <w:r w:rsidR="00112611" w:rsidRPr="00E62091">
              <w:rPr>
                <w:rFonts w:eastAsia="MS Mincho" w:cs="Times New Roman"/>
                <w:noProof/>
                <w:szCs w:val="32"/>
              </w:rPr>
              <w:t xml:space="preserve">Eses),  </w:t>
            </w:r>
            <w:r>
              <w:rPr>
                <w:rFonts w:eastAsia="MS Mincho" w:cs="Times New Roman"/>
                <w:noProof/>
                <w:szCs w:val="32"/>
              </w:rPr>
              <w:t xml:space="preserve">as well as on funds eligible to </w:t>
            </w:r>
            <w:r w:rsidR="00112611" w:rsidRPr="00E62091">
              <w:rPr>
                <w:rFonts w:eastAsia="MS Mincho" w:cs="Times New Roman"/>
                <w:noProof/>
                <w:szCs w:val="32"/>
              </w:rPr>
              <w:t>Eses.</w:t>
            </w:r>
          </w:p>
          <w:p w:rsidR="00E62091" w:rsidRPr="00E62091" w:rsidRDefault="00E62091" w:rsidP="00910D31">
            <w:pPr>
              <w:jc w:val="both"/>
              <w:rPr>
                <w:rFonts w:eastAsia="MS Mincho" w:cs="Times New Roman"/>
                <w:noProof/>
                <w:szCs w:val="32"/>
              </w:rPr>
            </w:pPr>
            <w:r w:rsidRPr="00E62091">
              <w:rPr>
                <w:rFonts w:eastAsia="MS Mincho" w:cs="Times New Roman"/>
                <w:noProof/>
                <w:szCs w:val="32"/>
              </w:rPr>
              <w:t xml:space="preserve">This practice should be extended to </w:t>
            </w:r>
            <w:r>
              <w:rPr>
                <w:rFonts w:eastAsia="MS Mincho" w:cs="Times New Roman"/>
                <w:noProof/>
                <w:szCs w:val="32"/>
              </w:rPr>
              <w:t>cross-CSD operations, either as an intermediary in the transmission of orders on foreign funds, or as a Correspondent Transfer Agent or Local Transfer Agent for orders coming from foreign investors.</w:t>
            </w:r>
          </w:p>
          <w:p w:rsidR="00112611" w:rsidRPr="00E62091" w:rsidRDefault="00E62091" w:rsidP="00910D31">
            <w:pPr>
              <w:jc w:val="both"/>
              <w:rPr>
                <w:rFonts w:eastAsia="MS Mincho" w:cs="Times New Roman"/>
                <w:noProof/>
                <w:szCs w:val="32"/>
              </w:rPr>
            </w:pPr>
            <w:r w:rsidRPr="00725DD0">
              <w:rPr>
                <w:rFonts w:eastAsia="MS Mincho" w:cs="Times New Roman"/>
                <w:noProof/>
                <w:szCs w:val="32"/>
              </w:rPr>
              <w:t>The implementation of this practice at the international level would allow to avoid disagreements in the trade date, which is a matching criteria.</w:t>
            </w:r>
          </w:p>
        </w:tc>
      </w:tr>
      <w:tr w:rsidR="00112611" w:rsidRPr="00E62091" w:rsidTr="008360C5">
        <w:tc>
          <w:tcPr>
            <w:tcW w:w="2092" w:type="dxa"/>
            <w:tcBorders>
              <w:left w:val="nil"/>
              <w:right w:val="nil"/>
            </w:tcBorders>
            <w:shd w:val="clear" w:color="auto" w:fill="auto"/>
          </w:tcPr>
          <w:p w:rsidR="00112611" w:rsidRPr="00E62091" w:rsidRDefault="00112611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112611" w:rsidRPr="00E62091" w:rsidRDefault="00112611" w:rsidP="006542E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112611" w:rsidTr="008360C5">
        <w:tc>
          <w:tcPr>
            <w:tcW w:w="20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12611" w:rsidRPr="003348A6" w:rsidRDefault="00112611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Description of the roles and responsibilities of the ac</w:t>
            </w:r>
            <w:r>
              <w:rPr>
                <w:rFonts w:eastAsia="MS Mincho" w:cs="Times New Roman"/>
                <w:b/>
                <w:noProof/>
                <w:szCs w:val="32"/>
              </w:rPr>
              <w:t>to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rs involved </w:t>
            </w:r>
          </w:p>
          <w:p w:rsidR="00112611" w:rsidRPr="00F370B0" w:rsidRDefault="00112611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F370B0">
              <w:rPr>
                <w:rFonts w:eastAsia="MS Mincho" w:cs="Times New Roman"/>
                <w:b/>
                <w:noProof/>
                <w:szCs w:val="32"/>
              </w:rPr>
              <w:t>(OPTIONAL)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112611" w:rsidRDefault="00112611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112611" w:rsidRDefault="00112611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112611" w:rsidRDefault="00112611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112611" w:rsidRDefault="00112611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112611" w:rsidTr="008360C5">
        <w:tc>
          <w:tcPr>
            <w:tcW w:w="209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12611" w:rsidRDefault="00112611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112611" w:rsidRDefault="00112611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112611" w:rsidTr="008360C5">
        <w:tc>
          <w:tcPr>
            <w:tcW w:w="2092" w:type="dxa"/>
            <w:shd w:val="clear" w:color="auto" w:fill="BFBFBF" w:themeFill="background1" w:themeFillShade="BF"/>
          </w:tcPr>
          <w:p w:rsidR="00112611" w:rsidRPr="00F370B0" w:rsidRDefault="00112611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F370B0">
              <w:rPr>
                <w:rFonts w:eastAsia="MS Mincho" w:cs="Times New Roman"/>
                <w:b/>
                <w:noProof/>
                <w:szCs w:val="32"/>
              </w:rPr>
              <w:t>Workflows</w:t>
            </w:r>
          </w:p>
          <w:p w:rsidR="00112611" w:rsidRPr="00F370B0" w:rsidRDefault="00112611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F370B0">
              <w:rPr>
                <w:rFonts w:eastAsia="MS Mincho" w:cs="Times New Roman"/>
                <w:b/>
                <w:noProof/>
                <w:szCs w:val="32"/>
              </w:rPr>
              <w:t>(OPTIONAL)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112611" w:rsidRDefault="00112611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112611" w:rsidRDefault="00112611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</w:tbl>
    <w:p w:rsidR="00363E89" w:rsidRPr="00910D31" w:rsidRDefault="00363E89" w:rsidP="001E0D83">
      <w:pPr>
        <w:spacing w:after="0" w:line="240" w:lineRule="auto"/>
        <w:rPr>
          <w:rFonts w:eastAsia="MS Mincho" w:cs="Times New Roman"/>
          <w:noProof/>
          <w:sz w:val="16"/>
          <w:szCs w:val="32"/>
          <w:lang w:val="fr-FR"/>
        </w:rPr>
      </w:pPr>
    </w:p>
    <w:p w:rsidR="00112611" w:rsidRDefault="00112611" w:rsidP="00910D31">
      <w:pPr>
        <w:spacing w:after="0" w:line="240" w:lineRule="auto"/>
        <w:rPr>
          <w:rFonts w:eastAsia="MS Mincho" w:cs="Times New Roman"/>
          <w:b/>
          <w:caps/>
          <w:noProof/>
          <w:sz w:val="32"/>
          <w:szCs w:val="32"/>
          <w:lang w:val="fr-FR"/>
        </w:rPr>
      </w:pPr>
    </w:p>
    <w:p w:rsidR="00112611" w:rsidRPr="004F6025" w:rsidRDefault="00112611" w:rsidP="00112611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IMPLEMENTATION</w:t>
      </w:r>
      <w:bookmarkStart w:id="4" w:name="_GoBack"/>
      <w:bookmarkEnd w:id="4"/>
    </w:p>
    <w:p w:rsidR="00140482" w:rsidRDefault="00140482" w:rsidP="00140482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Grilledutableau"/>
        <w:tblW w:w="9616" w:type="dxa"/>
        <w:tblLook w:val="04A0" w:firstRow="1" w:lastRow="0" w:firstColumn="1" w:lastColumn="0" w:noHBand="0" w:noVBand="1"/>
      </w:tblPr>
      <w:tblGrid>
        <w:gridCol w:w="2302"/>
        <w:gridCol w:w="2166"/>
        <w:gridCol w:w="272"/>
        <w:gridCol w:w="1599"/>
        <w:gridCol w:w="839"/>
        <w:gridCol w:w="842"/>
        <w:gridCol w:w="1556"/>
        <w:gridCol w:w="40"/>
      </w:tblGrid>
      <w:tr w:rsidR="00112611" w:rsidRPr="00112611" w:rsidTr="000E651B">
        <w:trPr>
          <w:trHeight w:val="338"/>
        </w:trPr>
        <w:tc>
          <w:tcPr>
            <w:tcW w:w="2302" w:type="dxa"/>
            <w:vMerge w:val="restart"/>
            <w:shd w:val="clear" w:color="auto" w:fill="BFBFBF" w:themeFill="background1" w:themeFillShade="BF"/>
          </w:tcPr>
          <w:p w:rsidR="00112611" w:rsidRPr="00D103DA" w:rsidRDefault="00112611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Implementation timeline</w:t>
            </w:r>
          </w:p>
        </w:tc>
        <w:tc>
          <w:tcPr>
            <w:tcW w:w="2438" w:type="dxa"/>
            <w:gridSpan w:val="2"/>
          </w:tcPr>
          <w:p w:rsidR="00112611" w:rsidRPr="003348A6" w:rsidRDefault="00112611" w:rsidP="000E651B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Before the migration </w:t>
            </w:r>
            <w:r>
              <w:rPr>
                <w:rFonts w:eastAsia="MS Mincho" w:cs="Times New Roman"/>
                <w:b/>
                <w:noProof/>
                <w:szCs w:val="32"/>
              </w:rPr>
              <w:t xml:space="preserve">to 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>T2S</w:t>
            </w:r>
          </w:p>
        </w:tc>
        <w:tc>
          <w:tcPr>
            <w:tcW w:w="2438" w:type="dxa"/>
            <w:gridSpan w:val="2"/>
          </w:tcPr>
          <w:p w:rsidR="00112611" w:rsidRPr="003348A6" w:rsidRDefault="00112611" w:rsidP="000E651B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Upon go live on T2S</w:t>
            </w:r>
          </w:p>
        </w:tc>
        <w:tc>
          <w:tcPr>
            <w:tcW w:w="2438" w:type="dxa"/>
            <w:gridSpan w:val="3"/>
          </w:tcPr>
          <w:p w:rsidR="00112611" w:rsidRPr="003348A6" w:rsidRDefault="00112611" w:rsidP="000E651B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After the migration </w:t>
            </w:r>
            <w:r>
              <w:rPr>
                <w:rFonts w:eastAsia="MS Mincho" w:cs="Times New Roman"/>
                <w:b/>
                <w:noProof/>
                <w:szCs w:val="32"/>
              </w:rPr>
              <w:t xml:space="preserve">to 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>T2S</w:t>
            </w:r>
          </w:p>
        </w:tc>
      </w:tr>
      <w:tr w:rsidR="00140482" w:rsidTr="000E651B">
        <w:trPr>
          <w:trHeight w:val="337"/>
        </w:trPr>
        <w:tc>
          <w:tcPr>
            <w:tcW w:w="2302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40482" w:rsidRPr="00112611" w:rsidRDefault="00140482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40482" w:rsidRDefault="00140482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</w:tcPr>
          <w:p w:rsidR="00140482" w:rsidRDefault="0085743B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12/09/2016</w:t>
            </w:r>
          </w:p>
        </w:tc>
        <w:tc>
          <w:tcPr>
            <w:tcW w:w="2438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140482" w:rsidRDefault="00140482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</w:tc>
      </w:tr>
      <w:tr w:rsidR="00140482" w:rsidTr="000E651B">
        <w:trPr>
          <w:gridAfter w:val="1"/>
          <w:wAfter w:w="40" w:type="dxa"/>
          <w:trHeight w:val="337"/>
        </w:trPr>
        <w:tc>
          <w:tcPr>
            <w:tcW w:w="230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216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87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68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jc w:val="center"/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55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112611" w:rsidTr="000E651B">
        <w:trPr>
          <w:gridAfter w:val="1"/>
          <w:wAfter w:w="40" w:type="dxa"/>
        </w:trPr>
        <w:tc>
          <w:tcPr>
            <w:tcW w:w="230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12611" w:rsidRPr="000C4CA6" w:rsidRDefault="00112611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0D33A6">
              <w:rPr>
                <w:rFonts w:eastAsia="MS Mincho" w:cs="Times New Roman"/>
                <w:b/>
                <w:noProof/>
                <w:szCs w:val="32"/>
              </w:rPr>
              <w:t>Requirement for a specific test set</w:t>
            </w:r>
          </w:p>
        </w:tc>
        <w:tc>
          <w:tcPr>
            <w:tcW w:w="4037" w:type="dxa"/>
            <w:gridSpan w:val="3"/>
            <w:tcBorders>
              <w:bottom w:val="single" w:sz="4" w:space="0" w:color="auto"/>
            </w:tcBorders>
          </w:tcPr>
          <w:p w:rsidR="00112611" w:rsidRPr="00922B9C" w:rsidRDefault="00112611" w:rsidP="00922B9C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6"/>
                <w:szCs w:val="16"/>
                <w:lang w:val="fr-FR"/>
              </w:rPr>
            </w:pPr>
            <w:r>
              <w:rPr>
                <w:lang w:val="fr-FR"/>
              </w:rPr>
              <w:t xml:space="preserve">Yes  </w:t>
            </w: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12611" w:rsidRPr="00E35B86" w:rsidRDefault="00112611" w:rsidP="000E651B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6"/>
                <w:szCs w:val="16"/>
                <w:lang w:val="fr-FR"/>
              </w:rPr>
            </w:pPr>
          </w:p>
        </w:tc>
        <w:tc>
          <w:tcPr>
            <w:tcW w:w="3237" w:type="dxa"/>
            <w:gridSpan w:val="3"/>
            <w:tcBorders>
              <w:bottom w:val="single" w:sz="4" w:space="0" w:color="auto"/>
            </w:tcBorders>
          </w:tcPr>
          <w:p w:rsidR="00112611" w:rsidRDefault="00112611" w:rsidP="0085743B">
            <w:pPr>
              <w:tabs>
                <w:tab w:val="left" w:pos="9356"/>
              </w:tabs>
              <w:ind w:right="-279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No  </w:t>
            </w: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</w:tc>
      </w:tr>
    </w:tbl>
    <w:p w:rsidR="00BA6B0A" w:rsidRDefault="00BA6B0A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sectPr w:rsidR="00BA6B0A" w:rsidSect="006D6846">
      <w:headerReference w:type="default" r:id="rId7"/>
      <w:footerReference w:type="default" r:id="rId8"/>
      <w:pgSz w:w="12240" w:h="15840"/>
      <w:pgMar w:top="14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A3A" w:rsidRDefault="00176A3A" w:rsidP="006D6846">
      <w:pPr>
        <w:spacing w:after="0" w:line="240" w:lineRule="auto"/>
      </w:pPr>
      <w:r>
        <w:separator/>
      </w:r>
    </w:p>
  </w:endnote>
  <w:endnote w:type="continuationSeparator" w:id="0">
    <w:p w:rsidR="00176A3A" w:rsidRDefault="00176A3A" w:rsidP="006D6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976056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910D31" w:rsidRDefault="00910D31">
            <w:pPr>
              <w:pStyle w:val="Pieddepage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C776F" w:rsidRDefault="00EC776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A3A" w:rsidRDefault="00176A3A" w:rsidP="006D6846">
      <w:pPr>
        <w:spacing w:after="0" w:line="240" w:lineRule="auto"/>
      </w:pPr>
      <w:r>
        <w:separator/>
      </w:r>
    </w:p>
  </w:footnote>
  <w:footnote w:type="continuationSeparator" w:id="0">
    <w:p w:rsidR="00176A3A" w:rsidRDefault="00176A3A" w:rsidP="006D6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104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78"/>
      <w:gridCol w:w="4127"/>
    </w:tblGrid>
    <w:tr w:rsidR="00EC776F" w:rsidTr="00910D31">
      <w:trPr>
        <w:trHeight w:val="779"/>
      </w:trPr>
      <w:tc>
        <w:tcPr>
          <w:tcW w:w="6278" w:type="dxa"/>
          <w:vAlign w:val="center"/>
        </w:tcPr>
        <w:p w:rsidR="00112611" w:rsidRPr="005B1C9D" w:rsidRDefault="00112611" w:rsidP="00112611">
          <w:pPr>
            <w:pStyle w:val="En-tte"/>
            <w:jc w:val="center"/>
            <w:rPr>
              <w:b/>
            </w:rPr>
          </w:pPr>
          <w:r w:rsidRPr="005B1C9D">
            <w:rPr>
              <w:b/>
            </w:rPr>
            <w:t>T2S Market Practice Adaptation Workgroup</w:t>
          </w:r>
        </w:p>
        <w:p w:rsidR="00EC776F" w:rsidRPr="00112611" w:rsidRDefault="00112611" w:rsidP="00112611">
          <w:pPr>
            <w:pStyle w:val="En-tte"/>
            <w:jc w:val="center"/>
            <w:rPr>
              <w:b/>
            </w:rPr>
          </w:pPr>
          <w:r w:rsidRPr="005B1C9D">
            <w:rPr>
              <w:b/>
            </w:rPr>
            <w:t xml:space="preserve">Market Practice </w:t>
          </w:r>
          <w:r>
            <w:rPr>
              <w:b/>
            </w:rPr>
            <w:t>Sheet</w:t>
          </w:r>
        </w:p>
      </w:tc>
      <w:tc>
        <w:tcPr>
          <w:tcW w:w="4127" w:type="dxa"/>
          <w:vAlign w:val="center"/>
        </w:tcPr>
        <w:p w:rsidR="00EC776F" w:rsidRDefault="00EC776F" w:rsidP="00910D31">
          <w:pPr>
            <w:pStyle w:val="En-tte"/>
            <w:rPr>
              <w:b/>
              <w:lang w:val="fr-FR"/>
            </w:rPr>
          </w:pPr>
          <w:r>
            <w:rPr>
              <w:noProof/>
              <w:lang w:val="fr-FR" w:eastAsia="fr-FR"/>
            </w:rPr>
            <w:drawing>
              <wp:inline distT="0" distB="0" distL="0" distR="0" wp14:anchorId="0D39F3AB" wp14:editId="0345AA69">
                <wp:extent cx="1032931" cy="516467"/>
                <wp:effectExtent l="0" t="0" r="0" b="0"/>
                <wp:docPr id="8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4228" cy="5171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910D31">
            <w:object w:dxaOrig="7200" w:dyaOrig="460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5.45pt;height:42.6pt" o:ole="">
                <v:imagedata r:id="rId2" o:title=""/>
              </v:shape>
              <o:OLEObject Type="Embed" ProgID="PBrush" ShapeID="_x0000_i1025" DrawAspect="Content" ObjectID="_1524933535" r:id="rId3"/>
            </w:object>
          </w:r>
        </w:p>
      </w:tc>
    </w:tr>
    <w:tr w:rsidR="00EC776F" w:rsidRPr="00EB5895" w:rsidTr="00910D31">
      <w:trPr>
        <w:trHeight w:val="256"/>
      </w:trPr>
      <w:tc>
        <w:tcPr>
          <w:tcW w:w="6278" w:type="dxa"/>
          <w:vAlign w:val="center"/>
        </w:tcPr>
        <w:p w:rsidR="00EC776F" w:rsidRPr="00112611" w:rsidRDefault="00112611" w:rsidP="00910D31">
          <w:pPr>
            <w:pStyle w:val="En-tte"/>
            <w:jc w:val="center"/>
            <w:rPr>
              <w:i/>
            </w:rPr>
          </w:pPr>
          <w:r>
            <w:rPr>
              <w:i/>
            </w:rPr>
            <w:t>Practice</w:t>
          </w:r>
          <w:r w:rsidRPr="0033411F">
            <w:rPr>
              <w:i/>
            </w:rPr>
            <w:t xml:space="preserve"> reference</w:t>
          </w:r>
          <w:r w:rsidR="00EC776F" w:rsidRPr="00112611">
            <w:rPr>
              <w:i/>
            </w:rPr>
            <w:t xml:space="preserve">: </w:t>
          </w:r>
          <w:r w:rsidR="00EB5895" w:rsidRPr="00112611">
            <w:rPr>
              <w:i/>
            </w:rPr>
            <w:t>OP-SETTL-TRADE-01</w:t>
          </w:r>
        </w:p>
      </w:tc>
      <w:tc>
        <w:tcPr>
          <w:tcW w:w="4127" w:type="dxa"/>
          <w:vAlign w:val="center"/>
        </w:tcPr>
        <w:p w:rsidR="00EC776F" w:rsidRPr="00112611" w:rsidRDefault="00EC776F" w:rsidP="00EC776F">
          <w:pPr>
            <w:pStyle w:val="En-tte"/>
            <w:jc w:val="center"/>
            <w:rPr>
              <w:noProof/>
            </w:rPr>
          </w:pPr>
        </w:p>
      </w:tc>
    </w:tr>
  </w:tbl>
  <w:p w:rsidR="00EC776F" w:rsidRPr="00112611" w:rsidRDefault="00EC776F">
    <w:pPr>
      <w:pStyle w:val="En-tte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4BC6"/>
    <w:multiLevelType w:val="hybridMultilevel"/>
    <w:tmpl w:val="2C0049D2"/>
    <w:lvl w:ilvl="0" w:tplc="A162A862">
      <w:start w:val="1"/>
      <w:numFmt w:val="bullet"/>
      <w:lvlText w:val=""/>
      <w:lvlJc w:val="left"/>
      <w:pPr>
        <w:ind w:left="114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49741B3"/>
    <w:multiLevelType w:val="hybridMultilevel"/>
    <w:tmpl w:val="1B20EB06"/>
    <w:lvl w:ilvl="0" w:tplc="437E9AEE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E79DC"/>
    <w:multiLevelType w:val="hybridMultilevel"/>
    <w:tmpl w:val="FF563A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7101850">
      <w:start w:val="30"/>
      <w:numFmt w:val="bullet"/>
      <w:lvlText w:val=""/>
      <w:lvlJc w:val="left"/>
      <w:pPr>
        <w:ind w:left="2520" w:hanging="360"/>
      </w:pPr>
      <w:rPr>
        <w:rFonts w:ascii="Wingdings" w:eastAsia="MS Mincho" w:hAnsi="Wingdings" w:cs="Tahoma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5A7E25"/>
    <w:multiLevelType w:val="hybridMultilevel"/>
    <w:tmpl w:val="B692A802"/>
    <w:lvl w:ilvl="0" w:tplc="0C880406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E0530"/>
    <w:multiLevelType w:val="hybridMultilevel"/>
    <w:tmpl w:val="5404B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7B0E1E"/>
    <w:multiLevelType w:val="hybridMultilevel"/>
    <w:tmpl w:val="43EAEF10"/>
    <w:lvl w:ilvl="0" w:tplc="93466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685906"/>
    <w:multiLevelType w:val="hybridMultilevel"/>
    <w:tmpl w:val="B170918E"/>
    <w:lvl w:ilvl="0" w:tplc="1546A4E6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33259"/>
    <w:multiLevelType w:val="hybridMultilevel"/>
    <w:tmpl w:val="655ABB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65323E3"/>
    <w:multiLevelType w:val="hybridMultilevel"/>
    <w:tmpl w:val="92625E74"/>
    <w:lvl w:ilvl="0" w:tplc="1A349598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8479E7"/>
    <w:multiLevelType w:val="hybridMultilevel"/>
    <w:tmpl w:val="E1226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F2BC6"/>
    <w:multiLevelType w:val="hybridMultilevel"/>
    <w:tmpl w:val="1C8C7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4"/>
  </w:num>
  <w:num w:numId="10">
    <w:abstractNumId w:val="6"/>
  </w:num>
  <w:num w:numId="11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 Sousa, Maria">
    <w15:presenceInfo w15:providerId="AD" w15:userId="S-1-5-21-3942990428-588001494-4079709122-109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846"/>
    <w:rsid w:val="00020084"/>
    <w:rsid w:val="000706A3"/>
    <w:rsid w:val="000A6C94"/>
    <w:rsid w:val="000C1C9B"/>
    <w:rsid w:val="000D6F4D"/>
    <w:rsid w:val="000F3C24"/>
    <w:rsid w:val="00112611"/>
    <w:rsid w:val="00113071"/>
    <w:rsid w:val="00140482"/>
    <w:rsid w:val="00145ADA"/>
    <w:rsid w:val="001522A5"/>
    <w:rsid w:val="00162BBA"/>
    <w:rsid w:val="00176A3A"/>
    <w:rsid w:val="00183F7A"/>
    <w:rsid w:val="001A26CA"/>
    <w:rsid w:val="001B0416"/>
    <w:rsid w:val="001B1E38"/>
    <w:rsid w:val="001C4C4C"/>
    <w:rsid w:val="001C7BAF"/>
    <w:rsid w:val="001D7830"/>
    <w:rsid w:val="001E0D83"/>
    <w:rsid w:val="00211814"/>
    <w:rsid w:val="00217510"/>
    <w:rsid w:val="00283DDE"/>
    <w:rsid w:val="0028538B"/>
    <w:rsid w:val="00343829"/>
    <w:rsid w:val="00343B9E"/>
    <w:rsid w:val="003631EA"/>
    <w:rsid w:val="00363E89"/>
    <w:rsid w:val="003929BA"/>
    <w:rsid w:val="003A4E76"/>
    <w:rsid w:val="003B3DA4"/>
    <w:rsid w:val="003D5E9F"/>
    <w:rsid w:val="003D7060"/>
    <w:rsid w:val="003D75CA"/>
    <w:rsid w:val="00464015"/>
    <w:rsid w:val="004818D8"/>
    <w:rsid w:val="00482296"/>
    <w:rsid w:val="00487A07"/>
    <w:rsid w:val="004B5451"/>
    <w:rsid w:val="004F6025"/>
    <w:rsid w:val="005061BA"/>
    <w:rsid w:val="005067E0"/>
    <w:rsid w:val="0051485E"/>
    <w:rsid w:val="005505BE"/>
    <w:rsid w:val="00567B1D"/>
    <w:rsid w:val="00575F36"/>
    <w:rsid w:val="005B0320"/>
    <w:rsid w:val="005C2ACA"/>
    <w:rsid w:val="00622E8A"/>
    <w:rsid w:val="00625541"/>
    <w:rsid w:val="00652C13"/>
    <w:rsid w:val="00683A1D"/>
    <w:rsid w:val="00694503"/>
    <w:rsid w:val="0069580E"/>
    <w:rsid w:val="006D6846"/>
    <w:rsid w:val="00701AE2"/>
    <w:rsid w:val="00714CE6"/>
    <w:rsid w:val="00725DD0"/>
    <w:rsid w:val="00727BF7"/>
    <w:rsid w:val="00745F82"/>
    <w:rsid w:val="0074709E"/>
    <w:rsid w:val="00765664"/>
    <w:rsid w:val="00776CD9"/>
    <w:rsid w:val="007B7B10"/>
    <w:rsid w:val="007C7303"/>
    <w:rsid w:val="007F6CFC"/>
    <w:rsid w:val="0080446B"/>
    <w:rsid w:val="0081511D"/>
    <w:rsid w:val="00830B7B"/>
    <w:rsid w:val="008360C5"/>
    <w:rsid w:val="00837334"/>
    <w:rsid w:val="00841E84"/>
    <w:rsid w:val="0085743B"/>
    <w:rsid w:val="008800A4"/>
    <w:rsid w:val="00893912"/>
    <w:rsid w:val="008A30A6"/>
    <w:rsid w:val="008C734C"/>
    <w:rsid w:val="00910D31"/>
    <w:rsid w:val="0091257E"/>
    <w:rsid w:val="0092276F"/>
    <w:rsid w:val="00922A8E"/>
    <w:rsid w:val="00922B9C"/>
    <w:rsid w:val="00933237"/>
    <w:rsid w:val="009606C4"/>
    <w:rsid w:val="00982218"/>
    <w:rsid w:val="00995F65"/>
    <w:rsid w:val="009978DE"/>
    <w:rsid w:val="009A24A6"/>
    <w:rsid w:val="009A2F1A"/>
    <w:rsid w:val="009A64D1"/>
    <w:rsid w:val="00A133A7"/>
    <w:rsid w:val="00A20577"/>
    <w:rsid w:val="00A21489"/>
    <w:rsid w:val="00A40ED4"/>
    <w:rsid w:val="00A45A45"/>
    <w:rsid w:val="00A678C0"/>
    <w:rsid w:val="00A746A0"/>
    <w:rsid w:val="00A85017"/>
    <w:rsid w:val="00A90EEC"/>
    <w:rsid w:val="00AA1FDB"/>
    <w:rsid w:val="00AA62D7"/>
    <w:rsid w:val="00AC134F"/>
    <w:rsid w:val="00B26098"/>
    <w:rsid w:val="00B31057"/>
    <w:rsid w:val="00B44E11"/>
    <w:rsid w:val="00B540C8"/>
    <w:rsid w:val="00B62B1E"/>
    <w:rsid w:val="00B727D8"/>
    <w:rsid w:val="00B75648"/>
    <w:rsid w:val="00B9491F"/>
    <w:rsid w:val="00BA66D3"/>
    <w:rsid w:val="00BA6B0A"/>
    <w:rsid w:val="00BB5780"/>
    <w:rsid w:val="00BC7577"/>
    <w:rsid w:val="00BE4C60"/>
    <w:rsid w:val="00C06869"/>
    <w:rsid w:val="00C070B0"/>
    <w:rsid w:val="00C1000A"/>
    <w:rsid w:val="00C221EA"/>
    <w:rsid w:val="00C33595"/>
    <w:rsid w:val="00C3423B"/>
    <w:rsid w:val="00C41782"/>
    <w:rsid w:val="00C43D15"/>
    <w:rsid w:val="00C57689"/>
    <w:rsid w:val="00C60EC8"/>
    <w:rsid w:val="00C65EB2"/>
    <w:rsid w:val="00C77C0A"/>
    <w:rsid w:val="00CB0F41"/>
    <w:rsid w:val="00CC7462"/>
    <w:rsid w:val="00CD3755"/>
    <w:rsid w:val="00CE6DA3"/>
    <w:rsid w:val="00CF605A"/>
    <w:rsid w:val="00D103DA"/>
    <w:rsid w:val="00D12DE8"/>
    <w:rsid w:val="00D252A7"/>
    <w:rsid w:val="00D50DB6"/>
    <w:rsid w:val="00D529B3"/>
    <w:rsid w:val="00D53037"/>
    <w:rsid w:val="00D5515F"/>
    <w:rsid w:val="00D972D0"/>
    <w:rsid w:val="00DB106F"/>
    <w:rsid w:val="00DD071C"/>
    <w:rsid w:val="00E351C1"/>
    <w:rsid w:val="00E35B86"/>
    <w:rsid w:val="00E438E3"/>
    <w:rsid w:val="00E52109"/>
    <w:rsid w:val="00E62091"/>
    <w:rsid w:val="00E62EAE"/>
    <w:rsid w:val="00EA5560"/>
    <w:rsid w:val="00EB44AB"/>
    <w:rsid w:val="00EB5895"/>
    <w:rsid w:val="00EC776F"/>
    <w:rsid w:val="00F00BF4"/>
    <w:rsid w:val="00F358FF"/>
    <w:rsid w:val="00F35CCA"/>
    <w:rsid w:val="00F84B2D"/>
    <w:rsid w:val="00F86CD3"/>
    <w:rsid w:val="00F904C9"/>
    <w:rsid w:val="00F91864"/>
    <w:rsid w:val="00FC06B7"/>
    <w:rsid w:val="00FC4F18"/>
    <w:rsid w:val="00FE1975"/>
    <w:rsid w:val="00FE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492D00E-2596-4300-B269-DDBE9D99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6846"/>
  </w:style>
  <w:style w:type="paragraph" w:styleId="Pieddepage">
    <w:name w:val="footer"/>
    <w:basedOn w:val="Normal"/>
    <w:link w:val="PieddepageC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6846"/>
  </w:style>
  <w:style w:type="paragraph" w:styleId="Textedebulles">
    <w:name w:val="Balloon Text"/>
    <w:basedOn w:val="Normal"/>
    <w:link w:val="TextedebullesCar"/>
    <w:uiPriority w:val="99"/>
    <w:semiHidden/>
    <w:unhideWhenUsed/>
    <w:rsid w:val="006D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6846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99"/>
    <w:rsid w:val="00DB106F"/>
    <w:pPr>
      <w:tabs>
        <w:tab w:val="right" w:leader="dot" w:pos="9771"/>
      </w:tabs>
      <w:spacing w:before="120" w:after="120" w:line="240" w:lineRule="auto"/>
      <w:jc w:val="both"/>
    </w:pPr>
    <w:rPr>
      <w:rFonts w:ascii="Times New Roman" w:eastAsia="MS Mincho" w:hAnsi="Times New Roman" w:cs="Times New Roman"/>
      <w:b/>
      <w:caps/>
      <w:noProof/>
      <w:sz w:val="32"/>
      <w:szCs w:val="32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B26098"/>
    <w:pPr>
      <w:ind w:left="720"/>
      <w:contextualSpacing/>
    </w:pPr>
  </w:style>
  <w:style w:type="table" w:styleId="Grilledutableau">
    <w:name w:val="Table Grid"/>
    <w:basedOn w:val="TableauNormal"/>
    <w:uiPriority w:val="59"/>
    <w:rsid w:val="001B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Normal"/>
    <w:link w:val="normChar"/>
    <w:uiPriority w:val="99"/>
    <w:rsid w:val="00CE6DA3"/>
    <w:pPr>
      <w:tabs>
        <w:tab w:val="left" w:pos="851"/>
        <w:tab w:val="right" w:pos="9356"/>
      </w:tabs>
      <w:spacing w:before="60" w:after="60" w:line="360" w:lineRule="atLeas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ormChar">
    <w:name w:val="norm Char"/>
    <w:link w:val="norm"/>
    <w:uiPriority w:val="99"/>
    <w:locked/>
    <w:rsid w:val="00CE6DA3"/>
    <w:rPr>
      <w:rFonts w:ascii="Times New Roman" w:eastAsia="Times New Roman" w:hAnsi="Times New Roman" w:cs="Times New Roman"/>
      <w:szCs w:val="20"/>
    </w:rPr>
  </w:style>
  <w:style w:type="paragraph" w:customStyle="1" w:styleId="CM1">
    <w:name w:val="CM1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3">
    <w:name w:val="CM3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4">
    <w:name w:val="CM4"/>
    <w:basedOn w:val="Normal"/>
    <w:next w:val="Normal"/>
    <w:uiPriority w:val="99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Default">
    <w:name w:val="Default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fr-FR"/>
    </w:rPr>
  </w:style>
  <w:style w:type="paragraph" w:customStyle="1" w:styleId="FDNormal">
    <w:name w:val="FDNormal"/>
    <w:basedOn w:val="Normal"/>
    <w:link w:val="FDNormalCar"/>
    <w:rsid w:val="003D75CA"/>
    <w:pPr>
      <w:spacing w:after="120" w:line="240" w:lineRule="auto"/>
      <w:jc w:val="both"/>
    </w:pPr>
    <w:rPr>
      <w:rFonts w:ascii="Verdana" w:eastAsia="Times New Roman" w:hAnsi="Verdana" w:cs="Verdana"/>
      <w:sz w:val="20"/>
      <w:szCs w:val="20"/>
      <w:lang w:val="fr-FR" w:eastAsia="fr-FR"/>
    </w:rPr>
  </w:style>
  <w:style w:type="character" w:customStyle="1" w:styleId="FDNormalCar">
    <w:name w:val="FDNormal Car"/>
    <w:link w:val="FDNormal"/>
    <w:rsid w:val="003D75CA"/>
    <w:rPr>
      <w:rFonts w:ascii="Verdana" w:eastAsia="Times New Roman" w:hAnsi="Verdana" w:cs="Verdana"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391379C3</Template>
  <TotalTime>0</TotalTime>
  <Pages>2</Pages>
  <Words>469</Words>
  <Characters>2581</Characters>
  <Application>Microsoft Office Word</Application>
  <DocSecurity>4</DocSecurity>
  <Lines>21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Cognizant Technology Solutions</Company>
  <LinksUpToDate>false</LinksUpToDate>
  <CharactersWithSpaces>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Cognizant Technology Solutions</dc:creator>
  <cp:lastModifiedBy>de Sousa, Maria</cp:lastModifiedBy>
  <cp:revision>2</cp:revision>
  <cp:lastPrinted>2015-10-09T10:36:00Z</cp:lastPrinted>
  <dcterms:created xsi:type="dcterms:W3CDTF">2016-05-16T17:49:00Z</dcterms:created>
  <dcterms:modified xsi:type="dcterms:W3CDTF">2016-05-16T17:49:00Z</dcterms:modified>
</cp:coreProperties>
</file>