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664" w:rsidRDefault="00765664" w:rsidP="006D6846">
      <w:pPr>
        <w:tabs>
          <w:tab w:val="left" w:pos="9356"/>
        </w:tabs>
        <w:ind w:right="-279"/>
        <w:jc w:val="center"/>
        <w:rPr>
          <w:sz w:val="36"/>
          <w:lang w:val="fr-FR"/>
        </w:rPr>
      </w:pPr>
    </w:p>
    <w:p w:rsidR="00575F36" w:rsidRPr="009E3737" w:rsidRDefault="009E3737" w:rsidP="00AA1FD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center"/>
        <w:rPr>
          <w:b/>
          <w:noProof/>
          <w:sz w:val="36"/>
        </w:rPr>
      </w:pPr>
      <w:r w:rsidRPr="009E3737">
        <w:rPr>
          <w:b/>
          <w:noProof/>
          <w:sz w:val="36"/>
        </w:rPr>
        <w:t>Identification of the agent in confirmations to clients</w:t>
      </w:r>
    </w:p>
    <w:p w:rsidR="001B1E38" w:rsidRPr="009E3737" w:rsidRDefault="001B1E38" w:rsidP="006D6846">
      <w:pPr>
        <w:tabs>
          <w:tab w:val="left" w:pos="9356"/>
        </w:tabs>
        <w:ind w:right="-279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4932"/>
      </w:tblGrid>
      <w:tr w:rsidR="004F6025" w:rsidTr="0091257E">
        <w:tc>
          <w:tcPr>
            <w:tcW w:w="2093" w:type="dxa"/>
            <w:vMerge w:val="restart"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proofErr w:type="spellStart"/>
            <w:r w:rsidRPr="004F6025">
              <w:rPr>
                <w:b/>
                <w:lang w:val="fr-FR"/>
              </w:rPr>
              <w:t>Versioning</w:t>
            </w:r>
            <w:proofErr w:type="spellEnd"/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4932" w:type="dxa"/>
          </w:tcPr>
          <w:p w:rsidR="004F6025" w:rsidRDefault="00776CD9" w:rsidP="00776CD9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="00140482">
              <w:rPr>
                <w:lang w:val="fr-FR"/>
              </w:rPr>
              <w:t>.</w:t>
            </w:r>
            <w:r>
              <w:rPr>
                <w:lang w:val="fr-FR"/>
              </w:rPr>
              <w:t>0</w:t>
            </w:r>
          </w:p>
        </w:tc>
      </w:tr>
      <w:tr w:rsidR="009E3737" w:rsidRPr="00AA1FDB" w:rsidTr="0091257E">
        <w:tc>
          <w:tcPr>
            <w:tcW w:w="2093" w:type="dxa"/>
            <w:vMerge/>
            <w:shd w:val="clear" w:color="auto" w:fill="BFBFBF" w:themeFill="background1" w:themeFillShade="BF"/>
          </w:tcPr>
          <w:p w:rsidR="009E3737" w:rsidRPr="004F6025" w:rsidRDefault="009E3737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:rsidR="009E3737" w:rsidRDefault="009E3737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Publication date</w:t>
            </w:r>
          </w:p>
        </w:tc>
        <w:tc>
          <w:tcPr>
            <w:tcW w:w="4932" w:type="dxa"/>
          </w:tcPr>
          <w:p w:rsidR="009E3737" w:rsidRDefault="009E3737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April 6th, 2016</w:t>
            </w:r>
          </w:p>
        </w:tc>
      </w:tr>
    </w:tbl>
    <w:p w:rsidR="00B26098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C776F" w:rsidRDefault="00EC776F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9E3737" w:rsidRPr="000C4CA6" w:rsidRDefault="009E3737" w:rsidP="009E3737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</w:rPr>
      </w:pPr>
      <w:r w:rsidRPr="003348A6">
        <w:rPr>
          <w:rFonts w:eastAsia="MS Mincho" w:cs="Times New Roman"/>
          <w:b/>
          <w:caps/>
          <w:noProof/>
          <w:sz w:val="32"/>
          <w:szCs w:val="32"/>
        </w:rPr>
        <w:t>Description of the existing practice &amp; of the Impacts</w:t>
      </w:r>
    </w:p>
    <w:p w:rsidR="0081511D" w:rsidRPr="009E3737" w:rsidRDefault="0081511D" w:rsidP="00B26098">
      <w:pPr>
        <w:spacing w:after="0" w:line="240" w:lineRule="auto"/>
        <w:rPr>
          <w:rFonts w:eastAsia="MS Mincho" w:cs="Times New Roman"/>
          <w:noProof/>
          <w:szCs w:val="32"/>
        </w:rPr>
      </w:pPr>
    </w:p>
    <w:tbl>
      <w:tblPr>
        <w:tblStyle w:val="Grilledutableau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7513"/>
      </w:tblGrid>
      <w:tr w:rsidR="00D103DA" w:rsidRPr="00D600DB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103DA" w:rsidRPr="009E3737" w:rsidRDefault="009E3737" w:rsidP="00893912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112611">
              <w:rPr>
                <w:rFonts w:eastAsia="MS Mincho" w:cs="Times New Roman"/>
                <w:b/>
                <w:noProof/>
                <w:szCs w:val="32"/>
              </w:rPr>
              <w:t>Description of the existing practice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40482" w:rsidRPr="00D600DB" w:rsidRDefault="00D600DB" w:rsidP="00D600DB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D600DB">
              <w:rPr>
                <w:rFonts w:eastAsia="MS Mincho" w:cs="Times New Roman"/>
                <w:noProof/>
                <w:szCs w:val="32"/>
              </w:rPr>
              <w:t>Settlement c</w:t>
            </w:r>
            <w:r w:rsidR="006D7CEB" w:rsidRPr="00D600DB">
              <w:rPr>
                <w:rFonts w:eastAsia="MS Mincho" w:cs="Times New Roman"/>
                <w:noProof/>
                <w:szCs w:val="32"/>
              </w:rPr>
              <w:t xml:space="preserve">onfirmations </w:t>
            </w:r>
            <w:r w:rsidRPr="00D600DB">
              <w:rPr>
                <w:rFonts w:eastAsia="MS Mincho" w:cs="Times New Roman"/>
                <w:noProof/>
                <w:szCs w:val="32"/>
              </w:rPr>
              <w:t xml:space="preserve">in the formats </w:t>
            </w:r>
            <w:r w:rsidR="006D7CEB" w:rsidRPr="00D600DB">
              <w:rPr>
                <w:rFonts w:eastAsia="MS Mincho" w:cs="Times New Roman"/>
                <w:noProof/>
                <w:szCs w:val="32"/>
              </w:rPr>
              <w:t xml:space="preserve">MT515 </w:t>
            </w:r>
            <w:r w:rsidRPr="00D600DB">
              <w:rPr>
                <w:rFonts w:eastAsia="MS Mincho" w:cs="Times New Roman"/>
                <w:noProof/>
                <w:szCs w:val="32"/>
              </w:rPr>
              <w:t>and</w:t>
            </w:r>
            <w:r w:rsidR="006D7CEB" w:rsidRPr="00D600DB">
              <w:rPr>
                <w:rFonts w:eastAsia="MS Mincho" w:cs="Times New Roman"/>
                <w:noProof/>
                <w:szCs w:val="32"/>
              </w:rPr>
              <w:t xml:space="preserve"> </w:t>
            </w:r>
            <w:bookmarkStart w:id="0" w:name="_GoBack"/>
            <w:ins w:id="1" w:author="de Sousa, Maria" w:date="2016-05-16T19:59:00Z">
              <w:r w:rsidR="00073283">
                <w:rPr>
                  <w:rFonts w:eastAsia="MS Mincho" w:cs="Times New Roman"/>
                  <w:noProof/>
                  <w:szCs w:val="32"/>
                </w:rPr>
                <w:t>MT</w:t>
              </w:r>
            </w:ins>
            <w:bookmarkEnd w:id="0"/>
            <w:r w:rsidR="006D7CEB" w:rsidRPr="00D600DB">
              <w:rPr>
                <w:rFonts w:eastAsia="MS Mincho" w:cs="Times New Roman"/>
                <w:noProof/>
                <w:szCs w:val="32"/>
              </w:rPr>
              <w:t xml:space="preserve">518 </w:t>
            </w:r>
            <w:r w:rsidRPr="00D600DB">
              <w:rPr>
                <w:rFonts w:eastAsia="MS Mincho" w:cs="Times New Roman"/>
                <w:noProof/>
                <w:szCs w:val="32"/>
              </w:rPr>
              <w:t>are today sent to counterparties with Euroclear</w:t>
            </w:r>
            <w:ins w:id="2" w:author="de Sousa, Maria" w:date="2016-05-16T19:59:00Z">
              <w:r w:rsidR="00073283">
                <w:rPr>
                  <w:rFonts w:eastAsia="MS Mincho" w:cs="Times New Roman"/>
                  <w:noProof/>
                  <w:szCs w:val="32"/>
                </w:rPr>
                <w:t xml:space="preserve"> France</w:t>
              </w:r>
            </w:ins>
            <w:r w:rsidRPr="00D600DB">
              <w:rPr>
                <w:rFonts w:eastAsia="MS Mincho" w:cs="Times New Roman"/>
                <w:noProof/>
                <w:szCs w:val="32"/>
              </w:rPr>
              <w:t xml:space="preserve">’s institution code (‘code affilié’) to identify the agent </w:t>
            </w:r>
            <w:r w:rsidR="006D7CEB" w:rsidRPr="00D600DB">
              <w:rPr>
                <w:rFonts w:eastAsia="MS Mincho" w:cs="Times New Roman"/>
                <w:noProof/>
                <w:szCs w:val="32"/>
              </w:rPr>
              <w:t>(DEAG/REAG) .</w:t>
            </w:r>
          </w:p>
        </w:tc>
      </w:tr>
      <w:tr w:rsidR="00D103DA" w:rsidRPr="00D600DB" w:rsidTr="0091257E">
        <w:tc>
          <w:tcPr>
            <w:tcW w:w="2093" w:type="dxa"/>
            <w:tcBorders>
              <w:left w:val="nil"/>
              <w:right w:val="nil"/>
            </w:tcBorders>
          </w:tcPr>
          <w:p w:rsidR="00EC776F" w:rsidRPr="00D600DB" w:rsidRDefault="00EC776F" w:rsidP="00B26098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</w:tcPr>
          <w:p w:rsidR="00D103DA" w:rsidRPr="00D600DB" w:rsidRDefault="00D103DA" w:rsidP="00B26098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  <w:tr w:rsidR="009E3737" w:rsidRPr="00D600DB" w:rsidTr="0081511D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E3737" w:rsidRPr="007B216A" w:rsidRDefault="009E3737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7B216A">
              <w:rPr>
                <w:rFonts w:eastAsia="MS Mincho" w:cs="Times New Roman"/>
                <w:b/>
                <w:noProof/>
                <w:szCs w:val="32"/>
              </w:rPr>
              <w:t>Description of the T2S impact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9E3737" w:rsidRPr="00D600DB" w:rsidRDefault="00D600DB" w:rsidP="009B113B">
            <w:pPr>
              <w:rPr>
                <w:rFonts w:eastAsia="MS Mincho" w:cs="Times New Roman"/>
                <w:noProof/>
                <w:szCs w:val="32"/>
              </w:rPr>
            </w:pPr>
            <w:r w:rsidRPr="00D600DB">
              <w:rPr>
                <w:rFonts w:eastAsia="MS Mincho" w:cs="Times New Roman"/>
                <w:noProof/>
                <w:szCs w:val="32"/>
              </w:rPr>
              <w:t>I</w:t>
            </w:r>
            <w:r w:rsidR="009E3737" w:rsidRPr="00D600DB">
              <w:rPr>
                <w:rFonts w:eastAsia="MS Mincho" w:cs="Times New Roman"/>
                <w:noProof/>
                <w:szCs w:val="32"/>
              </w:rPr>
              <w:t xml:space="preserve">n T2S, </w:t>
            </w:r>
            <w:r w:rsidRPr="00D600DB">
              <w:rPr>
                <w:rFonts w:eastAsia="MS Mincho" w:cs="Times New Roman"/>
                <w:noProof/>
                <w:szCs w:val="32"/>
              </w:rPr>
              <w:t xml:space="preserve">the </w:t>
            </w:r>
            <w:r w:rsidR="009E3737" w:rsidRPr="00D600DB">
              <w:rPr>
                <w:rFonts w:eastAsia="MS Mincho" w:cs="Times New Roman"/>
                <w:noProof/>
                <w:szCs w:val="32"/>
              </w:rPr>
              <w:t xml:space="preserve">identification </w:t>
            </w:r>
            <w:r w:rsidRPr="00D600DB">
              <w:rPr>
                <w:rFonts w:eastAsia="MS Mincho" w:cs="Times New Roman"/>
                <w:noProof/>
                <w:szCs w:val="32"/>
              </w:rPr>
              <w:t xml:space="preserve">of the </w:t>
            </w:r>
            <w:ins w:id="3" w:author="de Sousa, Maria" w:date="2016-05-16T19:59:00Z">
              <w:r w:rsidR="00073283">
                <w:rPr>
                  <w:rFonts w:eastAsia="MS Mincho" w:cs="Times New Roman"/>
                  <w:noProof/>
                  <w:szCs w:val="32"/>
                </w:rPr>
                <w:t>a</w:t>
              </w:r>
            </w:ins>
            <w:del w:id="4" w:author="de Sousa, Maria" w:date="2016-05-16T19:59:00Z">
              <w:r w:rsidR="009E3737" w:rsidRPr="00D600DB" w:rsidDel="00073283">
                <w:rPr>
                  <w:rFonts w:eastAsia="MS Mincho" w:cs="Times New Roman"/>
                  <w:noProof/>
                  <w:szCs w:val="32"/>
                </w:rPr>
                <w:delText>A</w:delText>
              </w:r>
            </w:del>
            <w:r w:rsidR="009E3737" w:rsidRPr="00D600DB">
              <w:rPr>
                <w:rFonts w:eastAsia="MS Mincho" w:cs="Times New Roman"/>
                <w:noProof/>
                <w:szCs w:val="32"/>
              </w:rPr>
              <w:t xml:space="preserve">gent </w:t>
            </w:r>
            <w:r w:rsidRPr="00D600DB">
              <w:rPr>
                <w:rFonts w:eastAsia="MS Mincho" w:cs="Times New Roman"/>
                <w:noProof/>
                <w:szCs w:val="32"/>
              </w:rPr>
              <w:t xml:space="preserve">will be made </w:t>
            </w:r>
            <w:r w:rsidR="009B113B">
              <w:rPr>
                <w:rFonts w:eastAsia="MS Mincho" w:cs="Times New Roman"/>
                <w:noProof/>
                <w:szCs w:val="32"/>
              </w:rPr>
              <w:t xml:space="preserve">using </w:t>
            </w:r>
            <w:r w:rsidRPr="00D600DB">
              <w:rPr>
                <w:rFonts w:eastAsia="MS Mincho" w:cs="Times New Roman"/>
                <w:noProof/>
                <w:szCs w:val="32"/>
              </w:rPr>
              <w:t xml:space="preserve">its </w:t>
            </w:r>
            <w:r w:rsidR="009E3737" w:rsidRPr="00D600DB">
              <w:rPr>
                <w:rFonts w:eastAsia="MS Mincho" w:cs="Times New Roman"/>
                <w:noProof/>
                <w:szCs w:val="32"/>
              </w:rPr>
              <w:t xml:space="preserve">BIC 11, </w:t>
            </w:r>
            <w:r>
              <w:rPr>
                <w:rFonts w:eastAsia="MS Mincho" w:cs="Times New Roman"/>
                <w:noProof/>
                <w:szCs w:val="32"/>
              </w:rPr>
              <w:t>and not the institution code</w:t>
            </w:r>
            <w:r w:rsidR="009E3737" w:rsidRPr="00D600DB">
              <w:rPr>
                <w:rFonts w:eastAsia="MS Mincho" w:cs="Times New Roman"/>
                <w:noProof/>
                <w:szCs w:val="32"/>
              </w:rPr>
              <w:t>.</w:t>
            </w:r>
          </w:p>
        </w:tc>
      </w:tr>
      <w:tr w:rsidR="009E3737" w:rsidRPr="00D600DB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9E3737" w:rsidRPr="00D600DB" w:rsidRDefault="009E3737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9E3737" w:rsidRPr="00D600DB" w:rsidRDefault="009E3737" w:rsidP="0081511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9E3737" w:rsidRPr="00D600DB" w:rsidTr="0081511D">
        <w:tc>
          <w:tcPr>
            <w:tcW w:w="2093" w:type="dxa"/>
            <w:shd w:val="clear" w:color="auto" w:fill="BFBFBF" w:themeFill="background1" w:themeFillShade="BF"/>
          </w:tcPr>
          <w:p w:rsidR="009E3737" w:rsidRPr="000C4CA6" w:rsidRDefault="009E3737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major issue</w:t>
            </w:r>
          </w:p>
        </w:tc>
        <w:tc>
          <w:tcPr>
            <w:tcW w:w="7513" w:type="dxa"/>
          </w:tcPr>
          <w:p w:rsidR="009E3737" w:rsidRPr="00D600DB" w:rsidRDefault="00D600DB" w:rsidP="006D7CEB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D600DB">
              <w:rPr>
                <w:rFonts w:eastAsia="MS Mincho" w:cs="Times New Roman"/>
                <w:noProof/>
                <w:szCs w:val="32"/>
              </w:rPr>
              <w:t xml:space="preserve">A large part of the counterparties (notably </w:t>
            </w:r>
            <w:r w:rsidR="009E3737" w:rsidRPr="00D600DB">
              <w:rPr>
                <w:rFonts w:eastAsia="MS Mincho" w:cs="Times New Roman"/>
                <w:noProof/>
                <w:szCs w:val="32"/>
              </w:rPr>
              <w:t xml:space="preserve">Buy-Side) </w:t>
            </w:r>
            <w:r w:rsidRPr="00D600DB">
              <w:rPr>
                <w:rFonts w:eastAsia="MS Mincho" w:cs="Times New Roman"/>
                <w:noProof/>
                <w:szCs w:val="32"/>
              </w:rPr>
              <w:t xml:space="preserve">will continue to instruct using the institution code </w:t>
            </w:r>
            <w:r>
              <w:rPr>
                <w:rFonts w:eastAsia="MS Mincho" w:cs="Times New Roman"/>
                <w:noProof/>
                <w:szCs w:val="32"/>
              </w:rPr>
              <w:t xml:space="preserve">of the agent instead of his </w:t>
            </w:r>
            <w:r w:rsidR="009E3737" w:rsidRPr="00D600DB">
              <w:rPr>
                <w:rFonts w:eastAsia="MS Mincho" w:cs="Times New Roman"/>
                <w:noProof/>
                <w:szCs w:val="32"/>
              </w:rPr>
              <w:t>BIC</w:t>
            </w:r>
            <w:del w:id="5" w:author="de Sousa, Maria" w:date="2016-05-16T20:00:00Z">
              <w:r w:rsidDel="00073283">
                <w:rPr>
                  <w:rFonts w:eastAsia="MS Mincho" w:cs="Times New Roman"/>
                  <w:noProof/>
                  <w:szCs w:val="32"/>
                </w:rPr>
                <w:delText>-</w:delText>
              </w:r>
            </w:del>
            <w:r w:rsidR="009E3737" w:rsidRPr="00D600DB">
              <w:rPr>
                <w:rFonts w:eastAsia="MS Mincho" w:cs="Times New Roman"/>
                <w:noProof/>
                <w:szCs w:val="32"/>
              </w:rPr>
              <w:t>11.</w:t>
            </w:r>
          </w:p>
          <w:p w:rsidR="009E3737" w:rsidRPr="00D600DB" w:rsidRDefault="00D600DB" w:rsidP="006D7CEB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D600DB">
              <w:rPr>
                <w:rFonts w:eastAsia="MS Mincho" w:cs="Times New Roman"/>
                <w:noProof/>
                <w:szCs w:val="32"/>
              </w:rPr>
              <w:t xml:space="preserve">Two options appear possible for the management of this data in </w:t>
            </w:r>
            <w:r w:rsidR="009E3737" w:rsidRPr="00D600DB">
              <w:rPr>
                <w:rFonts w:eastAsia="MS Mincho" w:cs="Times New Roman"/>
                <w:noProof/>
                <w:szCs w:val="32"/>
              </w:rPr>
              <w:t xml:space="preserve">confirmations </w:t>
            </w:r>
            <w:r>
              <w:rPr>
                <w:rFonts w:eastAsia="MS Mincho" w:cs="Times New Roman"/>
                <w:noProof/>
                <w:szCs w:val="32"/>
              </w:rPr>
              <w:t>in the format</w:t>
            </w:r>
            <w:ins w:id="6" w:author="de Sousa, Maria" w:date="2016-05-16T20:00:00Z">
              <w:r w:rsidR="00073283">
                <w:rPr>
                  <w:rFonts w:eastAsia="MS Mincho" w:cs="Times New Roman"/>
                  <w:noProof/>
                  <w:szCs w:val="32"/>
                </w:rPr>
                <w:t>s</w:t>
              </w:r>
            </w:ins>
            <w:r>
              <w:rPr>
                <w:rFonts w:eastAsia="MS Mincho" w:cs="Times New Roman"/>
                <w:noProof/>
                <w:szCs w:val="32"/>
              </w:rPr>
              <w:t xml:space="preserve"> </w:t>
            </w:r>
            <w:r w:rsidR="009E3737" w:rsidRPr="00D600DB">
              <w:rPr>
                <w:rFonts w:eastAsia="MS Mincho" w:cs="Times New Roman"/>
                <w:noProof/>
                <w:szCs w:val="32"/>
              </w:rPr>
              <w:t xml:space="preserve">MT515 </w:t>
            </w:r>
            <w:r>
              <w:rPr>
                <w:rFonts w:eastAsia="MS Mincho" w:cs="Times New Roman"/>
                <w:noProof/>
                <w:szCs w:val="32"/>
              </w:rPr>
              <w:t>or</w:t>
            </w:r>
            <w:r w:rsidR="009E3737" w:rsidRPr="00D600DB">
              <w:rPr>
                <w:rFonts w:eastAsia="MS Mincho" w:cs="Times New Roman"/>
                <w:noProof/>
                <w:szCs w:val="32"/>
              </w:rPr>
              <w:t xml:space="preserve"> MT518 :</w:t>
            </w:r>
          </w:p>
          <w:p w:rsidR="009E3737" w:rsidRPr="00D600DB" w:rsidRDefault="00D600DB" w:rsidP="006D7CEB">
            <w:pPr>
              <w:pStyle w:val="Paragraphedeliste"/>
              <w:numPr>
                <w:ilvl w:val="0"/>
                <w:numId w:val="11"/>
              </w:numPr>
              <w:spacing w:before="120"/>
              <w:ind w:left="720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D600DB">
              <w:rPr>
                <w:rFonts w:eastAsia="MS Mincho" w:cs="Times New Roman"/>
                <w:noProof/>
                <w:szCs w:val="32"/>
              </w:rPr>
              <w:t>Keeping the current formatting (institution code)</w:t>
            </w:r>
            <w:r>
              <w:rPr>
                <w:rFonts w:eastAsia="MS Mincho" w:cs="Times New Roman"/>
                <w:noProof/>
                <w:szCs w:val="32"/>
              </w:rPr>
              <w:t>;</w:t>
            </w:r>
          </w:p>
          <w:p w:rsidR="009E3737" w:rsidRPr="00D600DB" w:rsidRDefault="00D600DB" w:rsidP="009B113B">
            <w:pPr>
              <w:pStyle w:val="Paragraphedeliste"/>
              <w:numPr>
                <w:ilvl w:val="0"/>
                <w:numId w:val="11"/>
              </w:numPr>
              <w:spacing w:before="120"/>
              <w:ind w:left="720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D600DB">
              <w:rPr>
                <w:rFonts w:eastAsia="MS Mincho" w:cs="Times New Roman"/>
                <w:noProof/>
                <w:szCs w:val="32"/>
              </w:rPr>
              <w:t>Replac</w:t>
            </w:r>
            <w:r w:rsidR="009B113B">
              <w:rPr>
                <w:rFonts w:eastAsia="MS Mincho" w:cs="Times New Roman"/>
                <w:noProof/>
                <w:szCs w:val="32"/>
              </w:rPr>
              <w:t>ing</w:t>
            </w:r>
            <w:r w:rsidRPr="00D600DB">
              <w:rPr>
                <w:rFonts w:eastAsia="MS Mincho" w:cs="Times New Roman"/>
                <w:noProof/>
                <w:szCs w:val="32"/>
              </w:rPr>
              <w:t xml:space="preserve"> the institution code with the </w:t>
            </w:r>
            <w:r w:rsidR="009E3737" w:rsidRPr="00D600DB">
              <w:rPr>
                <w:rFonts w:eastAsia="MS Mincho" w:cs="Times New Roman"/>
                <w:noProof/>
                <w:szCs w:val="32"/>
              </w:rPr>
              <w:t>BIC</w:t>
            </w:r>
            <w:del w:id="7" w:author="de Sousa, Maria" w:date="2016-05-16T20:00:00Z">
              <w:r w:rsidRPr="00D600DB" w:rsidDel="00073283">
                <w:rPr>
                  <w:rFonts w:eastAsia="MS Mincho" w:cs="Times New Roman"/>
                  <w:noProof/>
                  <w:szCs w:val="32"/>
                </w:rPr>
                <w:delText>-</w:delText>
              </w:r>
            </w:del>
            <w:r w:rsidR="009E3737" w:rsidRPr="00D600DB">
              <w:rPr>
                <w:rFonts w:eastAsia="MS Mincho" w:cs="Times New Roman"/>
                <w:noProof/>
                <w:szCs w:val="32"/>
              </w:rPr>
              <w:t>11</w:t>
            </w:r>
            <w:r w:rsidR="009B113B">
              <w:rPr>
                <w:rFonts w:eastAsia="MS Mincho" w:cs="Times New Roman"/>
                <w:noProof/>
                <w:szCs w:val="32"/>
              </w:rPr>
              <w:t>.</w:t>
            </w:r>
          </w:p>
        </w:tc>
      </w:tr>
      <w:tr w:rsidR="009E3737" w:rsidRPr="00D600DB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9E3737" w:rsidRPr="00D600DB" w:rsidRDefault="009E3737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9E3737" w:rsidRPr="00D600DB" w:rsidRDefault="009E3737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9E3737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9E3737" w:rsidRPr="003348A6" w:rsidRDefault="009E3737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9E3737" w:rsidRPr="00D103DA" w:rsidRDefault="009E3737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3" w:type="dxa"/>
          </w:tcPr>
          <w:p w:rsidR="009E3737" w:rsidRDefault="009E3737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E3737" w:rsidRDefault="009E3737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E3737" w:rsidRDefault="009E3737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9E3737" w:rsidRPr="0081511D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9E3737" w:rsidRDefault="009E3737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9E3737" w:rsidRPr="0081511D" w:rsidRDefault="009E3737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9E3737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9E3737" w:rsidRDefault="009E3737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Workflows</w:t>
            </w:r>
          </w:p>
          <w:p w:rsidR="009E3737" w:rsidRDefault="009E3737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3" w:type="dxa"/>
          </w:tcPr>
          <w:p w:rsidR="009E3737" w:rsidRPr="00FD2FD6" w:rsidRDefault="009E3737" w:rsidP="0081511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9E3737" w:rsidRPr="0081511D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9E3737" w:rsidRDefault="009E3737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9E3737" w:rsidRPr="0081511D" w:rsidRDefault="009E3737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9E3737" w:rsidRPr="001A321D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E3737" w:rsidRPr="003348A6" w:rsidRDefault="009E3737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Links with other market practices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9E3737" w:rsidRPr="001A321D" w:rsidRDefault="001A321D" w:rsidP="006D7CEB">
            <w:pPr>
              <w:jc w:val="both"/>
              <w:rPr>
                <w:rFonts w:eastAsia="MS Mincho" w:cs="Times New Roman"/>
                <w:noProof/>
                <w:szCs w:val="32"/>
              </w:rPr>
            </w:pPr>
            <w:r w:rsidRPr="001A321D">
              <w:rPr>
                <w:rFonts w:eastAsia="MS Mincho" w:cs="Times New Roman"/>
                <w:noProof/>
                <w:szCs w:val="32"/>
              </w:rPr>
              <w:t>MS-MATCH-CRITE-01 : Settlement instruction parties – Mandatory matching criteria</w:t>
            </w:r>
          </w:p>
        </w:tc>
      </w:tr>
    </w:tbl>
    <w:p w:rsidR="001E0D83" w:rsidRPr="001A321D" w:rsidRDefault="001E0D83" w:rsidP="00D103DA">
      <w:pPr>
        <w:spacing w:after="0" w:line="240" w:lineRule="auto"/>
        <w:rPr>
          <w:rFonts w:eastAsia="MS Mincho" w:cs="Times New Roman"/>
          <w:noProof/>
          <w:szCs w:val="32"/>
        </w:rPr>
      </w:pPr>
    </w:p>
    <w:p w:rsidR="0081511D" w:rsidRPr="001A321D" w:rsidRDefault="0081511D" w:rsidP="00D103DA">
      <w:pPr>
        <w:spacing w:after="0" w:line="240" w:lineRule="auto"/>
        <w:rPr>
          <w:rFonts w:eastAsia="MS Mincho" w:cs="Times New Roman"/>
          <w:noProof/>
          <w:szCs w:val="32"/>
        </w:rPr>
      </w:pPr>
    </w:p>
    <w:p w:rsidR="006D7CEB" w:rsidRPr="001A321D" w:rsidRDefault="006D7CEB">
      <w:pPr>
        <w:rPr>
          <w:rFonts w:eastAsia="MS Mincho" w:cs="Times New Roman"/>
          <w:b/>
          <w:caps/>
          <w:noProof/>
          <w:sz w:val="32"/>
          <w:szCs w:val="32"/>
        </w:rPr>
      </w:pPr>
      <w:r w:rsidRPr="001A321D">
        <w:rPr>
          <w:rFonts w:eastAsia="MS Mincho" w:cs="Times New Roman"/>
          <w:b/>
          <w:caps/>
          <w:noProof/>
          <w:sz w:val="32"/>
          <w:szCs w:val="32"/>
        </w:rPr>
        <w:br w:type="page"/>
      </w:r>
    </w:p>
    <w:p w:rsidR="009E3737" w:rsidRPr="004F6025" w:rsidRDefault="009E3737" w:rsidP="009E3737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lastRenderedPageBreak/>
        <w:t>Recommended market practice</w:t>
      </w: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2093"/>
        <w:gridCol w:w="7483"/>
        <w:gridCol w:w="30"/>
      </w:tblGrid>
      <w:tr w:rsidR="009E3737" w:rsidRPr="00D600DB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9E3737" w:rsidRPr="00D103DA" w:rsidRDefault="009E3737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Recommended practice</w:t>
            </w:r>
          </w:p>
        </w:tc>
        <w:tc>
          <w:tcPr>
            <w:tcW w:w="7483" w:type="dxa"/>
          </w:tcPr>
          <w:p w:rsidR="009E3737" w:rsidRPr="00D600DB" w:rsidRDefault="00D600DB" w:rsidP="00D600DB">
            <w:pPr>
              <w:numPr>
                <w:ilvl w:val="0"/>
                <w:numId w:val="12"/>
              </w:numPr>
              <w:spacing w:after="60"/>
              <w:ind w:left="209" w:hanging="215"/>
              <w:jc w:val="both"/>
              <w:rPr>
                <w:rFonts w:eastAsia="Calibri" w:cs="Tahoma"/>
                <w:bCs/>
                <w:szCs w:val="18"/>
                <w:lang w:eastAsia="fr-FR"/>
              </w:rPr>
            </w:pPr>
            <w:r w:rsidRPr="00D600DB">
              <w:rPr>
                <w:rFonts w:eastAsia="Calibri" w:cs="Tahoma"/>
                <w:bCs/>
                <w:szCs w:val="18"/>
                <w:lang w:eastAsia="fr-FR"/>
              </w:rPr>
              <w:t>The BIC</w:t>
            </w:r>
            <w:del w:id="8" w:author="de Sousa, Maria" w:date="2016-05-16T20:00:00Z">
              <w:r w:rsidRPr="00D600DB" w:rsidDel="00073283">
                <w:rPr>
                  <w:rFonts w:eastAsia="Calibri" w:cs="Tahoma"/>
                  <w:bCs/>
                  <w:szCs w:val="18"/>
                  <w:lang w:eastAsia="fr-FR"/>
                </w:rPr>
                <w:delText>-</w:delText>
              </w:r>
            </w:del>
            <w:r w:rsidR="009E3737" w:rsidRPr="00D600DB">
              <w:rPr>
                <w:rFonts w:eastAsia="Calibri" w:cs="Tahoma"/>
                <w:bCs/>
                <w:szCs w:val="18"/>
                <w:lang w:eastAsia="fr-FR"/>
              </w:rPr>
              <w:t xml:space="preserve">11 </w:t>
            </w:r>
            <w:del w:id="9" w:author="de Sousa, Maria" w:date="2016-05-16T20:00:00Z">
              <w:r w:rsidRPr="00D600DB" w:rsidDel="00073283">
                <w:rPr>
                  <w:rFonts w:eastAsia="Calibri" w:cs="Tahoma"/>
                  <w:bCs/>
                  <w:szCs w:val="18"/>
                  <w:lang w:eastAsia="fr-FR"/>
                </w:rPr>
                <w:delText xml:space="preserve">code </w:delText>
              </w:r>
            </w:del>
            <w:r w:rsidRPr="00D600DB">
              <w:rPr>
                <w:rFonts w:eastAsia="Calibri" w:cs="Tahoma"/>
                <w:bCs/>
                <w:szCs w:val="18"/>
                <w:lang w:eastAsia="fr-FR"/>
              </w:rPr>
              <w:t xml:space="preserve">must be favored in relations between the </w:t>
            </w:r>
            <w:r>
              <w:rPr>
                <w:rFonts w:eastAsia="Calibri" w:cs="Tahoma"/>
                <w:bCs/>
                <w:szCs w:val="18"/>
                <w:lang w:eastAsia="fr-FR"/>
              </w:rPr>
              <w:t>trading parties</w:t>
            </w:r>
            <w:r w:rsidRPr="00D600DB">
              <w:rPr>
                <w:rFonts w:eastAsia="Calibri" w:cs="Tahoma"/>
                <w:bCs/>
                <w:szCs w:val="18"/>
                <w:lang w:eastAsia="fr-FR"/>
              </w:rPr>
              <w:t>, in order to identify the participant to the CSD</w:t>
            </w:r>
            <w:r w:rsidR="009E3737" w:rsidRPr="00D600DB">
              <w:rPr>
                <w:rFonts w:eastAsia="Calibri" w:cs="Tahoma"/>
                <w:bCs/>
                <w:szCs w:val="18"/>
                <w:lang w:eastAsia="fr-FR"/>
              </w:rPr>
              <w:t>.</w:t>
            </w:r>
          </w:p>
          <w:p w:rsidR="009E3737" w:rsidRPr="00D600DB" w:rsidRDefault="00D600DB" w:rsidP="00D600DB">
            <w:pPr>
              <w:numPr>
                <w:ilvl w:val="0"/>
                <w:numId w:val="12"/>
              </w:numPr>
              <w:spacing w:after="60"/>
              <w:ind w:left="209" w:hanging="215"/>
              <w:jc w:val="both"/>
              <w:rPr>
                <w:rFonts w:eastAsia="Calibri" w:cs="Tahoma"/>
                <w:bCs/>
                <w:szCs w:val="18"/>
                <w:lang w:eastAsia="fr-FR"/>
              </w:rPr>
            </w:pPr>
            <w:r w:rsidRPr="00D600DB">
              <w:rPr>
                <w:rFonts w:eastAsia="Calibri" w:cs="Tahoma"/>
                <w:bCs/>
                <w:szCs w:val="18"/>
                <w:lang w:eastAsia="fr-FR"/>
              </w:rPr>
              <w:t xml:space="preserve">Failing that, the use of </w:t>
            </w:r>
            <w:proofErr w:type="spellStart"/>
            <w:r w:rsidR="009B113B">
              <w:rPr>
                <w:rFonts w:eastAsia="Calibri" w:cs="Tahoma"/>
                <w:bCs/>
                <w:szCs w:val="18"/>
                <w:lang w:eastAsia="fr-FR"/>
              </w:rPr>
              <w:t>Euroclear</w:t>
            </w:r>
            <w:proofErr w:type="spellEnd"/>
            <w:ins w:id="10" w:author="de Sousa, Maria" w:date="2016-05-16T20:01:00Z">
              <w:r w:rsidR="00073283">
                <w:rPr>
                  <w:rFonts w:eastAsia="Calibri" w:cs="Tahoma"/>
                  <w:bCs/>
                  <w:szCs w:val="18"/>
                  <w:lang w:eastAsia="fr-FR"/>
                </w:rPr>
                <w:t xml:space="preserve"> France</w:t>
              </w:r>
            </w:ins>
            <w:r w:rsidR="009B113B">
              <w:rPr>
                <w:rFonts w:eastAsia="Calibri" w:cs="Tahoma"/>
                <w:bCs/>
                <w:szCs w:val="18"/>
                <w:lang w:eastAsia="fr-FR"/>
              </w:rPr>
              <w:t xml:space="preserve">’s </w:t>
            </w:r>
            <w:r w:rsidRPr="00D600DB">
              <w:rPr>
                <w:rFonts w:eastAsia="Calibri" w:cs="Tahoma"/>
                <w:bCs/>
                <w:szCs w:val="18"/>
                <w:lang w:eastAsia="fr-FR"/>
              </w:rPr>
              <w:t>institution</w:t>
            </w:r>
            <w:r>
              <w:rPr>
                <w:rFonts w:eastAsia="Calibri" w:cs="Tahoma"/>
                <w:bCs/>
                <w:szCs w:val="18"/>
                <w:lang w:eastAsia="fr-FR"/>
              </w:rPr>
              <w:t xml:space="preserve"> </w:t>
            </w:r>
            <w:r w:rsidRPr="00D600DB">
              <w:rPr>
                <w:rFonts w:eastAsia="Calibri" w:cs="Tahoma"/>
                <w:bCs/>
                <w:szCs w:val="18"/>
                <w:lang w:eastAsia="fr-FR"/>
              </w:rPr>
              <w:t>code can be tolerated</w:t>
            </w:r>
            <w:r w:rsidR="009E3737" w:rsidRPr="00D600DB">
              <w:rPr>
                <w:rFonts w:eastAsia="Calibri" w:cs="Tahoma"/>
                <w:bCs/>
                <w:szCs w:val="18"/>
                <w:lang w:eastAsia="fr-FR"/>
              </w:rPr>
              <w:t>.</w:t>
            </w:r>
          </w:p>
          <w:p w:rsidR="009E3737" w:rsidRPr="00D600DB" w:rsidRDefault="00D600DB" w:rsidP="00D600DB">
            <w:pPr>
              <w:jc w:val="both"/>
              <w:rPr>
                <w:rFonts w:eastAsia="MS Mincho" w:cs="Times New Roman"/>
                <w:noProof/>
                <w:sz w:val="32"/>
                <w:szCs w:val="32"/>
              </w:rPr>
            </w:pPr>
            <w:r w:rsidRPr="00D600DB">
              <w:rPr>
                <w:rFonts w:eastAsia="MS Mincho" w:cs="Tahoma"/>
                <w:bCs/>
                <w:szCs w:val="18"/>
              </w:rPr>
              <w:t xml:space="preserve">This practice must be tested early </w:t>
            </w:r>
            <w:r>
              <w:rPr>
                <w:rFonts w:eastAsia="MS Mincho" w:cs="Tahoma"/>
                <w:bCs/>
                <w:szCs w:val="18"/>
              </w:rPr>
              <w:t xml:space="preserve">in the </w:t>
            </w:r>
            <w:r w:rsidRPr="00D600DB">
              <w:rPr>
                <w:rFonts w:eastAsia="MS Mincho" w:cs="Tahoma"/>
                <w:bCs/>
                <w:szCs w:val="18"/>
              </w:rPr>
              <w:t>test</w:t>
            </w:r>
            <w:ins w:id="11" w:author="de Sousa, Maria" w:date="2016-05-16T20:01:00Z">
              <w:r w:rsidR="00073283">
                <w:rPr>
                  <w:rFonts w:eastAsia="MS Mincho" w:cs="Tahoma"/>
                  <w:bCs/>
                  <w:szCs w:val="18"/>
                </w:rPr>
                <w:t>s</w:t>
              </w:r>
            </w:ins>
            <w:r w:rsidRPr="00D600DB">
              <w:rPr>
                <w:rFonts w:eastAsia="MS Mincho" w:cs="Tahoma"/>
                <w:bCs/>
                <w:szCs w:val="18"/>
              </w:rPr>
              <w:t xml:space="preserve"> phases</w:t>
            </w:r>
            <w:r w:rsidR="009E3737" w:rsidRPr="00D600DB">
              <w:rPr>
                <w:rFonts w:eastAsia="MS Mincho" w:cs="Tahoma"/>
                <w:bCs/>
                <w:szCs w:val="18"/>
              </w:rPr>
              <w:t xml:space="preserve">. </w:t>
            </w:r>
            <w:r w:rsidRPr="00D600DB">
              <w:rPr>
                <w:rFonts w:eastAsia="MS Mincho" w:cs="Tahoma"/>
                <w:bCs/>
                <w:szCs w:val="18"/>
              </w:rPr>
              <w:t xml:space="preserve">The opportunity to have a more stringent practice will have to </w:t>
            </w:r>
            <w:r>
              <w:rPr>
                <w:rFonts w:eastAsia="MS Mincho" w:cs="Tahoma"/>
                <w:bCs/>
                <w:szCs w:val="18"/>
              </w:rPr>
              <w:t>be</w:t>
            </w:r>
            <w:r w:rsidRPr="00D600DB">
              <w:rPr>
                <w:rFonts w:eastAsia="MS Mincho" w:cs="Tahoma"/>
                <w:bCs/>
                <w:szCs w:val="18"/>
              </w:rPr>
              <w:t xml:space="preserve"> </w:t>
            </w:r>
            <w:r>
              <w:rPr>
                <w:rFonts w:eastAsia="MS Mincho" w:cs="Tahoma"/>
                <w:bCs/>
                <w:szCs w:val="18"/>
              </w:rPr>
              <w:t>r</w:t>
            </w:r>
            <w:r w:rsidRPr="00D600DB">
              <w:rPr>
                <w:rFonts w:eastAsia="MS Mincho" w:cs="Tahoma"/>
                <w:bCs/>
                <w:szCs w:val="18"/>
              </w:rPr>
              <w:t>e-assessed post-migration to T2S</w:t>
            </w:r>
            <w:r w:rsidR="009E3737" w:rsidRPr="00D600DB">
              <w:rPr>
                <w:rFonts w:eastAsia="MS Mincho" w:cs="Tahoma"/>
                <w:bCs/>
                <w:szCs w:val="18"/>
              </w:rPr>
              <w:t>.</w:t>
            </w:r>
          </w:p>
        </w:tc>
      </w:tr>
      <w:tr w:rsidR="009E3737" w:rsidRPr="00D600DB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9E3737" w:rsidRDefault="009E3737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Reasons for the choice</w:t>
            </w:r>
          </w:p>
        </w:tc>
        <w:tc>
          <w:tcPr>
            <w:tcW w:w="7483" w:type="dxa"/>
          </w:tcPr>
          <w:p w:rsidR="009E3737" w:rsidRPr="00D600DB" w:rsidRDefault="00D600DB" w:rsidP="00D600DB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D600DB">
              <w:rPr>
                <w:rFonts w:eastAsia="MS Mincho" w:cs="Times New Roman"/>
                <w:noProof/>
                <w:szCs w:val="32"/>
              </w:rPr>
              <w:t>Institutions observe that at this stage, the use of the BIC</w:t>
            </w:r>
            <w:del w:id="12" w:author="de Sousa, Maria" w:date="2016-05-16T20:01:00Z">
              <w:r w:rsidRPr="00D600DB" w:rsidDel="00073283">
                <w:rPr>
                  <w:rFonts w:eastAsia="MS Mincho" w:cs="Times New Roman"/>
                  <w:noProof/>
                  <w:szCs w:val="32"/>
                </w:rPr>
                <w:delText>-</w:delText>
              </w:r>
            </w:del>
            <w:r w:rsidRPr="00D600DB">
              <w:rPr>
                <w:rFonts w:eastAsia="MS Mincho" w:cs="Times New Roman"/>
                <w:noProof/>
                <w:szCs w:val="32"/>
              </w:rPr>
              <w:t xml:space="preserve">11 </w:t>
            </w:r>
            <w:r>
              <w:rPr>
                <w:rFonts w:eastAsia="MS Mincho" w:cs="Times New Roman"/>
                <w:noProof/>
                <w:szCs w:val="32"/>
              </w:rPr>
              <w:t xml:space="preserve">for this part of the process </w:t>
            </w:r>
            <w:r w:rsidRPr="00D600DB">
              <w:rPr>
                <w:rFonts w:eastAsia="MS Mincho" w:cs="Times New Roman"/>
                <w:noProof/>
                <w:szCs w:val="32"/>
              </w:rPr>
              <w:t>does not appear necessary. However, post-migration to T2S, the market practice may need to be adjusted.</w:t>
            </w:r>
          </w:p>
        </w:tc>
      </w:tr>
      <w:tr w:rsidR="009E3737" w:rsidRPr="00D600DB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9E3737" w:rsidRPr="00D600DB" w:rsidRDefault="009E3737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9E3737" w:rsidRPr="00D600DB" w:rsidRDefault="009E3737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9E3737" w:rsidTr="0081511D">
        <w:trPr>
          <w:gridAfter w:val="1"/>
          <w:wAfter w:w="30" w:type="dxa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E3737" w:rsidRPr="003348A6" w:rsidRDefault="009E3737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9E3737" w:rsidRPr="00F370B0" w:rsidRDefault="009E3737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9E3737" w:rsidRDefault="009E3737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E3737" w:rsidRDefault="009E3737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E3737" w:rsidRDefault="009E3737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E3737" w:rsidRDefault="009E3737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9E3737" w:rsidTr="0081511D">
        <w:trPr>
          <w:gridAfter w:val="1"/>
          <w:wAfter w:w="30" w:type="dxa"/>
        </w:trPr>
        <w:tc>
          <w:tcPr>
            <w:tcW w:w="2093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9E3737" w:rsidRDefault="009E3737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4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E3737" w:rsidRDefault="009E3737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9E3737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9E3737" w:rsidRPr="00F370B0" w:rsidRDefault="009E3737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Workflows</w:t>
            </w:r>
          </w:p>
          <w:p w:rsidR="009E3737" w:rsidRPr="00F370B0" w:rsidRDefault="009E3737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9E3737" w:rsidRDefault="009E3737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E3737" w:rsidRDefault="009E3737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:rsidR="00363E89" w:rsidRDefault="00363E89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5743B" w:rsidRDefault="0085743B">
      <w:pPr>
        <w:rPr>
          <w:rFonts w:eastAsia="MS Mincho" w:cs="Times New Roman"/>
          <w:b/>
          <w:caps/>
          <w:noProof/>
          <w:sz w:val="32"/>
          <w:szCs w:val="32"/>
          <w:lang w:val="fr-FR"/>
        </w:rPr>
      </w:pPr>
    </w:p>
    <w:p w:rsidR="00140482" w:rsidRPr="004F6025" w:rsidRDefault="009E3737" w:rsidP="00140482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IMPLEMENTATION</w:t>
      </w:r>
    </w:p>
    <w:p w:rsidR="00140482" w:rsidRDefault="00140482" w:rsidP="00140482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9616" w:type="dxa"/>
        <w:tblLook w:val="04A0" w:firstRow="1" w:lastRow="0" w:firstColumn="1" w:lastColumn="0" w:noHBand="0" w:noVBand="1"/>
      </w:tblPr>
      <w:tblGrid>
        <w:gridCol w:w="2302"/>
        <w:gridCol w:w="2166"/>
        <w:gridCol w:w="272"/>
        <w:gridCol w:w="1599"/>
        <w:gridCol w:w="839"/>
        <w:gridCol w:w="842"/>
        <w:gridCol w:w="1556"/>
        <w:gridCol w:w="40"/>
      </w:tblGrid>
      <w:tr w:rsidR="009E3737" w:rsidRPr="009E3737" w:rsidTr="000E651B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:rsidR="009E3737" w:rsidRPr="00D103DA" w:rsidRDefault="009E3737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Implementation timeline</w:t>
            </w:r>
          </w:p>
        </w:tc>
        <w:tc>
          <w:tcPr>
            <w:tcW w:w="2438" w:type="dxa"/>
            <w:gridSpan w:val="2"/>
          </w:tcPr>
          <w:p w:rsidR="009E3737" w:rsidRPr="003348A6" w:rsidRDefault="009E3737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Before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  <w:tc>
          <w:tcPr>
            <w:tcW w:w="2438" w:type="dxa"/>
            <w:gridSpan w:val="2"/>
          </w:tcPr>
          <w:p w:rsidR="009E3737" w:rsidRPr="003348A6" w:rsidRDefault="009E3737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Upon go live on T2S</w:t>
            </w:r>
          </w:p>
        </w:tc>
        <w:tc>
          <w:tcPr>
            <w:tcW w:w="2438" w:type="dxa"/>
            <w:gridSpan w:val="3"/>
          </w:tcPr>
          <w:p w:rsidR="009E3737" w:rsidRPr="003348A6" w:rsidRDefault="009E3737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After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</w:tr>
      <w:tr w:rsidR="00140482" w:rsidTr="000E651B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Pr="009E3737" w:rsidRDefault="00140482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140482" w:rsidRDefault="0085743B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  <w:tr w:rsidR="00140482" w:rsidTr="000E651B">
        <w:trPr>
          <w:gridAfter w:val="1"/>
          <w:wAfter w:w="40" w:type="dxa"/>
          <w:trHeight w:val="337"/>
        </w:trPr>
        <w:tc>
          <w:tcPr>
            <w:tcW w:w="23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16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87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55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9E3737" w:rsidTr="000E651B">
        <w:trPr>
          <w:gridAfter w:val="1"/>
          <w:wAfter w:w="40" w:type="dxa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E3737" w:rsidRPr="000C4CA6" w:rsidRDefault="009E3737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0D33A6">
              <w:rPr>
                <w:rFonts w:eastAsia="MS Mincho" w:cs="Times New Roman"/>
                <w:b/>
                <w:noProof/>
                <w:szCs w:val="32"/>
              </w:rPr>
              <w:t>Requirement for a specific test set</w:t>
            </w:r>
          </w:p>
        </w:tc>
        <w:tc>
          <w:tcPr>
            <w:tcW w:w="4037" w:type="dxa"/>
            <w:gridSpan w:val="3"/>
            <w:tcBorders>
              <w:bottom w:val="single" w:sz="4" w:space="0" w:color="auto"/>
            </w:tcBorders>
          </w:tcPr>
          <w:p w:rsidR="009E3737" w:rsidRPr="00922B9C" w:rsidRDefault="009E3737" w:rsidP="00922B9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  <w:proofErr w:type="spellStart"/>
            <w:r>
              <w:rPr>
                <w:lang w:val="fr-FR"/>
              </w:rPr>
              <w:t>Yes</w:t>
            </w:r>
            <w:proofErr w:type="spellEnd"/>
            <w:r>
              <w:rPr>
                <w:lang w:val="fr-FR"/>
              </w:rPr>
              <w:t xml:space="preserve">  </w:t>
            </w: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9E3737" w:rsidRPr="00E35B86" w:rsidRDefault="009E3737" w:rsidP="000E651B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</w:p>
        </w:tc>
        <w:tc>
          <w:tcPr>
            <w:tcW w:w="3237" w:type="dxa"/>
            <w:gridSpan w:val="3"/>
            <w:tcBorders>
              <w:bottom w:val="single" w:sz="4" w:space="0" w:color="auto"/>
            </w:tcBorders>
          </w:tcPr>
          <w:p w:rsidR="009E3737" w:rsidRDefault="009E3737" w:rsidP="0085743B">
            <w:pPr>
              <w:tabs>
                <w:tab w:val="left" w:pos="9356"/>
              </w:tabs>
              <w:ind w:right="-279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No  </w:t>
            </w: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</w:tc>
      </w:tr>
    </w:tbl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BA6B0A" w:rsidSect="006D6846">
      <w:headerReference w:type="default" r:id="rId7"/>
      <w:footerReference w:type="default" r:id="rId8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543" w:rsidRDefault="003D1543" w:rsidP="006D6846">
      <w:pPr>
        <w:spacing w:after="0" w:line="240" w:lineRule="auto"/>
      </w:pPr>
      <w:r>
        <w:separator/>
      </w:r>
    </w:p>
  </w:endnote>
  <w:endnote w:type="continuationSeparator" w:id="0">
    <w:p w:rsidR="003D1543" w:rsidRDefault="003D1543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8587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73283" w:rsidRDefault="00073283">
            <w:pPr>
              <w:pStyle w:val="Pieddepage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C776F" w:rsidRDefault="00EC776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543" w:rsidRDefault="003D1543" w:rsidP="006D6846">
      <w:pPr>
        <w:spacing w:after="0" w:line="240" w:lineRule="auto"/>
      </w:pPr>
      <w:r>
        <w:separator/>
      </w:r>
    </w:p>
  </w:footnote>
  <w:footnote w:type="continuationSeparator" w:id="0">
    <w:p w:rsidR="003D1543" w:rsidRDefault="003D1543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78"/>
      <w:gridCol w:w="3798"/>
    </w:tblGrid>
    <w:tr w:rsidR="00EC776F" w:rsidTr="00EC776F">
      <w:tc>
        <w:tcPr>
          <w:tcW w:w="5778" w:type="dxa"/>
          <w:vAlign w:val="center"/>
        </w:tcPr>
        <w:p w:rsidR="009E3737" w:rsidRPr="005B1C9D" w:rsidRDefault="009E3737" w:rsidP="009E3737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>T2S Market Practice Adaptation Workgroup</w:t>
          </w:r>
        </w:p>
        <w:p w:rsidR="00EC776F" w:rsidRPr="009E3737" w:rsidRDefault="009E3737" w:rsidP="009E3737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 xml:space="preserve">Market Practice </w:t>
          </w:r>
          <w:r>
            <w:rPr>
              <w:b/>
            </w:rPr>
            <w:t>Sheet</w:t>
          </w:r>
        </w:p>
      </w:tc>
      <w:tc>
        <w:tcPr>
          <w:tcW w:w="3798" w:type="dxa"/>
          <w:vAlign w:val="center"/>
        </w:tcPr>
        <w:p w:rsidR="00EC776F" w:rsidRDefault="00EC776F" w:rsidP="00073283">
          <w:pPr>
            <w:pStyle w:val="En-tte"/>
            <w:rPr>
              <w:b/>
              <w:lang w:val="fr-FR"/>
            </w:rPr>
          </w:pPr>
          <w:r>
            <w:rPr>
              <w:noProof/>
              <w:lang w:val="fr-FR" w:eastAsia="fr-FR"/>
            </w:rPr>
            <w:drawing>
              <wp:inline distT="0" distB="0" distL="0" distR="0" wp14:anchorId="3103275E" wp14:editId="610A1FEE">
                <wp:extent cx="1032931" cy="516467"/>
                <wp:effectExtent l="0" t="0" r="0" b="0"/>
                <wp:docPr id="8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073283">
            <w:object w:dxaOrig="7200" w:dyaOrig="4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.45pt;height:42.6pt" o:ole="">
                <v:imagedata r:id="rId2" o:title=""/>
              </v:shape>
              <o:OLEObject Type="Embed" ProgID="PBrush" ShapeID="_x0000_i1025" DrawAspect="Content" ObjectID="_1524934306" r:id="rId3"/>
            </w:object>
          </w:r>
        </w:p>
      </w:tc>
    </w:tr>
    <w:tr w:rsidR="00EC776F" w:rsidRPr="006D7CEB" w:rsidTr="00EC776F">
      <w:tc>
        <w:tcPr>
          <w:tcW w:w="5778" w:type="dxa"/>
          <w:vAlign w:val="center"/>
        </w:tcPr>
        <w:p w:rsidR="00EC776F" w:rsidRPr="009E3737" w:rsidRDefault="009E3737" w:rsidP="00113071">
          <w:pPr>
            <w:pStyle w:val="En-tte"/>
            <w:rPr>
              <w:i/>
            </w:rPr>
          </w:pPr>
          <w:r>
            <w:rPr>
              <w:i/>
            </w:rPr>
            <w:t>Practice</w:t>
          </w:r>
          <w:r w:rsidRPr="0033411F">
            <w:rPr>
              <w:i/>
            </w:rPr>
            <w:t xml:space="preserve"> reference</w:t>
          </w:r>
          <w:r w:rsidR="00EC776F" w:rsidRPr="009E3737">
            <w:rPr>
              <w:i/>
            </w:rPr>
            <w:t xml:space="preserve">: </w:t>
          </w:r>
          <w:r w:rsidR="006D7CEB" w:rsidRPr="009E3737">
            <w:rPr>
              <w:i/>
            </w:rPr>
            <w:t>RE-CPTY-AGENT-01</w:t>
          </w:r>
        </w:p>
      </w:tc>
      <w:tc>
        <w:tcPr>
          <w:tcW w:w="3798" w:type="dxa"/>
          <w:vAlign w:val="center"/>
        </w:tcPr>
        <w:p w:rsidR="00EC776F" w:rsidRPr="009E3737" w:rsidRDefault="00EC776F" w:rsidP="00EC776F">
          <w:pPr>
            <w:pStyle w:val="En-tte"/>
            <w:jc w:val="center"/>
            <w:rPr>
              <w:noProof/>
            </w:rPr>
          </w:pPr>
        </w:p>
      </w:tc>
    </w:tr>
  </w:tbl>
  <w:p w:rsidR="00EC776F" w:rsidRPr="009E3737" w:rsidRDefault="00EC776F">
    <w:pPr>
      <w:pStyle w:val="En-tte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4BC6"/>
    <w:multiLevelType w:val="hybridMultilevel"/>
    <w:tmpl w:val="2C0049D2"/>
    <w:lvl w:ilvl="0" w:tplc="A162A862">
      <w:start w:val="1"/>
      <w:numFmt w:val="bullet"/>
      <w:lvlText w:val=""/>
      <w:lvlJc w:val="left"/>
      <w:pPr>
        <w:ind w:left="114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49741B3"/>
    <w:multiLevelType w:val="hybridMultilevel"/>
    <w:tmpl w:val="1B20EB06"/>
    <w:lvl w:ilvl="0" w:tplc="437E9AE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E79DC"/>
    <w:multiLevelType w:val="hybridMultilevel"/>
    <w:tmpl w:val="FF563A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101850">
      <w:start w:val="30"/>
      <w:numFmt w:val="bullet"/>
      <w:lvlText w:val=""/>
      <w:lvlJc w:val="left"/>
      <w:pPr>
        <w:ind w:left="2520" w:hanging="360"/>
      </w:pPr>
      <w:rPr>
        <w:rFonts w:ascii="Wingdings" w:eastAsia="MS Mincho" w:hAnsi="Wingdings" w:cs="Tahoma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A7E25"/>
    <w:multiLevelType w:val="hybridMultilevel"/>
    <w:tmpl w:val="B692A802"/>
    <w:lvl w:ilvl="0" w:tplc="0C88040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E0530"/>
    <w:multiLevelType w:val="hybridMultilevel"/>
    <w:tmpl w:val="5404B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80767"/>
    <w:multiLevelType w:val="hybridMultilevel"/>
    <w:tmpl w:val="919C9204"/>
    <w:lvl w:ilvl="0" w:tplc="3830F0B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85906"/>
    <w:multiLevelType w:val="hybridMultilevel"/>
    <w:tmpl w:val="B170918E"/>
    <w:lvl w:ilvl="0" w:tplc="1546A4E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3664E"/>
    <w:multiLevelType w:val="hybridMultilevel"/>
    <w:tmpl w:val="30F6C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9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 Sousa, Maria">
    <w15:presenceInfo w15:providerId="AD" w15:userId="S-1-5-21-3942990428-588001494-4079709122-109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46"/>
    <w:rsid w:val="00020084"/>
    <w:rsid w:val="000706A3"/>
    <w:rsid w:val="00073283"/>
    <w:rsid w:val="000A6C94"/>
    <w:rsid w:val="000C1C9B"/>
    <w:rsid w:val="000D6F4D"/>
    <w:rsid w:val="000F3C24"/>
    <w:rsid w:val="00113071"/>
    <w:rsid w:val="00140482"/>
    <w:rsid w:val="00145ADA"/>
    <w:rsid w:val="001522A5"/>
    <w:rsid w:val="00162BBA"/>
    <w:rsid w:val="00183F7A"/>
    <w:rsid w:val="001A26CA"/>
    <w:rsid w:val="001A321D"/>
    <w:rsid w:val="001B0416"/>
    <w:rsid w:val="001B1E38"/>
    <w:rsid w:val="001C4C4C"/>
    <w:rsid w:val="001C7BAF"/>
    <w:rsid w:val="001D7830"/>
    <w:rsid w:val="001E0D83"/>
    <w:rsid w:val="00211814"/>
    <w:rsid w:val="00217510"/>
    <w:rsid w:val="00283DDE"/>
    <w:rsid w:val="0028538B"/>
    <w:rsid w:val="00343829"/>
    <w:rsid w:val="00343B9E"/>
    <w:rsid w:val="003631EA"/>
    <w:rsid w:val="00363E89"/>
    <w:rsid w:val="003929BA"/>
    <w:rsid w:val="003A4E76"/>
    <w:rsid w:val="003B3DA4"/>
    <w:rsid w:val="003D1543"/>
    <w:rsid w:val="003D5E9F"/>
    <w:rsid w:val="003D7060"/>
    <w:rsid w:val="00464015"/>
    <w:rsid w:val="004818D8"/>
    <w:rsid w:val="00482296"/>
    <w:rsid w:val="00487A07"/>
    <w:rsid w:val="004F6025"/>
    <w:rsid w:val="005061BA"/>
    <w:rsid w:val="005067E0"/>
    <w:rsid w:val="0051485E"/>
    <w:rsid w:val="00567B1D"/>
    <w:rsid w:val="00575F36"/>
    <w:rsid w:val="005C2ACA"/>
    <w:rsid w:val="00622E8A"/>
    <w:rsid w:val="00625541"/>
    <w:rsid w:val="00652C13"/>
    <w:rsid w:val="00694503"/>
    <w:rsid w:val="0069580E"/>
    <w:rsid w:val="006D6846"/>
    <w:rsid w:val="006D7CEB"/>
    <w:rsid w:val="00701AE2"/>
    <w:rsid w:val="00714CE6"/>
    <w:rsid w:val="00727BF7"/>
    <w:rsid w:val="0074709E"/>
    <w:rsid w:val="00765664"/>
    <w:rsid w:val="007701E0"/>
    <w:rsid w:val="00776CD9"/>
    <w:rsid w:val="007B7B10"/>
    <w:rsid w:val="007C7303"/>
    <w:rsid w:val="007F6CFC"/>
    <w:rsid w:val="0080446B"/>
    <w:rsid w:val="0081511D"/>
    <w:rsid w:val="00830B7B"/>
    <w:rsid w:val="00837334"/>
    <w:rsid w:val="00841E84"/>
    <w:rsid w:val="0085743B"/>
    <w:rsid w:val="008800A4"/>
    <w:rsid w:val="00893912"/>
    <w:rsid w:val="008A30A6"/>
    <w:rsid w:val="008C734C"/>
    <w:rsid w:val="009055CC"/>
    <w:rsid w:val="0091257E"/>
    <w:rsid w:val="0092276F"/>
    <w:rsid w:val="00922A8E"/>
    <w:rsid w:val="00922B9C"/>
    <w:rsid w:val="00933237"/>
    <w:rsid w:val="009606C4"/>
    <w:rsid w:val="00982218"/>
    <w:rsid w:val="00995F65"/>
    <w:rsid w:val="009978DE"/>
    <w:rsid w:val="009A24A6"/>
    <w:rsid w:val="009A2F1A"/>
    <w:rsid w:val="009A64D1"/>
    <w:rsid w:val="009B113B"/>
    <w:rsid w:val="009E3737"/>
    <w:rsid w:val="00A133A7"/>
    <w:rsid w:val="00A20577"/>
    <w:rsid w:val="00A21489"/>
    <w:rsid w:val="00A40ED4"/>
    <w:rsid w:val="00A45A45"/>
    <w:rsid w:val="00A678C0"/>
    <w:rsid w:val="00A746A0"/>
    <w:rsid w:val="00A749F7"/>
    <w:rsid w:val="00A90EEC"/>
    <w:rsid w:val="00AA1FDB"/>
    <w:rsid w:val="00AA62D7"/>
    <w:rsid w:val="00AC134F"/>
    <w:rsid w:val="00B26098"/>
    <w:rsid w:val="00B31057"/>
    <w:rsid w:val="00B44E11"/>
    <w:rsid w:val="00B540C8"/>
    <w:rsid w:val="00B62B1E"/>
    <w:rsid w:val="00B727D8"/>
    <w:rsid w:val="00B9491F"/>
    <w:rsid w:val="00BA66D3"/>
    <w:rsid w:val="00BA6B0A"/>
    <w:rsid w:val="00BC7577"/>
    <w:rsid w:val="00BE4C60"/>
    <w:rsid w:val="00C06869"/>
    <w:rsid w:val="00C070B0"/>
    <w:rsid w:val="00C1000A"/>
    <w:rsid w:val="00C221EA"/>
    <w:rsid w:val="00C33595"/>
    <w:rsid w:val="00C3423B"/>
    <w:rsid w:val="00C41782"/>
    <w:rsid w:val="00C43D15"/>
    <w:rsid w:val="00C57689"/>
    <w:rsid w:val="00C60EC8"/>
    <w:rsid w:val="00C65EB2"/>
    <w:rsid w:val="00C77C0A"/>
    <w:rsid w:val="00CB0F41"/>
    <w:rsid w:val="00CC7462"/>
    <w:rsid w:val="00CD3755"/>
    <w:rsid w:val="00CE6DA3"/>
    <w:rsid w:val="00CF605A"/>
    <w:rsid w:val="00D103DA"/>
    <w:rsid w:val="00D12DE8"/>
    <w:rsid w:val="00D252A7"/>
    <w:rsid w:val="00D50DB6"/>
    <w:rsid w:val="00D529B3"/>
    <w:rsid w:val="00D53037"/>
    <w:rsid w:val="00D5515F"/>
    <w:rsid w:val="00D600DB"/>
    <w:rsid w:val="00DB106F"/>
    <w:rsid w:val="00DD071C"/>
    <w:rsid w:val="00E351C1"/>
    <w:rsid w:val="00E35B86"/>
    <w:rsid w:val="00E438E3"/>
    <w:rsid w:val="00E52109"/>
    <w:rsid w:val="00E62EAE"/>
    <w:rsid w:val="00EA5560"/>
    <w:rsid w:val="00EB44AB"/>
    <w:rsid w:val="00EC776F"/>
    <w:rsid w:val="00F00BF4"/>
    <w:rsid w:val="00F358FF"/>
    <w:rsid w:val="00F35CCA"/>
    <w:rsid w:val="00F84B2D"/>
    <w:rsid w:val="00F904C9"/>
    <w:rsid w:val="00FC06B7"/>
    <w:rsid w:val="00FC4F18"/>
    <w:rsid w:val="00FE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6A2BB7E-ADDF-4649-BFF4-FA4981446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6846"/>
  </w:style>
  <w:style w:type="paragraph" w:styleId="Pieddepage">
    <w:name w:val="footer"/>
    <w:basedOn w:val="Normal"/>
    <w:link w:val="Pieddepag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6846"/>
  </w:style>
  <w:style w:type="paragraph" w:styleId="Textedebulles">
    <w:name w:val="Balloon Text"/>
    <w:basedOn w:val="Normal"/>
    <w:link w:val="TextedebullesC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Grilledutableau">
    <w:name w:val="Table Grid"/>
    <w:basedOn w:val="Tableau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391379C3</Template>
  <TotalTime>0</TotalTime>
  <Pages>2</Pages>
  <Words>328</Words>
  <Characters>1804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Cognizant Technology Solutions</dc:creator>
  <cp:lastModifiedBy>de Sousa, Maria</cp:lastModifiedBy>
  <cp:revision>2</cp:revision>
  <cp:lastPrinted>2015-10-09T10:36:00Z</cp:lastPrinted>
  <dcterms:created xsi:type="dcterms:W3CDTF">2016-05-16T18:02:00Z</dcterms:created>
  <dcterms:modified xsi:type="dcterms:W3CDTF">2016-05-16T18:02:00Z</dcterms:modified>
</cp:coreProperties>
</file>