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0C4CA6" w:rsidRDefault="009F3BFB"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Pr>
          <w:b/>
          <w:noProof/>
          <w:sz w:val="36"/>
        </w:rPr>
        <w:t>Portfolio transfers</w:t>
      </w:r>
    </w:p>
    <w:p w:rsidR="001B1E38" w:rsidRPr="000C4CA6"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9F3BFB" w:rsidP="009F3BFB">
            <w:pPr>
              <w:tabs>
                <w:tab w:val="left" w:pos="9356"/>
              </w:tabs>
              <w:ind w:right="-279"/>
              <w:rPr>
                <w:lang w:val="fr-FR"/>
              </w:rPr>
            </w:pPr>
            <w:r>
              <w:rPr>
                <w:lang w:val="fr-FR"/>
              </w:rPr>
              <w:t>2</w:t>
            </w:r>
            <w:r w:rsidR="00140482">
              <w:rPr>
                <w:lang w:val="fr-FR"/>
              </w:rPr>
              <w:t>.</w:t>
            </w:r>
            <w:r>
              <w:rPr>
                <w:lang w:val="fr-FR"/>
              </w:rPr>
              <w:t>0</w:t>
            </w:r>
          </w:p>
        </w:tc>
      </w:tr>
      <w:tr w:rsidR="000C4CA6" w:rsidRPr="00AA1FDB" w:rsidTr="0091257E">
        <w:tc>
          <w:tcPr>
            <w:tcW w:w="2093" w:type="dxa"/>
            <w:vMerge/>
            <w:shd w:val="clear" w:color="auto" w:fill="BFBFBF" w:themeFill="background1" w:themeFillShade="BF"/>
          </w:tcPr>
          <w:p w:rsidR="000C4CA6" w:rsidRPr="004F6025" w:rsidRDefault="000C4CA6" w:rsidP="006D6846">
            <w:pPr>
              <w:tabs>
                <w:tab w:val="left" w:pos="9356"/>
              </w:tabs>
              <w:ind w:right="-279"/>
              <w:rPr>
                <w:b/>
                <w:lang w:val="fr-FR"/>
              </w:rPr>
            </w:pPr>
          </w:p>
        </w:tc>
        <w:tc>
          <w:tcPr>
            <w:tcW w:w="2551" w:type="dxa"/>
            <w:shd w:val="clear" w:color="auto" w:fill="F2F2F2" w:themeFill="background1" w:themeFillShade="F2"/>
          </w:tcPr>
          <w:p w:rsidR="000C4CA6" w:rsidRDefault="000C4CA6" w:rsidP="00664ACE">
            <w:pPr>
              <w:tabs>
                <w:tab w:val="left" w:pos="9356"/>
              </w:tabs>
              <w:ind w:right="-279"/>
              <w:rPr>
                <w:lang w:val="fr-FR"/>
              </w:rPr>
            </w:pPr>
            <w:r>
              <w:rPr>
                <w:lang w:val="fr-FR"/>
              </w:rPr>
              <w:t>Publication date</w:t>
            </w:r>
          </w:p>
        </w:tc>
        <w:tc>
          <w:tcPr>
            <w:tcW w:w="4932" w:type="dxa"/>
          </w:tcPr>
          <w:p w:rsidR="000C4CA6" w:rsidRDefault="007C249B" w:rsidP="007C249B">
            <w:pPr>
              <w:tabs>
                <w:tab w:val="left" w:pos="9356"/>
              </w:tabs>
              <w:ind w:right="-279"/>
              <w:rPr>
                <w:lang w:val="fr-FR"/>
              </w:rPr>
            </w:pPr>
            <w:r>
              <w:rPr>
                <w:lang w:val="fr-FR"/>
              </w:rPr>
              <w:t>August 30</w:t>
            </w:r>
            <w:r w:rsidR="000C4CA6">
              <w:rPr>
                <w:lang w:val="fr-FR"/>
              </w:rPr>
              <w:t>th,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0C4CA6" w:rsidRDefault="000C4CA6" w:rsidP="0081511D">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0C4CA6"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D103DA" w:rsidRPr="003F572A" w:rsidTr="0091257E">
        <w:tc>
          <w:tcPr>
            <w:tcW w:w="2093" w:type="dxa"/>
            <w:tcBorders>
              <w:bottom w:val="single" w:sz="4" w:space="0" w:color="auto"/>
            </w:tcBorders>
            <w:shd w:val="clear" w:color="auto" w:fill="BFBFBF" w:themeFill="background1" w:themeFillShade="BF"/>
          </w:tcPr>
          <w:p w:rsidR="00D103DA" w:rsidRPr="000C4CA6" w:rsidRDefault="000C4CA6" w:rsidP="00893912">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9F3BFB" w:rsidRDefault="009F3BFB" w:rsidP="0041767E">
            <w:pPr>
              <w:spacing w:before="120"/>
              <w:jc w:val="both"/>
              <w:rPr>
                <w:rFonts w:eastAsia="MS Mincho" w:cs="Times New Roman"/>
                <w:noProof/>
                <w:szCs w:val="32"/>
              </w:rPr>
            </w:pPr>
            <w:r>
              <w:rPr>
                <w:rFonts w:eastAsia="MS Mincho" w:cs="Times New Roman"/>
                <w:noProof/>
                <w:szCs w:val="32"/>
              </w:rPr>
              <w:t>Today, portfolio transfers are processed using ‘uniliateral’ free of payment instructions, complemented by a bilateral exchange of additional information agreed upon by both parties.</w:t>
            </w:r>
          </w:p>
          <w:p w:rsidR="00140482" w:rsidRDefault="009F3BFB" w:rsidP="009F3BFB">
            <w:pPr>
              <w:spacing w:before="120"/>
              <w:jc w:val="both"/>
              <w:rPr>
                <w:rFonts w:eastAsia="MS Mincho" w:cs="Times New Roman"/>
                <w:noProof/>
                <w:szCs w:val="32"/>
              </w:rPr>
            </w:pPr>
            <w:r>
              <w:rPr>
                <w:rFonts w:eastAsia="MS Mincho" w:cs="Times New Roman"/>
                <w:noProof/>
                <w:szCs w:val="32"/>
              </w:rPr>
              <w:t xml:space="preserve">This practice is described in CFONB communication #20150024 </w:t>
            </w:r>
            <w:r w:rsidR="00003B85">
              <w:rPr>
                <w:rFonts w:eastAsia="MS Mincho" w:cs="Times New Roman"/>
                <w:noProof/>
                <w:szCs w:val="32"/>
              </w:rPr>
              <w:t xml:space="preserve">of </w:t>
            </w:r>
            <w:r>
              <w:rPr>
                <w:rFonts w:eastAsia="MS Mincho" w:cs="Times New Roman"/>
                <w:noProof/>
                <w:szCs w:val="32"/>
              </w:rPr>
              <w:t>May 5</w:t>
            </w:r>
            <w:r w:rsidRPr="009F3BFB">
              <w:rPr>
                <w:rFonts w:eastAsia="MS Mincho" w:cs="Times New Roman"/>
                <w:noProof/>
                <w:szCs w:val="32"/>
                <w:vertAlign w:val="superscript"/>
              </w:rPr>
              <w:t>th</w:t>
            </w:r>
            <w:r>
              <w:rPr>
                <w:rFonts w:eastAsia="MS Mincho" w:cs="Times New Roman"/>
                <w:noProof/>
                <w:szCs w:val="32"/>
              </w:rPr>
              <w:t xml:space="preserve">, 2015, in force for portfolio transfers, complementing and referring to CFONB communication #2006378 </w:t>
            </w:r>
            <w:r w:rsidR="00003B85">
              <w:rPr>
                <w:rFonts w:eastAsia="MS Mincho" w:cs="Times New Roman"/>
                <w:noProof/>
                <w:szCs w:val="32"/>
              </w:rPr>
              <w:t xml:space="preserve">of </w:t>
            </w:r>
            <w:r>
              <w:rPr>
                <w:rFonts w:eastAsia="MS Mincho" w:cs="Times New Roman"/>
                <w:noProof/>
                <w:szCs w:val="32"/>
              </w:rPr>
              <w:t>November 14</w:t>
            </w:r>
            <w:r w:rsidRPr="009F3BFB">
              <w:rPr>
                <w:rFonts w:eastAsia="MS Mincho" w:cs="Times New Roman"/>
                <w:noProof/>
                <w:szCs w:val="32"/>
                <w:vertAlign w:val="superscript"/>
              </w:rPr>
              <w:t>th</w:t>
            </w:r>
            <w:r>
              <w:rPr>
                <w:rFonts w:eastAsia="MS Mincho" w:cs="Times New Roman"/>
                <w:noProof/>
                <w:szCs w:val="32"/>
              </w:rPr>
              <w:t>, 2006.</w:t>
            </w:r>
          </w:p>
          <w:p w:rsidR="009F3BFB" w:rsidRDefault="00003B85" w:rsidP="009F3BFB">
            <w:pPr>
              <w:spacing w:before="120"/>
              <w:jc w:val="both"/>
              <w:rPr>
                <w:rFonts w:eastAsia="MS Mincho" w:cs="Times New Roman"/>
                <w:noProof/>
                <w:szCs w:val="32"/>
              </w:rPr>
            </w:pPr>
            <w:r>
              <w:rPr>
                <w:rFonts w:eastAsia="MS Mincho" w:cs="Times New Roman"/>
                <w:noProof/>
                <w:szCs w:val="32"/>
              </w:rPr>
              <w:t>As</w:t>
            </w:r>
            <w:r w:rsidR="009F3BFB">
              <w:rPr>
                <w:rFonts w:eastAsia="MS Mincho" w:cs="Times New Roman"/>
                <w:noProof/>
                <w:szCs w:val="32"/>
              </w:rPr>
              <w:t xml:space="preserve"> a reminder, when a free of payment instruciton is issued by Euroclear France, the date of purchase mentioned in the ‘Bordereau de Référence Nominative’ or BRN is integrated in the relevant field in the free of payment instruction.</w:t>
            </w:r>
          </w:p>
          <w:p w:rsidR="009F3BFB" w:rsidRPr="003F572A" w:rsidRDefault="009F3BFB" w:rsidP="00003B85">
            <w:pPr>
              <w:spacing w:before="120"/>
              <w:jc w:val="both"/>
              <w:rPr>
                <w:rFonts w:eastAsia="MS Mincho" w:cs="Times New Roman"/>
                <w:noProof/>
                <w:szCs w:val="32"/>
              </w:rPr>
            </w:pPr>
            <w:r>
              <w:rPr>
                <w:rFonts w:eastAsia="MS Mincho" w:cs="Times New Roman"/>
                <w:noProof/>
                <w:szCs w:val="32"/>
              </w:rPr>
              <w:t>To be noted that banks usually avoid to gen</w:t>
            </w:r>
            <w:r w:rsidR="00003B85">
              <w:rPr>
                <w:rFonts w:eastAsia="MS Mincho" w:cs="Times New Roman"/>
                <w:noProof/>
                <w:szCs w:val="32"/>
              </w:rPr>
              <w:t>erate portfolio transfers during</w:t>
            </w:r>
            <w:r>
              <w:rPr>
                <w:rFonts w:eastAsia="MS Mincho" w:cs="Times New Roman"/>
                <w:noProof/>
                <w:szCs w:val="32"/>
              </w:rPr>
              <w:t xml:space="preserve"> corporate action periods. If such is not the case, the management rule ‘trade date=settlement date’ allows to avoid the generation of market claims (cf. CFONB communication #2010161 </w:t>
            </w:r>
            <w:r w:rsidR="00003B85">
              <w:rPr>
                <w:rFonts w:eastAsia="MS Mincho" w:cs="Times New Roman"/>
                <w:noProof/>
                <w:szCs w:val="32"/>
              </w:rPr>
              <w:t xml:space="preserve">of </w:t>
            </w:r>
            <w:r>
              <w:rPr>
                <w:rFonts w:eastAsia="MS Mincho" w:cs="Times New Roman"/>
                <w:noProof/>
                <w:szCs w:val="32"/>
              </w:rPr>
              <w:t>June 23</w:t>
            </w:r>
            <w:r w:rsidRPr="009F3BFB">
              <w:rPr>
                <w:rFonts w:eastAsia="MS Mincho" w:cs="Times New Roman"/>
                <w:noProof/>
                <w:szCs w:val="32"/>
                <w:vertAlign w:val="superscript"/>
              </w:rPr>
              <w:t>rd</w:t>
            </w:r>
            <w:r>
              <w:rPr>
                <w:rFonts w:eastAsia="MS Mincho" w:cs="Times New Roman"/>
                <w:noProof/>
                <w:szCs w:val="32"/>
              </w:rPr>
              <w:t>, 2010).</w:t>
            </w:r>
          </w:p>
        </w:tc>
      </w:tr>
      <w:tr w:rsidR="00D103DA" w:rsidRPr="003F572A" w:rsidTr="0091257E">
        <w:tc>
          <w:tcPr>
            <w:tcW w:w="2093" w:type="dxa"/>
            <w:tcBorders>
              <w:left w:val="nil"/>
              <w:right w:val="nil"/>
            </w:tcBorders>
          </w:tcPr>
          <w:p w:rsidR="00EC776F" w:rsidRPr="003F572A" w:rsidRDefault="00EC776F" w:rsidP="00B26098">
            <w:pPr>
              <w:rPr>
                <w:rFonts w:eastAsia="MS Mincho" w:cs="Times New Roman"/>
                <w:b/>
                <w:noProof/>
                <w:szCs w:val="32"/>
              </w:rPr>
            </w:pPr>
          </w:p>
        </w:tc>
        <w:tc>
          <w:tcPr>
            <w:tcW w:w="7513" w:type="dxa"/>
            <w:tcBorders>
              <w:left w:val="nil"/>
              <w:right w:val="nil"/>
            </w:tcBorders>
          </w:tcPr>
          <w:p w:rsidR="00D103DA" w:rsidRPr="003F572A" w:rsidRDefault="00D103DA" w:rsidP="00B26098">
            <w:pPr>
              <w:rPr>
                <w:rFonts w:eastAsia="MS Mincho" w:cs="Times New Roman"/>
                <w:noProof/>
                <w:szCs w:val="32"/>
              </w:rPr>
            </w:pPr>
          </w:p>
        </w:tc>
      </w:tr>
      <w:tr w:rsidR="00893912" w:rsidRPr="00D01A0C" w:rsidTr="0081511D">
        <w:tc>
          <w:tcPr>
            <w:tcW w:w="2093" w:type="dxa"/>
            <w:tcBorders>
              <w:bottom w:val="single" w:sz="4" w:space="0" w:color="auto"/>
            </w:tcBorders>
            <w:shd w:val="clear" w:color="auto" w:fill="BFBFBF" w:themeFill="background1" w:themeFillShade="BF"/>
          </w:tcPr>
          <w:p w:rsidR="00893912" w:rsidRPr="000C4CA6" w:rsidRDefault="000C4CA6" w:rsidP="00EC776F">
            <w:pPr>
              <w:rPr>
                <w:rFonts w:eastAsia="MS Mincho" w:cs="Times New Roman"/>
                <w:b/>
                <w:noProof/>
                <w:szCs w:val="32"/>
              </w:rPr>
            </w:pPr>
            <w:r w:rsidRPr="005B1C9D">
              <w:rPr>
                <w:rFonts w:eastAsia="MS Mincho" w:cs="Times New Roman"/>
                <w:b/>
                <w:noProof/>
                <w:szCs w:val="32"/>
              </w:rPr>
              <w:t xml:space="preserve">Description of the T2S </w:t>
            </w:r>
            <w:r>
              <w:rPr>
                <w:rFonts w:eastAsia="MS Mincho" w:cs="Times New Roman"/>
                <w:b/>
                <w:noProof/>
                <w:szCs w:val="32"/>
              </w:rPr>
              <w:t>impact</w:t>
            </w:r>
          </w:p>
        </w:tc>
        <w:tc>
          <w:tcPr>
            <w:tcW w:w="7513" w:type="dxa"/>
            <w:tcBorders>
              <w:bottom w:val="single" w:sz="4" w:space="0" w:color="auto"/>
            </w:tcBorders>
          </w:tcPr>
          <w:p w:rsidR="009F3BFB" w:rsidRDefault="009F3BFB" w:rsidP="0041767E">
            <w:pPr>
              <w:spacing w:before="120"/>
              <w:jc w:val="both"/>
              <w:rPr>
                <w:rFonts w:eastAsia="MS Mincho" w:cs="Times New Roman"/>
                <w:noProof/>
                <w:szCs w:val="32"/>
              </w:rPr>
            </w:pPr>
            <w:r>
              <w:rPr>
                <w:rFonts w:eastAsia="MS Mincho" w:cs="Times New Roman"/>
                <w:noProof/>
                <w:szCs w:val="32"/>
              </w:rPr>
              <w:t>The below mentioned elements correspond to the period that will immediately follow the launch of T2S, during which Euroclear France’s participants will all be using the service ‘Free of Payment Without Matching’ (=already matched).</w:t>
            </w:r>
          </w:p>
          <w:p w:rsidR="00140482" w:rsidRDefault="00003B85" w:rsidP="009F3BFB">
            <w:pPr>
              <w:spacing w:before="120"/>
              <w:jc w:val="both"/>
              <w:rPr>
                <w:rFonts w:eastAsia="MS Mincho" w:cs="Times New Roman"/>
                <w:noProof/>
                <w:szCs w:val="32"/>
              </w:rPr>
            </w:pPr>
            <w:r>
              <w:rPr>
                <w:rFonts w:eastAsia="MS Mincho" w:cs="Times New Roman"/>
                <w:noProof/>
                <w:szCs w:val="32"/>
              </w:rPr>
              <w:t>This practice does not apply</w:t>
            </w:r>
            <w:r w:rsidR="009F3BFB">
              <w:rPr>
                <w:rFonts w:eastAsia="MS Mincho" w:cs="Times New Roman"/>
                <w:noProof/>
                <w:szCs w:val="32"/>
              </w:rPr>
              <w:t xml:space="preserve"> in cases where the portfolio transfer involves the participant of another CSD who, by nature is not participant </w:t>
            </w:r>
            <w:r>
              <w:rPr>
                <w:rFonts w:eastAsia="MS Mincho" w:cs="Times New Roman"/>
                <w:noProof/>
                <w:szCs w:val="32"/>
              </w:rPr>
              <w:t xml:space="preserve">in </w:t>
            </w:r>
            <w:r w:rsidR="009F3BFB">
              <w:rPr>
                <w:rFonts w:eastAsia="MS Mincho" w:cs="Times New Roman"/>
                <w:noProof/>
                <w:szCs w:val="32"/>
              </w:rPr>
              <w:t>Euroclear</w:t>
            </w:r>
            <w:r>
              <w:rPr>
                <w:rFonts w:eastAsia="MS Mincho" w:cs="Times New Roman"/>
                <w:noProof/>
                <w:szCs w:val="32"/>
              </w:rPr>
              <w:t xml:space="preserve"> France</w:t>
            </w:r>
            <w:r w:rsidR="009F3BFB">
              <w:rPr>
                <w:rFonts w:eastAsia="MS Mincho" w:cs="Times New Roman"/>
                <w:noProof/>
                <w:szCs w:val="32"/>
              </w:rPr>
              <w:t>.</w:t>
            </w:r>
          </w:p>
          <w:p w:rsidR="009F3BFB" w:rsidRDefault="009F3BFB" w:rsidP="009F3BFB">
            <w:pPr>
              <w:spacing w:before="120"/>
              <w:jc w:val="both"/>
              <w:rPr>
                <w:rFonts w:eastAsia="MS Mincho" w:cs="Times New Roman"/>
                <w:noProof/>
                <w:szCs w:val="32"/>
              </w:rPr>
            </w:pPr>
            <w:r>
              <w:rPr>
                <w:rFonts w:eastAsia="MS Mincho" w:cs="Times New Roman"/>
                <w:noProof/>
                <w:szCs w:val="32"/>
              </w:rPr>
              <w:t>In T2S, settlement instructions are subject to match</w:t>
            </w:r>
            <w:r w:rsidR="00003B85">
              <w:rPr>
                <w:rFonts w:eastAsia="MS Mincho" w:cs="Times New Roman"/>
                <w:noProof/>
                <w:szCs w:val="32"/>
              </w:rPr>
              <w:t>ing</w:t>
            </w:r>
            <w:r>
              <w:rPr>
                <w:rFonts w:eastAsia="MS Mincho" w:cs="Times New Roman"/>
                <w:noProof/>
                <w:szCs w:val="32"/>
              </w:rPr>
              <w:t xml:space="preserve">. Existing ‘unilateral’ free of payment instructions </w:t>
            </w:r>
            <w:r w:rsidR="00DF7C93">
              <w:rPr>
                <w:rFonts w:eastAsia="MS Mincho" w:cs="Times New Roman"/>
                <w:noProof/>
                <w:szCs w:val="32"/>
              </w:rPr>
              <w:t>will be replaced by ‘Free of Payment Without Matching’ for participants using the service from Euroclear, or to be matched free of payment instructions in other cases.</w:t>
            </w:r>
          </w:p>
          <w:p w:rsidR="00DF7C93" w:rsidRDefault="00DF7C93" w:rsidP="00DF7C93">
            <w:pPr>
              <w:spacing w:before="120"/>
              <w:jc w:val="both"/>
              <w:rPr>
                <w:rFonts w:eastAsia="MS Mincho" w:cs="Times New Roman"/>
                <w:noProof/>
                <w:szCs w:val="32"/>
              </w:rPr>
            </w:pPr>
            <w:r>
              <w:rPr>
                <w:rFonts w:eastAsia="MS Mincho" w:cs="Times New Roman"/>
                <w:noProof/>
                <w:szCs w:val="32"/>
              </w:rPr>
              <w:t xml:space="preserve">Instructions in T2S do not present field to specify the date of purchase or other data described in CFONB communication #20150024 </w:t>
            </w:r>
            <w:r w:rsidR="00003B85">
              <w:rPr>
                <w:rFonts w:eastAsia="MS Mincho" w:cs="Times New Roman"/>
                <w:noProof/>
                <w:szCs w:val="32"/>
              </w:rPr>
              <w:t xml:space="preserve">of </w:t>
            </w:r>
            <w:r>
              <w:rPr>
                <w:rFonts w:eastAsia="MS Mincho" w:cs="Times New Roman"/>
                <w:noProof/>
                <w:szCs w:val="32"/>
              </w:rPr>
              <w:t>May 5</w:t>
            </w:r>
            <w:r w:rsidRPr="00DF7C93">
              <w:rPr>
                <w:rFonts w:eastAsia="MS Mincho" w:cs="Times New Roman"/>
                <w:noProof/>
                <w:szCs w:val="32"/>
                <w:vertAlign w:val="superscript"/>
              </w:rPr>
              <w:t>th</w:t>
            </w:r>
            <w:r>
              <w:rPr>
                <w:rFonts w:eastAsia="MS Mincho" w:cs="Times New Roman"/>
                <w:noProof/>
                <w:szCs w:val="32"/>
              </w:rPr>
              <w:t>, 2015.</w:t>
            </w:r>
          </w:p>
          <w:p w:rsidR="00DF7C93" w:rsidRDefault="00DF7C93" w:rsidP="00DF7C93">
            <w:pPr>
              <w:spacing w:before="120"/>
              <w:jc w:val="both"/>
              <w:rPr>
                <w:rFonts w:eastAsia="MS Mincho" w:cs="Times New Roman"/>
                <w:noProof/>
                <w:szCs w:val="32"/>
              </w:rPr>
            </w:pPr>
            <w:r>
              <w:rPr>
                <w:rFonts w:eastAsia="MS Mincho" w:cs="Times New Roman"/>
                <w:noProof/>
                <w:szCs w:val="32"/>
              </w:rPr>
              <w:t>To be noted that any ‘unilateral’ free of payment instruction must mention an account nature, transferred identically to other types of instructions.</w:t>
            </w:r>
          </w:p>
          <w:p w:rsidR="00DF7C93" w:rsidRDefault="00DF7C93" w:rsidP="00DF7C93">
            <w:pPr>
              <w:spacing w:before="120"/>
              <w:jc w:val="both"/>
              <w:rPr>
                <w:rFonts w:eastAsia="MS Mincho" w:cs="Times New Roman"/>
                <w:b/>
                <w:noProof/>
                <w:szCs w:val="32"/>
              </w:rPr>
            </w:pPr>
            <w:r>
              <w:rPr>
                <w:rFonts w:eastAsia="MS Mincho" w:cs="Times New Roman"/>
                <w:b/>
                <w:noProof/>
                <w:szCs w:val="32"/>
              </w:rPr>
              <w:lastRenderedPageBreak/>
              <w:t>Portfolio transfers:</w:t>
            </w:r>
          </w:p>
          <w:p w:rsidR="00DF7C93" w:rsidRPr="00DF7C93" w:rsidRDefault="00DF7C93" w:rsidP="00DF7C93">
            <w:pPr>
              <w:spacing w:before="120"/>
              <w:jc w:val="both"/>
              <w:rPr>
                <w:rFonts w:eastAsia="MS Mincho" w:cs="Times New Roman"/>
                <w:noProof/>
                <w:szCs w:val="32"/>
              </w:rPr>
            </w:pPr>
            <w:r>
              <w:rPr>
                <w:rFonts w:eastAsia="MS Mincho" w:cs="Times New Roman"/>
                <w:noProof/>
                <w:szCs w:val="32"/>
              </w:rPr>
              <w:t>Securities transferred from account nature ‘000’ to ‘000’, or from account nature ‘001’ to ‘001’.</w:t>
            </w:r>
          </w:p>
        </w:tc>
      </w:tr>
      <w:tr w:rsidR="0081511D" w:rsidRPr="00D01A0C" w:rsidTr="0081511D">
        <w:tc>
          <w:tcPr>
            <w:tcW w:w="2093" w:type="dxa"/>
            <w:tcBorders>
              <w:left w:val="nil"/>
              <w:right w:val="nil"/>
            </w:tcBorders>
            <w:shd w:val="clear" w:color="auto" w:fill="auto"/>
          </w:tcPr>
          <w:p w:rsidR="0081511D" w:rsidRPr="00D01A0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D01A0C" w:rsidRDefault="0081511D" w:rsidP="0081511D">
            <w:pPr>
              <w:rPr>
                <w:rFonts w:eastAsia="MS Mincho" w:cs="Times New Roman"/>
                <w:b/>
                <w:noProof/>
                <w:szCs w:val="32"/>
              </w:rPr>
            </w:pPr>
          </w:p>
        </w:tc>
      </w:tr>
      <w:tr w:rsidR="0081511D" w:rsidRPr="00D01A0C" w:rsidTr="0081511D">
        <w:tc>
          <w:tcPr>
            <w:tcW w:w="2093" w:type="dxa"/>
            <w:shd w:val="clear" w:color="auto" w:fill="BFBFBF" w:themeFill="background1" w:themeFillShade="BF"/>
          </w:tcPr>
          <w:p w:rsidR="0081511D" w:rsidRPr="000C4CA6" w:rsidRDefault="000C4CA6" w:rsidP="00EC776F">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D01A0C" w:rsidRPr="00D01A0C" w:rsidRDefault="00D01A0C" w:rsidP="0041767E">
            <w:pPr>
              <w:jc w:val="both"/>
              <w:rPr>
                <w:rFonts w:eastAsia="MS Mincho" w:cs="Times New Roman"/>
                <w:noProof/>
                <w:szCs w:val="32"/>
              </w:rPr>
            </w:pPr>
            <w:r w:rsidRPr="00D01A0C">
              <w:rPr>
                <w:rFonts w:eastAsia="MS Mincho" w:cs="Times New Roman"/>
                <w:noProof/>
                <w:szCs w:val="32"/>
              </w:rPr>
              <w:t xml:space="preserve">French institutions look for a level of automation </w:t>
            </w:r>
            <w:r>
              <w:rPr>
                <w:rFonts w:eastAsia="MS Mincho" w:cs="Times New Roman"/>
                <w:noProof/>
                <w:szCs w:val="32"/>
              </w:rPr>
              <w:t>equivalent to that observed with the use of ‘unilateral free of payment’ instructions</w:t>
            </w:r>
            <w:r w:rsidR="00DF7C93">
              <w:rPr>
                <w:rFonts w:eastAsia="MS Mincho" w:cs="Times New Roman"/>
                <w:noProof/>
                <w:szCs w:val="32"/>
              </w:rPr>
              <w:t xml:space="preserve">, and </w:t>
            </w:r>
            <w:r w:rsidR="00003B85">
              <w:rPr>
                <w:rFonts w:eastAsia="MS Mincho" w:cs="Times New Roman"/>
                <w:noProof/>
                <w:szCs w:val="32"/>
              </w:rPr>
              <w:t xml:space="preserve">look </w:t>
            </w:r>
            <w:r w:rsidR="00DF7C93">
              <w:rPr>
                <w:rFonts w:eastAsia="MS Mincho" w:cs="Times New Roman"/>
                <w:noProof/>
                <w:szCs w:val="32"/>
              </w:rPr>
              <w:t xml:space="preserve">to allow </w:t>
            </w:r>
            <w:r w:rsidR="00003B85">
              <w:rPr>
                <w:rFonts w:eastAsia="MS Mincho" w:cs="Times New Roman"/>
                <w:noProof/>
                <w:szCs w:val="32"/>
              </w:rPr>
              <w:t xml:space="preserve">participants </w:t>
            </w:r>
            <w:r w:rsidR="00DF7C93">
              <w:rPr>
                <w:rFonts w:eastAsia="MS Mincho" w:cs="Times New Roman"/>
                <w:noProof/>
                <w:szCs w:val="32"/>
              </w:rPr>
              <w:t xml:space="preserve">to transfer fiscal data </w:t>
            </w:r>
            <w:r w:rsidR="00003B85">
              <w:rPr>
                <w:rFonts w:eastAsia="MS Mincho" w:cs="Times New Roman"/>
                <w:noProof/>
                <w:szCs w:val="32"/>
              </w:rPr>
              <w:t xml:space="preserve">necessary to their activities </w:t>
            </w:r>
            <w:r w:rsidR="00DF7C93">
              <w:rPr>
                <w:rFonts w:eastAsia="MS Mincho" w:cs="Times New Roman"/>
                <w:noProof/>
                <w:szCs w:val="32"/>
              </w:rPr>
              <w:t>(data relating to capital gains and to the requirement to notify capital gains of French origine by non-resident clients)</w:t>
            </w:r>
            <w:r>
              <w:rPr>
                <w:rFonts w:eastAsia="MS Mincho" w:cs="Times New Roman"/>
                <w:noProof/>
                <w:szCs w:val="32"/>
              </w:rPr>
              <w:t>.</w:t>
            </w:r>
          </w:p>
          <w:p w:rsidR="0081511D" w:rsidRDefault="00DF7C93" w:rsidP="0041767E">
            <w:pPr>
              <w:spacing w:before="120"/>
              <w:jc w:val="both"/>
              <w:rPr>
                <w:rFonts w:eastAsia="MS Mincho" w:cs="Times New Roman"/>
                <w:noProof/>
                <w:szCs w:val="32"/>
              </w:rPr>
            </w:pPr>
            <w:r>
              <w:rPr>
                <w:rFonts w:eastAsia="MS Mincho" w:cs="Times New Roman"/>
                <w:noProof/>
                <w:szCs w:val="32"/>
              </w:rPr>
              <w:t>On the longer term, the existing market practice in France will need to be reviewed when the European practice currently being finalized will be implemented.</w:t>
            </w:r>
          </w:p>
          <w:p w:rsidR="00DF7C93" w:rsidRPr="00D01A0C" w:rsidRDefault="00DF7C93" w:rsidP="00DF7C93">
            <w:pPr>
              <w:spacing w:before="120"/>
              <w:jc w:val="both"/>
              <w:rPr>
                <w:rFonts w:eastAsia="MS Mincho" w:cs="Times New Roman"/>
                <w:noProof/>
                <w:szCs w:val="32"/>
              </w:rPr>
            </w:pPr>
            <w:r>
              <w:rPr>
                <w:rFonts w:eastAsia="MS Mincho" w:cs="Times New Roman"/>
                <w:noProof/>
                <w:szCs w:val="32"/>
              </w:rPr>
              <w:t>The objective is to keep the benefits of the service ‘Free of Payment without matching’ from Euroclear, while allowing for the transfer of all data required for a portfolio transfer as scheduled in the European market practice.</w:t>
            </w:r>
          </w:p>
        </w:tc>
      </w:tr>
      <w:tr w:rsidR="0081511D" w:rsidRPr="00D01A0C" w:rsidTr="00664ACE">
        <w:tc>
          <w:tcPr>
            <w:tcW w:w="2093" w:type="dxa"/>
            <w:tcBorders>
              <w:left w:val="nil"/>
              <w:right w:val="nil"/>
            </w:tcBorders>
            <w:shd w:val="clear" w:color="auto" w:fill="auto"/>
          </w:tcPr>
          <w:p w:rsidR="0081511D" w:rsidRPr="00D01A0C" w:rsidRDefault="0081511D" w:rsidP="00664ACE">
            <w:pPr>
              <w:rPr>
                <w:rFonts w:eastAsia="MS Mincho" w:cs="Times New Roman"/>
                <w:b/>
                <w:noProof/>
                <w:szCs w:val="32"/>
              </w:rPr>
            </w:pPr>
          </w:p>
        </w:tc>
        <w:tc>
          <w:tcPr>
            <w:tcW w:w="7513" w:type="dxa"/>
            <w:tcBorders>
              <w:left w:val="nil"/>
              <w:right w:val="nil"/>
            </w:tcBorders>
            <w:shd w:val="clear" w:color="auto" w:fill="auto"/>
          </w:tcPr>
          <w:p w:rsidR="0081511D" w:rsidRPr="00D01A0C" w:rsidRDefault="0081511D" w:rsidP="00664ACE">
            <w:pPr>
              <w:rPr>
                <w:rFonts w:eastAsia="MS Mincho" w:cs="Times New Roman"/>
                <w:b/>
                <w:noProof/>
                <w:szCs w:val="32"/>
              </w:rPr>
            </w:pPr>
          </w:p>
        </w:tc>
      </w:tr>
      <w:tr w:rsidR="000C4CA6" w:rsidRPr="0081511D" w:rsidTr="0081511D">
        <w:tc>
          <w:tcPr>
            <w:tcW w:w="2093" w:type="dxa"/>
            <w:shd w:val="clear" w:color="auto" w:fill="BFBFBF" w:themeFill="background1" w:themeFillShade="BF"/>
          </w:tcPr>
          <w:p w:rsidR="000C4CA6" w:rsidRPr="003348A6" w:rsidRDefault="000C4CA6" w:rsidP="00664ACE">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0C4CA6" w:rsidRPr="00D103DA" w:rsidRDefault="000C4CA6" w:rsidP="00664ACE">
            <w:pPr>
              <w:rPr>
                <w:rFonts w:eastAsia="MS Mincho" w:cs="Times New Roman"/>
                <w:b/>
                <w:noProof/>
                <w:szCs w:val="32"/>
                <w:lang w:val="fr-FR"/>
              </w:rPr>
            </w:pPr>
            <w:r>
              <w:rPr>
                <w:rFonts w:eastAsia="MS Mincho" w:cs="Times New Roman"/>
                <w:b/>
                <w:noProof/>
                <w:szCs w:val="32"/>
                <w:lang w:val="fr-FR"/>
              </w:rPr>
              <w:t>(OPTIONAL)</w:t>
            </w:r>
          </w:p>
        </w:tc>
        <w:tc>
          <w:tcPr>
            <w:tcW w:w="7513" w:type="dxa"/>
          </w:tcPr>
          <w:p w:rsidR="000C4CA6" w:rsidRDefault="000C4CA6" w:rsidP="00664ACE">
            <w:pPr>
              <w:rPr>
                <w:rFonts w:eastAsia="MS Mincho" w:cs="Times New Roman"/>
                <w:noProof/>
                <w:szCs w:val="32"/>
                <w:lang w:val="fr-FR"/>
              </w:rPr>
            </w:pPr>
          </w:p>
        </w:tc>
      </w:tr>
      <w:tr w:rsidR="000C4CA6" w:rsidRPr="0081511D" w:rsidTr="00664ACE">
        <w:tc>
          <w:tcPr>
            <w:tcW w:w="2093" w:type="dxa"/>
            <w:tcBorders>
              <w:left w:val="nil"/>
              <w:right w:val="nil"/>
            </w:tcBorders>
            <w:shd w:val="clear" w:color="auto" w:fill="auto"/>
          </w:tcPr>
          <w:p w:rsidR="000C4CA6" w:rsidRDefault="000C4CA6" w:rsidP="00664ACE">
            <w:pPr>
              <w:rPr>
                <w:rFonts w:eastAsia="MS Mincho" w:cs="Times New Roman"/>
                <w:b/>
                <w:noProof/>
                <w:szCs w:val="32"/>
                <w:lang w:val="fr-FR"/>
              </w:rPr>
            </w:pPr>
          </w:p>
        </w:tc>
        <w:tc>
          <w:tcPr>
            <w:tcW w:w="7513" w:type="dxa"/>
            <w:tcBorders>
              <w:left w:val="nil"/>
              <w:right w:val="nil"/>
            </w:tcBorders>
            <w:shd w:val="clear" w:color="auto" w:fill="auto"/>
          </w:tcPr>
          <w:p w:rsidR="000C4CA6" w:rsidRPr="0081511D" w:rsidRDefault="000C4CA6" w:rsidP="00664ACE">
            <w:pPr>
              <w:rPr>
                <w:rFonts w:eastAsia="MS Mincho" w:cs="Times New Roman"/>
                <w:b/>
                <w:noProof/>
                <w:szCs w:val="32"/>
                <w:lang w:val="fr-FR"/>
              </w:rPr>
            </w:pPr>
          </w:p>
        </w:tc>
      </w:tr>
      <w:tr w:rsidR="000C4CA6" w:rsidRPr="0081511D" w:rsidTr="0081511D">
        <w:tc>
          <w:tcPr>
            <w:tcW w:w="2093" w:type="dxa"/>
            <w:shd w:val="clear" w:color="auto" w:fill="BFBFBF" w:themeFill="background1" w:themeFillShade="BF"/>
          </w:tcPr>
          <w:p w:rsidR="000C4CA6" w:rsidRDefault="000C4CA6" w:rsidP="00664ACE">
            <w:pPr>
              <w:rPr>
                <w:rFonts w:eastAsia="MS Mincho" w:cs="Times New Roman"/>
                <w:b/>
                <w:noProof/>
                <w:szCs w:val="32"/>
                <w:lang w:val="fr-FR"/>
              </w:rPr>
            </w:pPr>
            <w:r>
              <w:rPr>
                <w:rFonts w:eastAsia="MS Mincho" w:cs="Times New Roman"/>
                <w:b/>
                <w:noProof/>
                <w:szCs w:val="32"/>
                <w:lang w:val="fr-FR"/>
              </w:rPr>
              <w:t>Workflows</w:t>
            </w:r>
          </w:p>
          <w:p w:rsidR="000C4CA6" w:rsidRDefault="000C4CA6" w:rsidP="00664ACE">
            <w:pPr>
              <w:rPr>
                <w:rFonts w:eastAsia="MS Mincho" w:cs="Times New Roman"/>
                <w:b/>
                <w:noProof/>
                <w:szCs w:val="32"/>
                <w:lang w:val="fr-FR"/>
              </w:rPr>
            </w:pPr>
            <w:r>
              <w:rPr>
                <w:rFonts w:eastAsia="MS Mincho" w:cs="Times New Roman"/>
                <w:b/>
                <w:noProof/>
                <w:szCs w:val="32"/>
                <w:lang w:val="fr-FR"/>
              </w:rPr>
              <w:t>(OPTIONAL)</w:t>
            </w:r>
          </w:p>
        </w:tc>
        <w:tc>
          <w:tcPr>
            <w:tcW w:w="7513" w:type="dxa"/>
          </w:tcPr>
          <w:p w:rsidR="000C4CA6" w:rsidRPr="00ED03B1" w:rsidRDefault="00DF7C93" w:rsidP="0041767E">
            <w:pPr>
              <w:jc w:val="both"/>
              <w:rPr>
                <w:rFonts w:eastAsia="MS Mincho" w:cs="Times New Roman"/>
                <w:noProof/>
                <w:szCs w:val="32"/>
              </w:rPr>
            </w:pPr>
            <w:r>
              <w:rPr>
                <w:rFonts w:eastAsia="MS Mincho" w:cs="Times New Roman"/>
                <w:noProof/>
                <w:szCs w:val="32"/>
              </w:rPr>
              <w:t>T</w:t>
            </w:r>
            <w:r w:rsidR="00D01A0C">
              <w:rPr>
                <w:rFonts w:eastAsia="MS Mincho" w:cs="Times New Roman"/>
                <w:noProof/>
                <w:szCs w:val="32"/>
              </w:rPr>
              <w:t>he functioning and exhaustive data to be used are described in Euroclear’s ‘</w:t>
            </w:r>
            <w:r w:rsidR="00D01A0C" w:rsidRPr="00D01A0C">
              <w:rPr>
                <w:rFonts w:eastAsia="MS Mincho" w:cs="Times New Roman"/>
                <w:i/>
                <w:noProof/>
                <w:szCs w:val="32"/>
              </w:rPr>
              <w:t>ESES matching and settlement</w:t>
            </w:r>
            <w:r w:rsidR="00D01A0C" w:rsidRPr="00D01A0C">
              <w:rPr>
                <w:rFonts w:eastAsia="MS Mincho" w:cs="Times New Roman"/>
                <w:noProof/>
                <w:szCs w:val="32"/>
              </w:rPr>
              <w:t xml:space="preserve">’ Detailed Service Description. </w:t>
            </w:r>
          </w:p>
          <w:p w:rsidR="000C4CA6" w:rsidRPr="00ED03B1" w:rsidRDefault="000C4CA6" w:rsidP="0041767E">
            <w:pPr>
              <w:rPr>
                <w:rFonts w:eastAsia="MS Mincho" w:cs="Times New Roman"/>
                <w:noProof/>
                <w:szCs w:val="32"/>
              </w:rPr>
            </w:pPr>
          </w:p>
          <w:bookmarkStart w:id="0" w:name="_MON_1504501633"/>
          <w:bookmarkEnd w:id="0"/>
          <w:p w:rsidR="000C4CA6" w:rsidRDefault="000C4CA6" w:rsidP="0041767E">
            <w:pPr>
              <w:rPr>
                <w:rFonts w:eastAsia="MS Mincho" w:cs="Times New Roman"/>
                <w:noProof/>
                <w:szCs w:val="32"/>
                <w:lang w:val="fr-FR"/>
              </w:rPr>
            </w:pPr>
            <w:r w:rsidRPr="009D066A">
              <w:rPr>
                <w:rFonts w:eastAsia="MS Mincho" w:cs="Times New Roman"/>
                <w:noProof/>
                <w:szCs w:val="32"/>
                <w:lang w:val="fr-FR"/>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1pt" o:ole="">
                  <v:imagedata r:id="rId8" o:title=""/>
                </v:shape>
                <o:OLEObject Type="Embed" ProgID="PowerPoint.Show.8" ShapeID="_x0000_i1025" DrawAspect="Icon" ObjectID="_1537267457" r:id="rId9"/>
              </w:object>
            </w:r>
          </w:p>
          <w:p w:rsidR="00DF7C93" w:rsidRPr="008B07F4" w:rsidRDefault="008B07F4" w:rsidP="008B07F4">
            <w:pPr>
              <w:rPr>
                <w:rFonts w:eastAsia="MS Mincho" w:cs="Times New Roman"/>
                <w:noProof/>
                <w:szCs w:val="32"/>
              </w:rPr>
            </w:pPr>
            <w:r>
              <w:rPr>
                <w:rFonts w:eastAsia="MS Mincho" w:cs="Times New Roman"/>
                <w:noProof/>
                <w:szCs w:val="32"/>
              </w:rPr>
              <w:t>For instructions involving participants of other CSDs, u</w:t>
            </w:r>
            <w:r w:rsidRPr="008B07F4">
              <w:rPr>
                <w:rFonts w:eastAsia="MS Mincho" w:cs="Times New Roman"/>
                <w:noProof/>
                <w:szCs w:val="32"/>
              </w:rPr>
              <w:t xml:space="preserve">he </w:t>
            </w:r>
            <w:r>
              <w:rPr>
                <w:rFonts w:eastAsia="MS Mincho" w:cs="Times New Roman"/>
                <w:noProof/>
                <w:szCs w:val="32"/>
              </w:rPr>
              <w:t>u</w:t>
            </w:r>
            <w:r w:rsidRPr="008B07F4">
              <w:rPr>
                <w:rFonts w:eastAsia="MS Mincho" w:cs="Times New Roman"/>
                <w:noProof/>
                <w:szCs w:val="32"/>
              </w:rPr>
              <w:t xml:space="preserve">ser </w:t>
            </w:r>
            <w:r>
              <w:rPr>
                <w:rFonts w:eastAsia="MS Mincho" w:cs="Times New Roman"/>
                <w:noProof/>
                <w:szCs w:val="32"/>
              </w:rPr>
              <w:t>g</w:t>
            </w:r>
            <w:r w:rsidRPr="008B07F4">
              <w:rPr>
                <w:rFonts w:eastAsia="MS Mincho" w:cs="Times New Roman"/>
                <w:noProof/>
                <w:szCs w:val="32"/>
              </w:rPr>
              <w:t>uide</w:t>
            </w:r>
            <w:r>
              <w:rPr>
                <w:rFonts w:eastAsia="MS Mincho" w:cs="Times New Roman"/>
                <w:noProof/>
                <w:szCs w:val="32"/>
              </w:rPr>
              <w:t>s</w:t>
            </w:r>
            <w:r w:rsidRPr="008B07F4">
              <w:rPr>
                <w:rFonts w:eastAsia="MS Mincho" w:cs="Times New Roman"/>
                <w:noProof/>
                <w:szCs w:val="32"/>
              </w:rPr>
              <w:t xml:space="preserve"> </w:t>
            </w:r>
            <w:r>
              <w:rPr>
                <w:rFonts w:eastAsia="MS Mincho" w:cs="Times New Roman"/>
                <w:noProof/>
                <w:szCs w:val="32"/>
              </w:rPr>
              <w:t xml:space="preserve">to </w:t>
            </w:r>
            <w:r w:rsidRPr="008B07F4">
              <w:rPr>
                <w:rFonts w:eastAsia="MS Mincho" w:cs="Times New Roman"/>
                <w:noProof/>
                <w:szCs w:val="32"/>
              </w:rPr>
              <w:t>Euroclear Connect for Scree</w:t>
            </w:r>
            <w:r>
              <w:rPr>
                <w:rFonts w:eastAsia="MS Mincho" w:cs="Times New Roman"/>
                <w:noProof/>
                <w:szCs w:val="32"/>
              </w:rPr>
              <w:t>ns and to the T2S GUI must be considered.</w:t>
            </w:r>
          </w:p>
        </w:tc>
      </w:tr>
      <w:tr w:rsidR="000C4CA6" w:rsidRPr="0081511D" w:rsidTr="00664ACE">
        <w:tc>
          <w:tcPr>
            <w:tcW w:w="2093" w:type="dxa"/>
            <w:tcBorders>
              <w:left w:val="nil"/>
              <w:right w:val="nil"/>
            </w:tcBorders>
            <w:shd w:val="clear" w:color="auto" w:fill="auto"/>
          </w:tcPr>
          <w:p w:rsidR="000C4CA6" w:rsidRPr="008B07F4" w:rsidRDefault="000C4CA6" w:rsidP="00664ACE">
            <w:pPr>
              <w:rPr>
                <w:rFonts w:eastAsia="MS Mincho" w:cs="Times New Roman"/>
                <w:b/>
                <w:noProof/>
                <w:szCs w:val="32"/>
              </w:rPr>
            </w:pPr>
          </w:p>
        </w:tc>
        <w:tc>
          <w:tcPr>
            <w:tcW w:w="7513" w:type="dxa"/>
            <w:tcBorders>
              <w:left w:val="nil"/>
              <w:right w:val="nil"/>
            </w:tcBorders>
            <w:shd w:val="clear" w:color="auto" w:fill="auto"/>
          </w:tcPr>
          <w:p w:rsidR="000C4CA6" w:rsidRPr="008B07F4" w:rsidRDefault="000C4CA6" w:rsidP="00664ACE">
            <w:pPr>
              <w:rPr>
                <w:rFonts w:eastAsia="MS Mincho" w:cs="Times New Roman"/>
                <w:b/>
                <w:noProof/>
                <w:szCs w:val="32"/>
              </w:rPr>
            </w:pPr>
          </w:p>
        </w:tc>
      </w:tr>
      <w:tr w:rsidR="000C4CA6" w:rsidRPr="004A5D53" w:rsidTr="0091257E">
        <w:tc>
          <w:tcPr>
            <w:tcW w:w="2093" w:type="dxa"/>
            <w:tcBorders>
              <w:bottom w:val="single" w:sz="4" w:space="0" w:color="auto"/>
            </w:tcBorders>
            <w:shd w:val="clear" w:color="auto" w:fill="BFBFBF" w:themeFill="background1" w:themeFillShade="BF"/>
          </w:tcPr>
          <w:p w:rsidR="000C4CA6" w:rsidRPr="003348A6" w:rsidRDefault="000C4CA6" w:rsidP="00664ACE">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0C4CA6" w:rsidRPr="008B07F4" w:rsidRDefault="008B07F4" w:rsidP="008B07F4">
            <w:pPr>
              <w:jc w:val="both"/>
              <w:rPr>
                <w:rFonts w:eastAsia="MS Mincho" w:cs="Times New Roman"/>
                <w:noProof/>
                <w:szCs w:val="32"/>
              </w:rPr>
            </w:pPr>
            <w:r>
              <w:rPr>
                <w:rFonts w:eastAsia="MS Mincho" w:cs="Times New Roman"/>
                <w:noProof/>
                <w:szCs w:val="32"/>
              </w:rPr>
              <w:t>-</w:t>
            </w:r>
          </w:p>
        </w:tc>
      </w:tr>
    </w:tbl>
    <w:p w:rsidR="001E0D83" w:rsidRPr="004A5D53" w:rsidRDefault="001E0D83" w:rsidP="00D103DA">
      <w:pPr>
        <w:spacing w:after="0" w:line="240" w:lineRule="auto"/>
        <w:rPr>
          <w:rFonts w:eastAsia="MS Mincho" w:cs="Times New Roman"/>
          <w:noProof/>
          <w:szCs w:val="32"/>
        </w:rPr>
      </w:pPr>
    </w:p>
    <w:p w:rsidR="0081511D" w:rsidRPr="004A5D53" w:rsidRDefault="0081511D" w:rsidP="00D103DA">
      <w:pPr>
        <w:spacing w:after="0" w:line="240" w:lineRule="auto"/>
        <w:rPr>
          <w:rFonts w:eastAsia="MS Mincho" w:cs="Times New Roman"/>
          <w:noProof/>
          <w:szCs w:val="32"/>
        </w:rPr>
      </w:pPr>
    </w:p>
    <w:p w:rsidR="0041767E" w:rsidRPr="004A5D53" w:rsidRDefault="0041767E">
      <w:pPr>
        <w:rPr>
          <w:rFonts w:eastAsia="MS Mincho" w:cs="Times New Roman"/>
          <w:b/>
          <w:caps/>
          <w:noProof/>
          <w:sz w:val="32"/>
          <w:szCs w:val="32"/>
        </w:rPr>
      </w:pPr>
      <w:r w:rsidRPr="004A5D53">
        <w:rPr>
          <w:rFonts w:eastAsia="MS Mincho" w:cs="Times New Roman"/>
          <w:b/>
          <w:caps/>
          <w:noProof/>
          <w:sz w:val="32"/>
          <w:szCs w:val="32"/>
        </w:rPr>
        <w:br w:type="page"/>
      </w:r>
    </w:p>
    <w:p w:rsidR="000C4CA6" w:rsidRPr="004F6025" w:rsidRDefault="000C4CA6" w:rsidP="000C4CA6">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pPr w:leftFromText="180" w:rightFromText="180" w:vertAnchor="text" w:tblpXSpec="right" w:tblpY="1"/>
        <w:tblOverlap w:val="never"/>
        <w:tblW w:w="9754" w:type="dxa"/>
        <w:tblLook w:val="04A0" w:firstRow="1" w:lastRow="0" w:firstColumn="1" w:lastColumn="0" w:noHBand="0" w:noVBand="1"/>
      </w:tblPr>
      <w:tblGrid>
        <w:gridCol w:w="1598"/>
        <w:gridCol w:w="9409"/>
      </w:tblGrid>
      <w:tr w:rsidR="001E0D83" w:rsidRPr="00C8237A" w:rsidTr="00361A2F">
        <w:tc>
          <w:tcPr>
            <w:tcW w:w="1595" w:type="dxa"/>
            <w:shd w:val="clear" w:color="auto" w:fill="BFBFBF" w:themeFill="background1" w:themeFillShade="BF"/>
          </w:tcPr>
          <w:p w:rsidR="001E0D83" w:rsidRPr="00D103DA" w:rsidRDefault="000C4CA6" w:rsidP="00361A2F">
            <w:pPr>
              <w:rPr>
                <w:rFonts w:eastAsia="MS Mincho" w:cs="Times New Roman"/>
                <w:b/>
                <w:noProof/>
                <w:szCs w:val="32"/>
                <w:lang w:val="fr-FR"/>
              </w:rPr>
            </w:pPr>
            <w:r>
              <w:rPr>
                <w:rFonts w:eastAsia="MS Mincho" w:cs="Times New Roman"/>
                <w:b/>
                <w:noProof/>
                <w:szCs w:val="32"/>
                <w:lang w:val="fr-FR"/>
              </w:rPr>
              <w:t>Recommended practice</w:t>
            </w:r>
          </w:p>
        </w:tc>
        <w:tc>
          <w:tcPr>
            <w:tcW w:w="8159" w:type="dxa"/>
          </w:tcPr>
          <w:p w:rsidR="008B07F4" w:rsidRPr="008B07F4" w:rsidRDefault="008B07F4" w:rsidP="008B07F4">
            <w:pPr>
              <w:spacing w:before="120"/>
              <w:jc w:val="both"/>
              <w:rPr>
                <w:rFonts w:eastAsia="MS Mincho" w:cs="Times New Roman"/>
                <w:noProof/>
                <w:szCs w:val="32"/>
              </w:rPr>
            </w:pPr>
            <w:r>
              <w:rPr>
                <w:rFonts w:eastAsia="MS Mincho" w:cs="Times New Roman"/>
                <w:noProof/>
                <w:szCs w:val="32"/>
              </w:rPr>
              <w:t>The below mentioned market practice specifies the procedure to be applied from the launch of T2S.</w:t>
            </w:r>
          </w:p>
          <w:p w:rsidR="008B07F4" w:rsidRPr="008B07F4" w:rsidRDefault="008B07F4" w:rsidP="008B07F4">
            <w:pPr>
              <w:spacing w:before="120"/>
              <w:jc w:val="both"/>
              <w:rPr>
                <w:rFonts w:eastAsia="MS Mincho" w:cs="Times New Roman"/>
                <w:b/>
                <w:noProof/>
                <w:szCs w:val="32"/>
                <w:u w:val="single"/>
              </w:rPr>
            </w:pPr>
            <w:r w:rsidRPr="008B07F4">
              <w:rPr>
                <w:rFonts w:eastAsia="MS Mincho" w:cs="Times New Roman"/>
                <w:b/>
                <w:noProof/>
                <w:szCs w:val="32"/>
                <w:u w:val="single"/>
              </w:rPr>
              <w:t>Scope</w:t>
            </w:r>
          </w:p>
          <w:p w:rsidR="0041767E" w:rsidRPr="008B07F4" w:rsidRDefault="004A5D53" w:rsidP="00361A2F">
            <w:pPr>
              <w:spacing w:before="120"/>
              <w:jc w:val="both"/>
              <w:rPr>
                <w:rFonts w:eastAsia="MS Mincho" w:cs="Times New Roman"/>
                <w:noProof/>
                <w:szCs w:val="32"/>
              </w:rPr>
            </w:pPr>
            <w:r w:rsidRPr="00ED03B1">
              <w:rPr>
                <w:rFonts w:eastAsia="MS Mincho" w:cs="Times New Roman"/>
                <w:noProof/>
                <w:szCs w:val="32"/>
              </w:rPr>
              <w:t xml:space="preserve">The object of this recommendation is to allow institutions to maintain the current high level of automation. </w:t>
            </w:r>
            <w:r w:rsidRPr="008B07F4">
              <w:rPr>
                <w:rFonts w:eastAsia="MS Mincho" w:cs="Times New Roman"/>
                <w:noProof/>
                <w:szCs w:val="32"/>
              </w:rPr>
              <w:t>Yet it does not force other market players to:</w:t>
            </w:r>
          </w:p>
          <w:p w:rsidR="0041767E" w:rsidRP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use a practice based on instructions without matching (based</w:t>
            </w:r>
            <w:r w:rsidR="0041767E" w:rsidRPr="004A5D53">
              <w:rPr>
                <w:rFonts w:eastAsia="MS Mincho" w:cs="Times New Roman"/>
                <w:bCs/>
                <w:noProof/>
                <w:szCs w:val="32"/>
              </w:rPr>
              <w:t xml:space="preserve"> </w:t>
            </w:r>
            <w:r w:rsidRPr="004A5D53">
              <w:rPr>
                <w:rFonts w:eastAsia="MS Mincho" w:cs="Times New Roman"/>
                <w:bCs/>
                <w:noProof/>
                <w:szCs w:val="32"/>
              </w:rPr>
              <w:t>on the service provided by Euroclear France</w:t>
            </w:r>
            <w:r w:rsidR="0041767E" w:rsidRPr="004A5D53">
              <w:rPr>
                <w:rFonts w:eastAsia="MS Mincho" w:cs="Times New Roman"/>
                <w:bCs/>
                <w:noProof/>
                <w:szCs w:val="32"/>
              </w:rPr>
              <w:t>)</w:t>
            </w:r>
          </w:p>
          <w:p w:rsidR="0041767E" w:rsidRP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process the same information in the same fields, in case of instructions without matching</w:t>
            </w:r>
            <w:r w:rsidR="0041767E" w:rsidRPr="004A5D53">
              <w:rPr>
                <w:rFonts w:eastAsia="MS Mincho" w:cs="Times New Roman"/>
                <w:bCs/>
                <w:noProof/>
                <w:szCs w:val="32"/>
              </w:rPr>
              <w:t>.</w:t>
            </w:r>
          </w:p>
          <w:p w:rsidR="0041767E" w:rsidRDefault="008B07F4" w:rsidP="008B07F4">
            <w:pPr>
              <w:spacing w:before="120"/>
              <w:jc w:val="both"/>
              <w:rPr>
                <w:rFonts w:eastAsia="MS Mincho" w:cs="Times New Roman"/>
                <w:noProof/>
                <w:szCs w:val="32"/>
              </w:rPr>
            </w:pPr>
            <w:r>
              <w:rPr>
                <w:rFonts w:eastAsia="MS Mincho" w:cs="Times New Roman"/>
                <w:noProof/>
                <w:szCs w:val="32"/>
              </w:rPr>
              <w:t xml:space="preserve">When both parties have agreed upon a transfer of fiscal data </w:t>
            </w:r>
            <w:r w:rsidR="007504C9">
              <w:rPr>
                <w:rFonts w:eastAsia="MS Mincho" w:cs="Times New Roman"/>
                <w:noProof/>
                <w:szCs w:val="32"/>
              </w:rPr>
              <w:t>from date to date, portfolio transfers will be executed using the se</w:t>
            </w:r>
            <w:r w:rsidR="00003B85">
              <w:rPr>
                <w:rFonts w:eastAsia="MS Mincho" w:cs="Times New Roman"/>
                <w:noProof/>
                <w:szCs w:val="32"/>
              </w:rPr>
              <w:t>r</w:t>
            </w:r>
            <w:r w:rsidR="007504C9">
              <w:rPr>
                <w:rFonts w:eastAsia="MS Mincho" w:cs="Times New Roman"/>
                <w:noProof/>
                <w:szCs w:val="32"/>
              </w:rPr>
              <w:t>vice ‘Free of Payment without matching ‘, comple</w:t>
            </w:r>
            <w:r w:rsidR="00003B85">
              <w:rPr>
                <w:rFonts w:eastAsia="MS Mincho" w:cs="Times New Roman"/>
                <w:noProof/>
                <w:szCs w:val="32"/>
              </w:rPr>
              <w:t>men</w:t>
            </w:r>
            <w:r w:rsidR="007504C9">
              <w:rPr>
                <w:rFonts w:eastAsia="MS Mincho" w:cs="Times New Roman"/>
                <w:noProof/>
                <w:szCs w:val="32"/>
              </w:rPr>
              <w:t>ted by a bilateral exchange of additional information.</w:t>
            </w:r>
          </w:p>
          <w:p w:rsidR="007504C9" w:rsidRDefault="007504C9" w:rsidP="007504C9">
            <w:pPr>
              <w:spacing w:before="120"/>
              <w:jc w:val="both"/>
              <w:rPr>
                <w:rFonts w:eastAsia="MS Mincho" w:cs="Times New Roman"/>
                <w:noProof/>
                <w:szCs w:val="32"/>
              </w:rPr>
            </w:pPr>
            <w:r>
              <w:rPr>
                <w:rFonts w:eastAsia="MS Mincho" w:cs="Times New Roman"/>
                <w:noProof/>
                <w:szCs w:val="32"/>
              </w:rPr>
              <w:t xml:space="preserve">This practice is described in CFONB communication #20150024 </w:t>
            </w:r>
            <w:r w:rsidR="00003B85">
              <w:rPr>
                <w:rFonts w:eastAsia="MS Mincho" w:cs="Times New Roman"/>
                <w:noProof/>
                <w:szCs w:val="32"/>
              </w:rPr>
              <w:t xml:space="preserve">of </w:t>
            </w:r>
            <w:r>
              <w:rPr>
                <w:rFonts w:eastAsia="MS Mincho" w:cs="Times New Roman"/>
                <w:noProof/>
                <w:szCs w:val="32"/>
              </w:rPr>
              <w:t>May 5</w:t>
            </w:r>
            <w:r w:rsidRPr="009F3BFB">
              <w:rPr>
                <w:rFonts w:eastAsia="MS Mincho" w:cs="Times New Roman"/>
                <w:noProof/>
                <w:szCs w:val="32"/>
                <w:vertAlign w:val="superscript"/>
              </w:rPr>
              <w:t>th</w:t>
            </w:r>
            <w:r>
              <w:rPr>
                <w:rFonts w:eastAsia="MS Mincho" w:cs="Times New Roman"/>
                <w:noProof/>
                <w:szCs w:val="32"/>
              </w:rPr>
              <w:t xml:space="preserve">, 2015, in force for portfolio transfers, complementing and referring to CFONB communication #2006378 </w:t>
            </w:r>
            <w:r w:rsidR="00003B85">
              <w:rPr>
                <w:rFonts w:eastAsia="MS Mincho" w:cs="Times New Roman"/>
                <w:noProof/>
                <w:szCs w:val="32"/>
              </w:rPr>
              <w:t xml:space="preserve">of </w:t>
            </w:r>
            <w:r>
              <w:rPr>
                <w:rFonts w:eastAsia="MS Mincho" w:cs="Times New Roman"/>
                <w:noProof/>
                <w:szCs w:val="32"/>
              </w:rPr>
              <w:t>November 14</w:t>
            </w:r>
            <w:r w:rsidRPr="009F3BFB">
              <w:rPr>
                <w:rFonts w:eastAsia="MS Mincho" w:cs="Times New Roman"/>
                <w:noProof/>
                <w:szCs w:val="32"/>
                <w:vertAlign w:val="superscript"/>
              </w:rPr>
              <w:t>th</w:t>
            </w:r>
            <w:r>
              <w:rPr>
                <w:rFonts w:eastAsia="MS Mincho" w:cs="Times New Roman"/>
                <w:noProof/>
                <w:szCs w:val="32"/>
              </w:rPr>
              <w:t>, 2006.</w:t>
            </w:r>
          </w:p>
          <w:p w:rsidR="008B07F4" w:rsidRPr="004A5D53" w:rsidRDefault="008B07F4" w:rsidP="00361A2F">
            <w:pPr>
              <w:jc w:val="both"/>
              <w:rPr>
                <w:rFonts w:eastAsia="MS Mincho" w:cs="Times New Roman"/>
                <w:b/>
                <w:bCs/>
                <w:noProof/>
                <w:szCs w:val="32"/>
                <w:u w:val="single"/>
              </w:rPr>
            </w:pPr>
          </w:p>
          <w:p w:rsidR="0041767E" w:rsidRPr="00FD2FD6" w:rsidRDefault="004A5D53" w:rsidP="00361A2F">
            <w:pPr>
              <w:jc w:val="both"/>
              <w:rPr>
                <w:rFonts w:eastAsia="MS Mincho" w:cs="Times New Roman"/>
                <w:b/>
                <w:bCs/>
                <w:noProof/>
                <w:szCs w:val="32"/>
                <w:u w:val="single"/>
                <w:lang w:val="fr-FR"/>
              </w:rPr>
            </w:pPr>
            <w:r>
              <w:rPr>
                <w:rFonts w:eastAsia="MS Mincho" w:cs="Times New Roman"/>
                <w:b/>
                <w:bCs/>
                <w:noProof/>
                <w:szCs w:val="32"/>
                <w:u w:val="single"/>
                <w:lang w:val="fr-FR"/>
              </w:rPr>
              <w:t>Recommended market practice</w:t>
            </w:r>
            <w:r w:rsidR="0041767E" w:rsidRPr="00FD2FD6">
              <w:rPr>
                <w:rFonts w:eastAsia="MS Mincho" w:cs="Times New Roman"/>
                <w:b/>
                <w:bCs/>
                <w:noProof/>
                <w:szCs w:val="32"/>
                <w:u w:val="single"/>
                <w:lang w:val="fr-FR"/>
              </w:rPr>
              <w:t>:</w:t>
            </w:r>
          </w:p>
          <w:p w:rsid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Use Euroclear’s ‘Free of Payment without matching’ service which will be available using ISO 15022, ISO 20022 as well as using E</w:t>
            </w:r>
            <w:r w:rsidR="00ED03B1">
              <w:rPr>
                <w:rFonts w:eastAsia="MS Mincho" w:cs="Times New Roman"/>
                <w:bCs/>
                <w:noProof/>
                <w:szCs w:val="32"/>
              </w:rPr>
              <w:t>u</w:t>
            </w:r>
            <w:r>
              <w:rPr>
                <w:rFonts w:eastAsia="MS Mincho" w:cs="Times New Roman"/>
                <w:bCs/>
                <w:noProof/>
                <w:szCs w:val="32"/>
              </w:rPr>
              <w:t>roclearConnect for Screens.</w:t>
            </w:r>
          </w:p>
          <w:p w:rsidR="0041767E" w:rsidRPr="004A5D53" w:rsidRDefault="007504C9"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Using the appropriate fields to mention account structures of the </w:t>
            </w:r>
            <w:r w:rsidR="001B6897">
              <w:rPr>
                <w:rFonts w:eastAsia="MS Mincho" w:cs="Times New Roman"/>
                <w:bCs/>
                <w:noProof/>
                <w:szCs w:val="32"/>
              </w:rPr>
              <w:t xml:space="preserve">delivering/receiving parties. By default, the </w:t>
            </w:r>
            <w:r w:rsidR="00B057D8">
              <w:rPr>
                <w:rFonts w:eastAsia="MS Mincho" w:cs="Times New Roman"/>
                <w:bCs/>
                <w:noProof/>
                <w:szCs w:val="32"/>
              </w:rPr>
              <w:t xml:space="preserve">L1 0 sub-account </w:t>
            </w:r>
            <w:r w:rsidR="001B6897">
              <w:rPr>
                <w:rFonts w:eastAsia="MS Mincho" w:cs="Times New Roman"/>
                <w:bCs/>
                <w:noProof/>
                <w:szCs w:val="32"/>
              </w:rPr>
              <w:t>must be used if no account is mentioned by the counterparty.</w:t>
            </w:r>
          </w:p>
          <w:p w:rsidR="0041767E" w:rsidRDefault="001B6897"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Fill the client name in the field ‘Recipient name’</w:t>
            </w:r>
          </w:p>
          <w:p w:rsidR="001B6897" w:rsidRDefault="001B6897"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Fill the French bank account number in the field ‘RIB’</w:t>
            </w:r>
          </w:p>
          <w:p w:rsidR="001B6897" w:rsidRPr="00B057D8" w:rsidRDefault="001B6897"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Fill the date of purchase in the field ‘external comment’</w:t>
            </w:r>
          </w:p>
          <w:p w:rsidR="0041767E" w:rsidRPr="00B057D8" w:rsidRDefault="0041767E" w:rsidP="00361A2F">
            <w:pPr>
              <w:jc w:val="both"/>
              <w:rPr>
                <w:rFonts w:eastAsia="MS Mincho" w:cs="Times New Roman"/>
                <w:noProof/>
                <w:szCs w:val="32"/>
              </w:rPr>
            </w:pPr>
          </w:p>
          <w:p w:rsidR="0041767E" w:rsidRPr="00FD2FD6" w:rsidRDefault="00B057D8" w:rsidP="00361A2F">
            <w:pPr>
              <w:jc w:val="both"/>
              <w:rPr>
                <w:rFonts w:eastAsia="MS Mincho" w:cs="Times New Roman"/>
                <w:b/>
                <w:noProof/>
                <w:szCs w:val="32"/>
                <w:u w:val="single"/>
              </w:rPr>
            </w:pPr>
            <w:r>
              <w:rPr>
                <w:rFonts w:eastAsia="MS Mincho" w:cs="Times New Roman"/>
                <w:b/>
                <w:noProof/>
                <w:szCs w:val="32"/>
                <w:u w:val="single"/>
              </w:rPr>
              <w:t>General principles</w:t>
            </w:r>
            <w:r w:rsidR="0041767E" w:rsidRPr="00FD2FD6">
              <w:rPr>
                <w:rFonts w:eastAsia="MS Mincho" w:cs="Times New Roman"/>
                <w:b/>
                <w:noProof/>
                <w:szCs w:val="32"/>
                <w:u w:val="single"/>
              </w:rPr>
              <w:t>:</w:t>
            </w:r>
          </w:p>
          <w:p w:rsidR="00B057D8"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‘Hold’ functionality should not be used,</w:t>
            </w:r>
          </w:p>
          <w:p w:rsidR="0041767E" w:rsidRPr="004A5D53"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‘partial settlement’ functionality should not be used,</w:t>
            </w:r>
          </w:p>
          <w:p w:rsidR="0041767E" w:rsidRPr="004A5D53"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Use of ‘</w:t>
            </w:r>
            <w:r w:rsidR="0041767E" w:rsidRPr="004A5D53">
              <w:rPr>
                <w:rFonts w:eastAsia="MS Mincho" w:cs="Times New Roman"/>
                <w:bCs/>
                <w:noProof/>
                <w:szCs w:val="32"/>
              </w:rPr>
              <w:t>Free Of Payement without Matching</w:t>
            </w:r>
            <w:r>
              <w:rPr>
                <w:rFonts w:eastAsia="MS Mincho" w:cs="Times New Roman"/>
                <w:bCs/>
                <w:noProof/>
                <w:szCs w:val="32"/>
              </w:rPr>
              <w:t xml:space="preserve">’ </w:t>
            </w:r>
            <w:r w:rsidRPr="004A5D53">
              <w:rPr>
                <w:rFonts w:eastAsia="MS Mincho" w:cs="Times New Roman"/>
                <w:bCs/>
                <w:noProof/>
                <w:szCs w:val="32"/>
              </w:rPr>
              <w:t>instruction</w:t>
            </w:r>
            <w:r>
              <w:rPr>
                <w:rFonts w:eastAsia="MS Mincho" w:cs="Times New Roman"/>
                <w:bCs/>
                <w:noProof/>
                <w:szCs w:val="32"/>
              </w:rPr>
              <w:t>s</w:t>
            </w:r>
          </w:p>
          <w:p w:rsidR="0041767E"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Using the ‘</w:t>
            </w:r>
            <w:r>
              <w:rPr>
                <w:rFonts w:eastAsia="MS Mincho" w:cs="Times New Roman"/>
                <w:noProof/>
                <w:szCs w:val="32"/>
              </w:rPr>
              <w:t>transaction type’</w:t>
            </w:r>
            <w:r w:rsidR="0041767E" w:rsidRPr="00B057D8">
              <w:rPr>
                <w:rFonts w:eastAsia="MS Mincho" w:cs="Times New Roman"/>
                <w:noProof/>
                <w:szCs w:val="32"/>
              </w:rPr>
              <w:t xml:space="preserve"> OWNE (</w:t>
            </w:r>
            <w:r>
              <w:rPr>
                <w:rFonts w:eastAsia="MS Mincho" w:cs="Times New Roman"/>
                <w:noProof/>
                <w:szCs w:val="32"/>
              </w:rPr>
              <w:t>i</w:t>
            </w:r>
            <w:r w:rsidR="0041767E" w:rsidRPr="00B057D8">
              <w:rPr>
                <w:rFonts w:eastAsia="MS Mincho" w:cs="Times New Roman"/>
                <w:noProof/>
                <w:szCs w:val="32"/>
              </w:rPr>
              <w:t xml:space="preserve">n ISO 20022 </w:t>
            </w:r>
            <w:r>
              <w:rPr>
                <w:rFonts w:eastAsia="MS Mincho" w:cs="Times New Roman"/>
                <w:noProof/>
                <w:szCs w:val="32"/>
              </w:rPr>
              <w:t>or on the GUI</w:t>
            </w:r>
            <w:r w:rsidR="0041767E" w:rsidRPr="00B057D8">
              <w:rPr>
                <w:rFonts w:eastAsia="MS Mincho" w:cs="Times New Roman"/>
                <w:noProof/>
                <w:szCs w:val="32"/>
              </w:rPr>
              <w:t>), o</w:t>
            </w:r>
            <w:r>
              <w:rPr>
                <w:rFonts w:eastAsia="MS Mincho" w:cs="Times New Roman"/>
                <w:noProof/>
                <w:szCs w:val="32"/>
              </w:rPr>
              <w:t>r</w:t>
            </w:r>
            <w:r w:rsidR="0041767E" w:rsidRPr="00B057D8">
              <w:rPr>
                <w:rFonts w:eastAsia="MS Mincho" w:cs="Times New Roman"/>
                <w:noProof/>
                <w:szCs w:val="32"/>
              </w:rPr>
              <w:t xml:space="preserve"> DLWM (</w:t>
            </w:r>
            <w:r>
              <w:rPr>
                <w:rFonts w:eastAsia="MS Mincho" w:cs="Times New Roman"/>
                <w:noProof/>
                <w:szCs w:val="32"/>
              </w:rPr>
              <w:t>i</w:t>
            </w:r>
            <w:r w:rsidR="0041767E" w:rsidRPr="00B057D8">
              <w:rPr>
                <w:rFonts w:eastAsia="MS Mincho" w:cs="Times New Roman"/>
                <w:noProof/>
                <w:szCs w:val="32"/>
              </w:rPr>
              <w:t xml:space="preserve">n ISO 15022), </w:t>
            </w:r>
            <w:r>
              <w:rPr>
                <w:rFonts w:eastAsia="MS Mincho" w:cs="Times New Roman"/>
                <w:noProof/>
                <w:szCs w:val="32"/>
              </w:rPr>
              <w:t xml:space="preserve">allowing for the unequivocal </w:t>
            </w:r>
            <w:r w:rsidR="0041767E" w:rsidRPr="00B057D8">
              <w:rPr>
                <w:rFonts w:eastAsia="MS Mincho" w:cs="Times New Roman"/>
                <w:noProof/>
                <w:szCs w:val="32"/>
              </w:rPr>
              <w:t xml:space="preserve">identification </w:t>
            </w:r>
            <w:r>
              <w:rPr>
                <w:rFonts w:eastAsia="MS Mincho" w:cs="Times New Roman"/>
                <w:noProof/>
                <w:szCs w:val="32"/>
              </w:rPr>
              <w:t>of ‘</w:t>
            </w:r>
            <w:r w:rsidR="0041767E" w:rsidRPr="00B057D8">
              <w:rPr>
                <w:rFonts w:eastAsia="MS Mincho" w:cs="Times New Roman"/>
                <w:noProof/>
                <w:szCs w:val="32"/>
              </w:rPr>
              <w:t xml:space="preserve">Free Of Payment Without </w:t>
            </w:r>
            <w:r>
              <w:rPr>
                <w:rFonts w:eastAsia="MS Mincho" w:cs="Times New Roman"/>
                <w:noProof/>
                <w:szCs w:val="32"/>
              </w:rPr>
              <w:t xml:space="preserve">Matching’ </w:t>
            </w:r>
            <w:r w:rsidRPr="00B057D8">
              <w:rPr>
                <w:rFonts w:eastAsia="MS Mincho" w:cs="Times New Roman"/>
                <w:noProof/>
                <w:szCs w:val="32"/>
              </w:rPr>
              <w:t>instructions</w:t>
            </w:r>
            <w:r>
              <w:rPr>
                <w:rFonts w:eastAsia="MS Mincho" w:cs="Times New Roman"/>
                <w:noProof/>
                <w:szCs w:val="32"/>
              </w:rPr>
              <w:t>,</w:t>
            </w:r>
          </w:p>
          <w:p w:rsidR="001B6897" w:rsidRPr="00B057D8" w:rsidRDefault="001B6897" w:rsidP="00361A2F">
            <w:pPr>
              <w:pStyle w:val="ListParagraph"/>
              <w:numPr>
                <w:ilvl w:val="1"/>
                <w:numId w:val="3"/>
              </w:numPr>
              <w:ind w:left="728"/>
              <w:jc w:val="both"/>
              <w:rPr>
                <w:rFonts w:eastAsia="MS Mincho" w:cs="Times New Roman"/>
                <w:noProof/>
                <w:szCs w:val="32"/>
              </w:rPr>
            </w:pPr>
            <w:r>
              <w:rPr>
                <w:rFonts w:eastAsia="MS Mincho" w:cs="Times New Roman"/>
                <w:noProof/>
                <w:szCs w:val="32"/>
              </w:rPr>
              <w:t>Via an ‘already matched’ instruction (matching status ‘MACH’)</w:t>
            </w:r>
          </w:p>
          <w:p w:rsidR="0041767E" w:rsidRPr="00B057D8"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 xml:space="preserve">Restricted to an </w:t>
            </w:r>
            <w:r w:rsidR="0041767E" w:rsidRPr="00B057D8">
              <w:rPr>
                <w:rFonts w:eastAsia="MS Mincho" w:cs="Times New Roman"/>
                <w:noProof/>
                <w:szCs w:val="32"/>
              </w:rPr>
              <w:t xml:space="preserve">Indirect Connectivy </w:t>
            </w:r>
            <w:r w:rsidRPr="00B057D8">
              <w:rPr>
                <w:rFonts w:eastAsia="MS Mincho" w:cs="Times New Roman"/>
                <w:noProof/>
                <w:szCs w:val="32"/>
              </w:rPr>
              <w:t xml:space="preserve">use </w:t>
            </w:r>
            <w:r w:rsidR="0041767E" w:rsidRPr="00B057D8">
              <w:rPr>
                <w:rFonts w:eastAsia="MS Mincho" w:cs="Times New Roman"/>
                <w:noProof/>
                <w:szCs w:val="32"/>
              </w:rPr>
              <w:t>via ESES (</w:t>
            </w:r>
            <w:r w:rsidRPr="00B057D8">
              <w:rPr>
                <w:rFonts w:eastAsia="MS Mincho" w:cs="Times New Roman"/>
                <w:noProof/>
                <w:szCs w:val="32"/>
              </w:rPr>
              <w:t>no possibility</w:t>
            </w:r>
            <w:r w:rsidR="0041767E" w:rsidRPr="00B057D8">
              <w:rPr>
                <w:rFonts w:eastAsia="MS Mincho" w:cs="Times New Roman"/>
                <w:noProof/>
                <w:szCs w:val="32"/>
              </w:rPr>
              <w:t xml:space="preserve"> </w:t>
            </w:r>
            <w:r w:rsidRPr="00B057D8">
              <w:rPr>
                <w:rFonts w:eastAsia="MS Mincho" w:cs="Times New Roman"/>
                <w:noProof/>
                <w:szCs w:val="32"/>
              </w:rPr>
              <w:t xml:space="preserve">to send </w:t>
            </w:r>
            <w:r>
              <w:rPr>
                <w:rFonts w:eastAsia="MS Mincho" w:cs="Times New Roman"/>
                <w:noProof/>
                <w:szCs w:val="32"/>
              </w:rPr>
              <w:t xml:space="preserve">these instruction types directly to </w:t>
            </w:r>
            <w:r w:rsidR="0041767E" w:rsidRPr="00B057D8">
              <w:rPr>
                <w:rFonts w:eastAsia="MS Mincho" w:cs="Times New Roman"/>
                <w:noProof/>
                <w:szCs w:val="32"/>
              </w:rPr>
              <w:t>T2S</w:t>
            </w:r>
            <w:r w:rsidR="001B6897">
              <w:rPr>
                <w:rFonts w:eastAsia="MS Mincho" w:cs="Times New Roman"/>
                <w:noProof/>
                <w:szCs w:val="32"/>
              </w:rPr>
              <w:t xml:space="preserve"> as they will be rejected</w:t>
            </w:r>
            <w:r w:rsidR="0041767E" w:rsidRPr="00B057D8">
              <w:rPr>
                <w:rFonts w:eastAsia="MS Mincho" w:cs="Times New Roman"/>
                <w:noProof/>
                <w:szCs w:val="32"/>
              </w:rPr>
              <w:t>),</w:t>
            </w:r>
          </w:p>
          <w:p w:rsidR="0041767E" w:rsidRPr="00B057D8"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 xml:space="preserve">These </w:t>
            </w:r>
            <w:r w:rsidR="0041767E" w:rsidRPr="00B057D8">
              <w:rPr>
                <w:rFonts w:eastAsia="MS Mincho" w:cs="Times New Roman"/>
                <w:noProof/>
                <w:szCs w:val="32"/>
              </w:rPr>
              <w:t xml:space="preserve">instructions </w:t>
            </w:r>
            <w:r w:rsidRPr="00B057D8">
              <w:rPr>
                <w:rFonts w:eastAsia="MS Mincho" w:cs="Times New Roman"/>
                <w:noProof/>
                <w:szCs w:val="32"/>
              </w:rPr>
              <w:t>not being eligible</w:t>
            </w:r>
            <w:r w:rsidR="0041767E" w:rsidRPr="00B057D8">
              <w:rPr>
                <w:rFonts w:eastAsia="MS Mincho" w:cs="Times New Roman"/>
                <w:noProof/>
                <w:szCs w:val="32"/>
              </w:rPr>
              <w:t xml:space="preserve"> </w:t>
            </w:r>
            <w:r w:rsidRPr="00B057D8">
              <w:rPr>
                <w:rFonts w:eastAsia="MS Mincho" w:cs="Times New Roman"/>
                <w:noProof/>
                <w:szCs w:val="32"/>
              </w:rPr>
              <w:t>to the automatic detection of market claims and transformations</w:t>
            </w:r>
            <w:r w:rsidR="007C249B">
              <w:rPr>
                <w:rFonts w:eastAsia="MS Mincho" w:cs="Times New Roman"/>
                <w:noProof/>
                <w:szCs w:val="32"/>
              </w:rPr>
              <w:t xml:space="preserve"> (awaiting correction of defect #27092), to avoid generating market claims, the trade date must be equal to the settlement date</w:t>
            </w:r>
            <w:r w:rsidRPr="00B057D8">
              <w:rPr>
                <w:rFonts w:eastAsia="MS Mincho" w:cs="Times New Roman"/>
                <w:noProof/>
                <w:szCs w:val="32"/>
              </w:rPr>
              <w:t>.</w:t>
            </w:r>
          </w:p>
          <w:p w:rsidR="0041767E" w:rsidRDefault="0041767E" w:rsidP="002F6107">
            <w:pPr>
              <w:jc w:val="both"/>
              <w:rPr>
                <w:rFonts w:eastAsia="MS Mincho" w:cs="Times New Roman"/>
                <w:noProof/>
                <w:szCs w:val="32"/>
              </w:rPr>
            </w:pPr>
          </w:p>
          <w:p w:rsidR="002F6107" w:rsidRPr="008B07F4" w:rsidRDefault="002F6107" w:rsidP="002F6107">
            <w:pPr>
              <w:spacing w:before="120"/>
              <w:jc w:val="both"/>
              <w:rPr>
                <w:rFonts w:eastAsia="MS Mincho" w:cs="Times New Roman"/>
                <w:b/>
                <w:noProof/>
                <w:szCs w:val="32"/>
                <w:u w:val="single"/>
              </w:rPr>
            </w:pPr>
            <w:r>
              <w:rPr>
                <w:rFonts w:eastAsia="MS Mincho" w:cs="Times New Roman"/>
                <w:b/>
                <w:noProof/>
                <w:szCs w:val="32"/>
                <w:u w:val="single"/>
              </w:rPr>
              <w:lastRenderedPageBreak/>
              <w:t>Data input</w:t>
            </w:r>
          </w:p>
          <w:p w:rsidR="002F6107" w:rsidRDefault="002F6107" w:rsidP="002F6107">
            <w:pPr>
              <w:spacing w:before="120"/>
              <w:jc w:val="both"/>
              <w:rPr>
                <w:rFonts w:eastAsia="MS Mincho" w:cs="Times New Roman"/>
                <w:noProof/>
                <w:szCs w:val="32"/>
              </w:rPr>
            </w:pPr>
            <w:r>
              <w:rPr>
                <w:rFonts w:eastAsia="MS Mincho" w:cs="Times New Roman"/>
                <w:noProof/>
                <w:szCs w:val="32"/>
              </w:rPr>
              <w:t>Euroclear France’s interface will allow to choose on ‘Euroclear Connect for Screens’ between the input of a French bank account structure (‘R</w:t>
            </w:r>
            <w:r w:rsidR="00003B85">
              <w:rPr>
                <w:rFonts w:eastAsia="MS Mincho" w:cs="Times New Roman"/>
                <w:noProof/>
                <w:szCs w:val="32"/>
              </w:rPr>
              <w:t>IB’) or an IBAN in the field ‘I</w:t>
            </w:r>
            <w:r>
              <w:rPr>
                <w:rFonts w:eastAsia="MS Mincho" w:cs="Times New Roman"/>
                <w:noProof/>
                <w:szCs w:val="32"/>
              </w:rPr>
              <w:t>B</w:t>
            </w:r>
            <w:r w:rsidR="00003B85">
              <w:rPr>
                <w:rFonts w:eastAsia="MS Mincho" w:cs="Times New Roman"/>
                <w:noProof/>
                <w:szCs w:val="32"/>
              </w:rPr>
              <w:t>A</w:t>
            </w:r>
            <w:r>
              <w:rPr>
                <w:rFonts w:eastAsia="MS Mincho" w:cs="Times New Roman"/>
                <w:noProof/>
                <w:szCs w:val="32"/>
              </w:rPr>
              <w:t>N’.</w:t>
            </w:r>
          </w:p>
          <w:p w:rsidR="002F6107" w:rsidRDefault="002F6107" w:rsidP="002F6107">
            <w:pPr>
              <w:spacing w:before="120"/>
              <w:jc w:val="both"/>
              <w:rPr>
                <w:rFonts w:eastAsia="MS Mincho" w:cs="Times New Roman"/>
                <w:noProof/>
                <w:szCs w:val="32"/>
              </w:rPr>
            </w:pPr>
            <w:r>
              <w:rPr>
                <w:rFonts w:eastAsia="MS Mincho" w:cs="Times New Roman"/>
                <w:noProof/>
                <w:szCs w:val="32"/>
              </w:rPr>
              <w:t>The recommendation on this field is to systematically prefer the use of the pre</w:t>
            </w:r>
            <w:r w:rsidR="00003B85">
              <w:rPr>
                <w:rFonts w:eastAsia="MS Mincho" w:cs="Times New Roman"/>
                <w:noProof/>
                <w:szCs w:val="32"/>
              </w:rPr>
              <w:t>fix ‘ROB’ and the input of the RIB</w:t>
            </w:r>
            <w:r>
              <w:rPr>
                <w:rFonts w:eastAsia="MS Mincho" w:cs="Times New Roman"/>
                <w:noProof/>
                <w:szCs w:val="32"/>
              </w:rPr>
              <w:t xml:space="preserve"> of the beneficiary, and avoid using the prefix IBB’ related to the input of an IBAN. If these are not used, the custodian of the beneficiary will have difficulties in interpreting the data, involving potential risks in the integration of the transfer.</w:t>
            </w:r>
          </w:p>
          <w:p w:rsidR="002F6107" w:rsidRDefault="002F6107" w:rsidP="002F6107">
            <w:pPr>
              <w:spacing w:before="120"/>
              <w:jc w:val="both"/>
              <w:rPr>
                <w:rFonts w:eastAsia="MS Mincho" w:cs="Times New Roman"/>
                <w:noProof/>
                <w:szCs w:val="32"/>
              </w:rPr>
            </w:pPr>
            <w:r>
              <w:rPr>
                <w:rFonts w:eastAsia="MS Mincho" w:cs="Times New Roman"/>
                <w:noProof/>
                <w:szCs w:val="32"/>
              </w:rPr>
              <w:t>The client shoud communicate to the original bank the French bank account number ‘RIB’ to the receiving bank. It should be mentioned as the transfer instruction is input (cash account or securities account depending on the recipient bank). This data can be obtained from the client, based on on information provided when the account was opened by the receiving bank.</w:t>
            </w:r>
          </w:p>
          <w:p w:rsidR="002F6107" w:rsidRPr="002F6107" w:rsidRDefault="002F6107" w:rsidP="002F6107">
            <w:pPr>
              <w:spacing w:before="120"/>
              <w:jc w:val="both"/>
              <w:rPr>
                <w:rFonts w:eastAsia="MS Mincho" w:cs="Times New Roman"/>
                <w:b/>
                <w:noProof/>
                <w:szCs w:val="32"/>
                <w:u w:val="single"/>
              </w:rPr>
            </w:pPr>
            <w:r w:rsidRPr="002F6107">
              <w:rPr>
                <w:rFonts w:eastAsia="MS Mincho" w:cs="Times New Roman"/>
                <w:b/>
                <w:noProof/>
                <w:szCs w:val="32"/>
                <w:u w:val="single"/>
              </w:rPr>
              <w:t>RIB in Free of Payment Without Matching</w:t>
            </w:r>
          </w:p>
          <w:p w:rsidR="002F6107" w:rsidRPr="00E95B62" w:rsidRDefault="00E95B62" w:rsidP="00E95B62">
            <w:pPr>
              <w:spacing w:before="120"/>
              <w:jc w:val="center"/>
              <w:rPr>
                <w:rFonts w:eastAsia="MS Mincho" w:cs="Times New Roman"/>
                <w:b/>
                <w:noProof/>
                <w:szCs w:val="32"/>
              </w:rPr>
            </w:pPr>
            <w:r w:rsidRPr="00E95B62">
              <w:rPr>
                <w:rFonts w:eastAsia="MS Mincho" w:cs="Times New Roman"/>
                <w:b/>
                <w:noProof/>
                <w:szCs w:val="32"/>
              </w:rPr>
              <w:t>Table of management rules</w:t>
            </w:r>
          </w:p>
          <w:tbl>
            <w:tblPr>
              <w:tblW w:w="7515" w:type="dxa"/>
              <w:tblCellMar>
                <w:left w:w="0" w:type="dxa"/>
                <w:right w:w="0" w:type="dxa"/>
              </w:tblCellMar>
              <w:tblLook w:val="04A0" w:firstRow="1" w:lastRow="0" w:firstColumn="1" w:lastColumn="0" w:noHBand="0" w:noVBand="1"/>
            </w:tblPr>
            <w:tblGrid>
              <w:gridCol w:w="1788"/>
              <w:gridCol w:w="920"/>
              <w:gridCol w:w="895"/>
              <w:gridCol w:w="2041"/>
              <w:gridCol w:w="1871"/>
            </w:tblGrid>
            <w:tr w:rsidR="00E95B62" w:rsidRPr="0050662A" w:rsidTr="00E95B62">
              <w:trPr>
                <w:trHeight w:val="123"/>
              </w:trPr>
              <w:tc>
                <w:tcPr>
                  <w:tcW w:w="1788"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rPr>
                  </w:pPr>
                  <w:r w:rsidRPr="0050662A">
                    <w:rPr>
                      <w:rFonts w:cstheme="minorHAnsi"/>
                      <w:color w:val="004080"/>
                      <w:sz w:val="20"/>
                      <w:szCs w:val="20"/>
                    </w:rPr>
                    <w:t>Pr</w:t>
                  </w:r>
                  <w:r>
                    <w:rPr>
                      <w:rFonts w:cstheme="minorHAnsi"/>
                      <w:color w:val="004080"/>
                      <w:sz w:val="20"/>
                      <w:szCs w:val="20"/>
                    </w:rPr>
                    <w:t>efix</w:t>
                  </w:r>
                </w:p>
              </w:tc>
              <w:tc>
                <w:tcPr>
                  <w:tcW w:w="920" w:type="dxa"/>
                  <w:tcBorders>
                    <w:top w:val="single" w:sz="8" w:space="0" w:color="000000"/>
                    <w:left w:val="nil"/>
                    <w:bottom w:val="single" w:sz="8" w:space="0" w:color="000000"/>
                    <w:right w:val="single" w:sz="8" w:space="0" w:color="000000"/>
                  </w:tcBorders>
                  <w:shd w:val="clear" w:color="auto" w:fill="C6D9F1" w:themeFill="text2" w:themeFillTint="33"/>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rPr>
                  </w:pPr>
                  <w:r w:rsidRPr="0050662A">
                    <w:rPr>
                      <w:rFonts w:cstheme="minorHAnsi"/>
                      <w:color w:val="004080"/>
                      <w:sz w:val="20"/>
                      <w:szCs w:val="20"/>
                    </w:rPr>
                    <w:t>RIB</w:t>
                  </w:r>
                </w:p>
              </w:tc>
              <w:tc>
                <w:tcPr>
                  <w:tcW w:w="895" w:type="dxa"/>
                  <w:tcBorders>
                    <w:top w:val="single" w:sz="8" w:space="0" w:color="000000"/>
                    <w:left w:val="nil"/>
                    <w:bottom w:val="single" w:sz="8" w:space="0" w:color="000000"/>
                    <w:right w:val="single" w:sz="8" w:space="0" w:color="000000"/>
                  </w:tcBorders>
                  <w:shd w:val="clear" w:color="auto" w:fill="C6D9F1" w:themeFill="text2" w:themeFillTint="33"/>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rPr>
                  </w:pPr>
                  <w:r w:rsidRPr="0050662A">
                    <w:rPr>
                      <w:rFonts w:cstheme="minorHAnsi"/>
                      <w:color w:val="004080"/>
                      <w:sz w:val="20"/>
                      <w:szCs w:val="20"/>
                    </w:rPr>
                    <w:t>IBAN</w:t>
                  </w:r>
                </w:p>
              </w:tc>
              <w:tc>
                <w:tcPr>
                  <w:tcW w:w="2041" w:type="dxa"/>
                  <w:tcBorders>
                    <w:top w:val="single" w:sz="8" w:space="0" w:color="000000"/>
                    <w:left w:val="nil"/>
                    <w:bottom w:val="single" w:sz="8" w:space="0" w:color="000000"/>
                    <w:right w:val="single" w:sz="8" w:space="0" w:color="000000"/>
                  </w:tcBorders>
                  <w:shd w:val="clear" w:color="auto" w:fill="C6D9F1" w:themeFill="text2" w:themeFillTint="33"/>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rPr>
                  </w:pPr>
                  <w:r>
                    <w:rPr>
                      <w:rFonts w:cstheme="minorHAnsi"/>
                      <w:color w:val="004080"/>
                      <w:sz w:val="20"/>
                      <w:szCs w:val="20"/>
                    </w:rPr>
                    <w:t>Consistency check</w:t>
                  </w:r>
                </w:p>
              </w:tc>
              <w:tc>
                <w:tcPr>
                  <w:tcW w:w="1871" w:type="dxa"/>
                  <w:tcBorders>
                    <w:top w:val="single" w:sz="8" w:space="0" w:color="000000"/>
                    <w:left w:val="nil"/>
                    <w:bottom w:val="single" w:sz="8" w:space="0" w:color="000000"/>
                    <w:right w:val="single" w:sz="8" w:space="0" w:color="000000"/>
                  </w:tcBorders>
                  <w:shd w:val="clear" w:color="auto" w:fill="C6D9F1" w:themeFill="text2" w:themeFillTint="33"/>
                </w:tcPr>
                <w:p w:rsidR="00E95B62" w:rsidRPr="0050662A" w:rsidRDefault="00E95B62" w:rsidP="00003B85">
                  <w:pPr>
                    <w:framePr w:hSpace="180" w:wrap="around" w:vAnchor="text" w:hAnchor="text" w:xAlign="right" w:y="1"/>
                    <w:spacing w:after="0" w:line="240" w:lineRule="auto"/>
                    <w:suppressOverlap/>
                    <w:jc w:val="center"/>
                    <w:rPr>
                      <w:rFonts w:cstheme="minorHAnsi"/>
                      <w:color w:val="004080"/>
                      <w:sz w:val="20"/>
                      <w:szCs w:val="20"/>
                    </w:rPr>
                  </w:pPr>
                  <w:r>
                    <w:rPr>
                      <w:rFonts w:cstheme="minorHAnsi"/>
                      <w:color w:val="004080"/>
                      <w:sz w:val="20"/>
                      <w:szCs w:val="20"/>
                    </w:rPr>
                    <w:t>Market practice</w:t>
                  </w:r>
                </w:p>
              </w:tc>
            </w:tr>
            <w:tr w:rsidR="00E95B62" w:rsidRPr="0050662A" w:rsidTr="00E95B62">
              <w:trPr>
                <w:trHeight w:val="123"/>
              </w:trPr>
              <w:tc>
                <w:tcPr>
                  <w:tcW w:w="1788" w:type="dxa"/>
                  <w:tcBorders>
                    <w:top w:val="single" w:sz="8" w:space="0" w:color="000000"/>
                    <w:left w:val="single" w:sz="8" w:space="0" w:color="000000"/>
                    <w:bottom w:val="single" w:sz="8" w:space="0" w:color="000000"/>
                    <w:right w:val="single" w:sz="8" w:space="0" w:color="000000"/>
                  </w:tcBorders>
                  <w:shd w:val="clear" w:color="auto" w:fill="66FF33"/>
                  <w:vAlign w:val="center"/>
                  <w:hideMark/>
                </w:tcPr>
                <w:p w:rsidR="00E95B62" w:rsidRPr="009C1D99" w:rsidRDefault="00E95B62" w:rsidP="00003B85">
                  <w:pPr>
                    <w:framePr w:hSpace="180" w:wrap="around" w:vAnchor="text" w:hAnchor="text" w:xAlign="right" w:y="1"/>
                    <w:spacing w:after="0" w:line="240" w:lineRule="auto"/>
                    <w:suppressOverlap/>
                    <w:jc w:val="center"/>
                    <w:rPr>
                      <w:rFonts w:cstheme="minorHAnsi"/>
                      <w:b/>
                    </w:rPr>
                  </w:pPr>
                  <w:r w:rsidRPr="009C1D99">
                    <w:rPr>
                      <w:rFonts w:cstheme="minorHAnsi"/>
                      <w:b/>
                      <w:color w:val="004080"/>
                      <w:sz w:val="20"/>
                      <w:szCs w:val="20"/>
                    </w:rPr>
                    <w:t>ROB</w:t>
                  </w:r>
                </w:p>
                <w:p w:rsidR="00E95B62" w:rsidRPr="009C1D99" w:rsidRDefault="00E95B62" w:rsidP="00003B85">
                  <w:pPr>
                    <w:framePr w:hSpace="180" w:wrap="around" w:vAnchor="text" w:hAnchor="text" w:xAlign="right" w:y="1"/>
                    <w:spacing w:after="0" w:line="240" w:lineRule="auto"/>
                    <w:suppressOverlap/>
                    <w:jc w:val="center"/>
                    <w:rPr>
                      <w:rFonts w:cstheme="minorHAnsi"/>
                      <w:b/>
                      <w:sz w:val="24"/>
                      <w:szCs w:val="24"/>
                    </w:rPr>
                  </w:pPr>
                  <w:r w:rsidRPr="009C1D99">
                    <w:rPr>
                      <w:rFonts w:cstheme="minorHAnsi"/>
                      <w:b/>
                    </w:rPr>
                    <w:t xml:space="preserve">(23 </w:t>
                  </w:r>
                  <w:proofErr w:type="spellStart"/>
                  <w:r>
                    <w:rPr>
                      <w:rFonts w:cstheme="minorHAnsi"/>
                      <w:b/>
                      <w:lang w:val="fr-FR"/>
                    </w:rPr>
                    <w:t>characters</w:t>
                  </w:r>
                  <w:proofErr w:type="spellEnd"/>
                  <w:r w:rsidRPr="009C1D99">
                    <w:rPr>
                      <w:rFonts w:cstheme="minorHAnsi"/>
                      <w:b/>
                    </w:rPr>
                    <w:t>)</w:t>
                  </w:r>
                </w:p>
              </w:tc>
              <w:tc>
                <w:tcPr>
                  <w:tcW w:w="920"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E95B62" w:rsidRPr="009C1D99" w:rsidRDefault="00E95B62" w:rsidP="00003B85">
                  <w:pPr>
                    <w:framePr w:hSpace="180" w:wrap="around" w:vAnchor="text" w:hAnchor="text" w:xAlign="right" w:y="1"/>
                    <w:spacing w:after="0" w:line="240" w:lineRule="auto"/>
                    <w:suppressOverlap/>
                    <w:jc w:val="center"/>
                    <w:rPr>
                      <w:rFonts w:cstheme="minorHAnsi"/>
                      <w:b/>
                      <w:sz w:val="24"/>
                      <w:szCs w:val="24"/>
                    </w:rPr>
                  </w:pPr>
                  <w:r>
                    <w:rPr>
                      <w:rFonts w:cstheme="minorHAnsi"/>
                      <w:b/>
                      <w:color w:val="004080"/>
                      <w:sz w:val="20"/>
                      <w:szCs w:val="20"/>
                      <w:lang w:val="fr-FR"/>
                    </w:rPr>
                    <w:t>Input</w:t>
                  </w:r>
                </w:p>
              </w:tc>
              <w:tc>
                <w:tcPr>
                  <w:tcW w:w="895"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E95B62" w:rsidRPr="009C1D99" w:rsidRDefault="00E95B62" w:rsidP="00003B85">
                  <w:pPr>
                    <w:framePr w:hSpace="180" w:wrap="around" w:vAnchor="text" w:hAnchor="text" w:xAlign="right" w:y="1"/>
                    <w:spacing w:after="0" w:line="240" w:lineRule="auto"/>
                    <w:suppressOverlap/>
                    <w:jc w:val="center"/>
                    <w:rPr>
                      <w:rFonts w:cstheme="minorHAnsi"/>
                      <w:b/>
                      <w:sz w:val="24"/>
                      <w:szCs w:val="24"/>
                    </w:rPr>
                  </w:pPr>
                </w:p>
              </w:tc>
              <w:tc>
                <w:tcPr>
                  <w:tcW w:w="2041"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E95B62" w:rsidRPr="00E95B62" w:rsidRDefault="00E95B62" w:rsidP="00003B85">
                  <w:pPr>
                    <w:framePr w:hSpace="180" w:wrap="around" w:vAnchor="text" w:hAnchor="text" w:xAlign="right" w:y="1"/>
                    <w:spacing w:after="0" w:line="240" w:lineRule="auto"/>
                    <w:suppressOverlap/>
                    <w:jc w:val="center"/>
                    <w:rPr>
                      <w:rFonts w:cstheme="minorHAnsi"/>
                      <w:b/>
                      <w:color w:val="004080"/>
                      <w:sz w:val="20"/>
                      <w:szCs w:val="20"/>
                    </w:rPr>
                  </w:pPr>
                  <w:r w:rsidRPr="00E95B62">
                    <w:rPr>
                      <w:rFonts w:cstheme="minorHAnsi"/>
                      <w:b/>
                      <w:color w:val="004080"/>
                      <w:sz w:val="20"/>
                      <w:szCs w:val="20"/>
                    </w:rPr>
                    <w:t>Prefix ROB + account number in ‘RIB’ format</w:t>
                  </w:r>
                </w:p>
              </w:tc>
              <w:tc>
                <w:tcPr>
                  <w:tcW w:w="1871" w:type="dxa"/>
                  <w:tcBorders>
                    <w:top w:val="single" w:sz="8" w:space="0" w:color="000000"/>
                    <w:left w:val="nil"/>
                    <w:bottom w:val="single" w:sz="8" w:space="0" w:color="000000"/>
                    <w:right w:val="single" w:sz="8" w:space="0" w:color="000000"/>
                  </w:tcBorders>
                  <w:shd w:val="clear" w:color="auto" w:fill="66FF33"/>
                  <w:vAlign w:val="center"/>
                </w:tcPr>
                <w:p w:rsidR="00E95B62" w:rsidRPr="009C1D99" w:rsidRDefault="00E95B62" w:rsidP="00003B85">
                  <w:pPr>
                    <w:framePr w:hSpace="180" w:wrap="around" w:vAnchor="text" w:hAnchor="text" w:xAlign="right" w:y="1"/>
                    <w:spacing w:after="0" w:line="240" w:lineRule="auto"/>
                    <w:suppressOverlap/>
                    <w:jc w:val="center"/>
                    <w:rPr>
                      <w:rFonts w:cstheme="minorHAnsi"/>
                      <w:b/>
                      <w:color w:val="000000" w:themeColor="text1"/>
                      <w:sz w:val="20"/>
                      <w:szCs w:val="20"/>
                      <w:lang w:val="fr-FR"/>
                    </w:rPr>
                  </w:pPr>
                  <w:proofErr w:type="spellStart"/>
                  <w:r>
                    <w:rPr>
                      <w:rFonts w:cstheme="minorHAnsi"/>
                      <w:b/>
                      <w:color w:val="000000" w:themeColor="text1"/>
                      <w:sz w:val="20"/>
                      <w:szCs w:val="20"/>
                      <w:lang w:val="fr-FR"/>
                    </w:rPr>
                    <w:t>Compliant</w:t>
                  </w:r>
                  <w:proofErr w:type="spellEnd"/>
                  <w:r>
                    <w:rPr>
                      <w:rFonts w:cstheme="minorHAnsi"/>
                      <w:b/>
                      <w:color w:val="000000" w:themeColor="text1"/>
                      <w:sz w:val="20"/>
                      <w:szCs w:val="20"/>
                      <w:lang w:val="fr-FR"/>
                    </w:rPr>
                    <w:t xml:space="preserve"> </w:t>
                  </w:r>
                  <w:proofErr w:type="spellStart"/>
                  <w:r>
                    <w:rPr>
                      <w:rFonts w:cstheme="minorHAnsi"/>
                      <w:b/>
                      <w:color w:val="000000" w:themeColor="text1"/>
                      <w:sz w:val="20"/>
                      <w:szCs w:val="20"/>
                      <w:lang w:val="fr-FR"/>
                    </w:rPr>
                    <w:t>with</w:t>
                  </w:r>
                  <w:proofErr w:type="spellEnd"/>
                  <w:r>
                    <w:rPr>
                      <w:rFonts w:cstheme="minorHAnsi"/>
                      <w:b/>
                      <w:color w:val="000000" w:themeColor="text1"/>
                      <w:sz w:val="20"/>
                      <w:szCs w:val="20"/>
                      <w:lang w:val="fr-FR"/>
                    </w:rPr>
                    <w:t xml:space="preserve"> the </w:t>
                  </w:r>
                  <w:proofErr w:type="spellStart"/>
                  <w:r w:rsidRPr="009C1D99">
                    <w:rPr>
                      <w:rFonts w:cstheme="minorHAnsi"/>
                      <w:b/>
                      <w:color w:val="000000" w:themeColor="text1"/>
                      <w:sz w:val="20"/>
                      <w:szCs w:val="20"/>
                      <w:lang w:val="fr-FR"/>
                    </w:rPr>
                    <w:t>recomm</w:t>
                  </w:r>
                  <w:r>
                    <w:rPr>
                      <w:rFonts w:cstheme="minorHAnsi"/>
                      <w:b/>
                      <w:color w:val="000000" w:themeColor="text1"/>
                      <w:sz w:val="20"/>
                      <w:szCs w:val="20"/>
                      <w:lang w:val="fr-FR"/>
                    </w:rPr>
                    <w:t>e</w:t>
                  </w:r>
                  <w:r w:rsidRPr="009C1D99">
                    <w:rPr>
                      <w:rFonts w:cstheme="minorHAnsi"/>
                      <w:b/>
                      <w:color w:val="000000" w:themeColor="text1"/>
                      <w:sz w:val="20"/>
                      <w:szCs w:val="20"/>
                      <w:lang w:val="fr-FR"/>
                    </w:rPr>
                    <w:t>ndation</w:t>
                  </w:r>
                  <w:proofErr w:type="spellEnd"/>
                </w:p>
              </w:tc>
            </w:tr>
            <w:tr w:rsidR="00E95B62" w:rsidRPr="00E95B62" w:rsidTr="00E95B62">
              <w:trPr>
                <w:trHeight w:val="123"/>
              </w:trPr>
              <w:tc>
                <w:tcPr>
                  <w:tcW w:w="1788" w:type="dxa"/>
                  <w:tcBorders>
                    <w:top w:val="single" w:sz="8" w:space="0" w:color="000000"/>
                    <w:left w:val="single" w:sz="8" w:space="0" w:color="000000"/>
                    <w:bottom w:val="single" w:sz="8" w:space="0" w:color="000000"/>
                    <w:right w:val="single" w:sz="8" w:space="0" w:color="000000"/>
                  </w:tcBorders>
                  <w:shd w:val="clear" w:color="auto" w:fill="FF0000"/>
                  <w:vAlign w:val="center"/>
                  <w:hideMark/>
                </w:tcPr>
                <w:p w:rsidR="00E95B62" w:rsidRPr="00AF7976" w:rsidRDefault="00E95B62" w:rsidP="00003B85">
                  <w:pPr>
                    <w:framePr w:hSpace="180" w:wrap="around" w:vAnchor="text" w:hAnchor="text" w:xAlign="right" w:y="1"/>
                    <w:spacing w:after="0" w:line="240" w:lineRule="auto"/>
                    <w:suppressOverlap/>
                    <w:jc w:val="center"/>
                    <w:rPr>
                      <w:rFonts w:cstheme="minorHAnsi"/>
                      <w:color w:val="FFFFFF" w:themeColor="background1"/>
                      <w:lang w:val="fr-FR"/>
                    </w:rPr>
                  </w:pPr>
                  <w:r w:rsidRPr="00AF7976">
                    <w:rPr>
                      <w:rFonts w:cstheme="minorHAnsi"/>
                      <w:color w:val="FFFFFF" w:themeColor="background1"/>
                      <w:sz w:val="20"/>
                      <w:szCs w:val="20"/>
                      <w:lang w:val="fr-FR"/>
                    </w:rPr>
                    <w:t>IBB</w:t>
                  </w:r>
                </w:p>
                <w:p w:rsidR="00E95B62" w:rsidRPr="00AF7976" w:rsidRDefault="00E95B62" w:rsidP="00003B85">
                  <w:pPr>
                    <w:framePr w:hSpace="180" w:wrap="around" w:vAnchor="text" w:hAnchor="text" w:xAlign="right" w:y="1"/>
                    <w:spacing w:after="0" w:line="240" w:lineRule="auto"/>
                    <w:suppressOverlap/>
                    <w:jc w:val="center"/>
                    <w:rPr>
                      <w:rFonts w:cstheme="minorHAnsi"/>
                      <w:color w:val="FFFFFF" w:themeColor="background1"/>
                      <w:sz w:val="24"/>
                      <w:szCs w:val="24"/>
                      <w:lang w:val="fr-FR"/>
                    </w:rPr>
                  </w:pPr>
                  <w:r w:rsidRPr="00AF7976">
                    <w:rPr>
                      <w:rFonts w:cstheme="minorHAnsi"/>
                      <w:color w:val="FFFFFF" w:themeColor="background1"/>
                      <w:lang w:val="fr-FR"/>
                    </w:rPr>
                    <w:t xml:space="preserve">(34 </w:t>
                  </w:r>
                  <w:proofErr w:type="spellStart"/>
                  <w:r>
                    <w:rPr>
                      <w:rFonts w:cstheme="minorHAnsi"/>
                      <w:color w:val="FFFFFF" w:themeColor="background1"/>
                      <w:lang w:val="fr-FR"/>
                    </w:rPr>
                    <w:t>characters</w:t>
                  </w:r>
                  <w:proofErr w:type="spellEnd"/>
                  <w:r w:rsidRPr="00AF7976">
                    <w:rPr>
                      <w:rFonts w:cstheme="minorHAnsi"/>
                      <w:color w:val="FFFFFF" w:themeColor="background1"/>
                      <w:lang w:val="fr-FR"/>
                    </w:rPr>
                    <w:t>)</w:t>
                  </w:r>
                </w:p>
              </w:tc>
              <w:tc>
                <w:tcPr>
                  <w:tcW w:w="920" w:type="dxa"/>
                  <w:tcBorders>
                    <w:top w:val="nil"/>
                    <w:left w:val="nil"/>
                    <w:bottom w:val="single" w:sz="8" w:space="0" w:color="000000"/>
                    <w:right w:val="single" w:sz="8" w:space="0" w:color="000000"/>
                  </w:tcBorders>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lang w:val="fr-FR"/>
                    </w:rPr>
                  </w:pPr>
                  <w:r>
                    <w:rPr>
                      <w:rFonts w:cstheme="minorHAnsi"/>
                      <w:color w:val="004080"/>
                      <w:sz w:val="20"/>
                      <w:szCs w:val="20"/>
                      <w:lang w:val="fr-FR"/>
                    </w:rPr>
                    <w:t>Input</w:t>
                  </w:r>
                </w:p>
              </w:tc>
              <w:tc>
                <w:tcPr>
                  <w:tcW w:w="895" w:type="dxa"/>
                  <w:tcBorders>
                    <w:top w:val="nil"/>
                    <w:left w:val="nil"/>
                    <w:bottom w:val="single" w:sz="8" w:space="0" w:color="000000"/>
                    <w:right w:val="single" w:sz="8" w:space="0" w:color="000000"/>
                  </w:tcBorders>
                  <w:shd w:val="clear" w:color="auto" w:fill="D9D9D9" w:themeFill="background1" w:themeFillShade="D9"/>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lang w:val="fr-FR"/>
                    </w:rPr>
                  </w:pPr>
                </w:p>
              </w:tc>
              <w:tc>
                <w:tcPr>
                  <w:tcW w:w="2041" w:type="dxa"/>
                  <w:tcBorders>
                    <w:top w:val="nil"/>
                    <w:left w:val="nil"/>
                    <w:bottom w:val="single" w:sz="8" w:space="0" w:color="000000"/>
                    <w:right w:val="single" w:sz="8" w:space="0" w:color="000000"/>
                  </w:tcBorders>
                  <w:vAlign w:val="center"/>
                  <w:hideMark/>
                </w:tcPr>
                <w:p w:rsidR="00E95B62" w:rsidRPr="00E95B62" w:rsidRDefault="00E95B62" w:rsidP="00003B85">
                  <w:pPr>
                    <w:framePr w:hSpace="180" w:wrap="around" w:vAnchor="text" w:hAnchor="text" w:xAlign="right" w:y="1"/>
                    <w:spacing w:after="0" w:line="240" w:lineRule="auto"/>
                    <w:suppressOverlap/>
                    <w:jc w:val="center"/>
                    <w:rPr>
                      <w:rFonts w:cstheme="minorHAnsi"/>
                      <w:sz w:val="24"/>
                      <w:szCs w:val="24"/>
                    </w:rPr>
                  </w:pPr>
                  <w:r w:rsidRPr="00E95B62">
                    <w:rPr>
                      <w:rFonts w:cstheme="minorHAnsi"/>
                      <w:color w:val="004080"/>
                      <w:sz w:val="20"/>
                      <w:szCs w:val="20"/>
                    </w:rPr>
                    <w:t>Prefix IBB + account number in ‘RIB’ format</w:t>
                  </w:r>
                </w:p>
              </w:tc>
              <w:tc>
                <w:tcPr>
                  <w:tcW w:w="1871" w:type="dxa"/>
                  <w:tcBorders>
                    <w:top w:val="single" w:sz="8" w:space="0" w:color="000000"/>
                    <w:left w:val="nil"/>
                    <w:bottom w:val="single" w:sz="8" w:space="0" w:color="000000"/>
                    <w:right w:val="single" w:sz="8" w:space="0" w:color="000000"/>
                  </w:tcBorders>
                  <w:shd w:val="clear" w:color="auto" w:fill="FF0000"/>
                  <w:vAlign w:val="center"/>
                </w:tcPr>
                <w:p w:rsidR="00E95B62" w:rsidRPr="00E95B62" w:rsidRDefault="00E95B62" w:rsidP="00003B85">
                  <w:pPr>
                    <w:framePr w:hSpace="180" w:wrap="around" w:vAnchor="text" w:hAnchor="text" w:xAlign="right" w:y="1"/>
                    <w:spacing w:after="0" w:line="240" w:lineRule="auto"/>
                    <w:suppressOverlap/>
                    <w:jc w:val="center"/>
                    <w:rPr>
                      <w:rFonts w:cstheme="minorHAnsi"/>
                      <w:b/>
                      <w:color w:val="FFFFFF" w:themeColor="background1"/>
                      <w:sz w:val="20"/>
                      <w:szCs w:val="20"/>
                    </w:rPr>
                  </w:pPr>
                  <w:r w:rsidRPr="00E95B62">
                    <w:rPr>
                      <w:rFonts w:cstheme="minorHAnsi"/>
                      <w:b/>
                      <w:color w:val="FFFFFF" w:themeColor="background1"/>
                      <w:sz w:val="20"/>
                      <w:szCs w:val="20"/>
                    </w:rPr>
                    <w:t>Not compliant with the recomm</w:t>
                  </w:r>
                  <w:r>
                    <w:rPr>
                      <w:rFonts w:cstheme="minorHAnsi"/>
                      <w:b/>
                      <w:color w:val="FFFFFF" w:themeColor="background1"/>
                      <w:sz w:val="20"/>
                      <w:szCs w:val="20"/>
                    </w:rPr>
                    <w:t>e</w:t>
                  </w:r>
                  <w:r w:rsidRPr="00E95B62">
                    <w:rPr>
                      <w:rFonts w:cstheme="minorHAnsi"/>
                      <w:b/>
                      <w:color w:val="FFFFFF" w:themeColor="background1"/>
                      <w:sz w:val="20"/>
                      <w:szCs w:val="20"/>
                    </w:rPr>
                    <w:t>ndation</w:t>
                  </w:r>
                </w:p>
              </w:tc>
            </w:tr>
            <w:tr w:rsidR="00E95B62" w:rsidRPr="00E95B62" w:rsidTr="00E95B62">
              <w:trPr>
                <w:trHeight w:val="123"/>
              </w:trPr>
              <w:tc>
                <w:tcPr>
                  <w:tcW w:w="1788" w:type="dxa"/>
                  <w:tcBorders>
                    <w:top w:val="single" w:sz="8" w:space="0" w:color="000000"/>
                    <w:left w:val="single" w:sz="8" w:space="0" w:color="000000"/>
                    <w:bottom w:val="single" w:sz="8" w:space="0" w:color="000000"/>
                    <w:right w:val="single" w:sz="8" w:space="0" w:color="000000"/>
                  </w:tcBorders>
                  <w:shd w:val="clear" w:color="auto" w:fill="FF0000"/>
                  <w:vAlign w:val="center"/>
                  <w:hideMark/>
                </w:tcPr>
                <w:p w:rsidR="00E95B62" w:rsidRPr="00AF7976" w:rsidRDefault="00E95B62" w:rsidP="00003B85">
                  <w:pPr>
                    <w:framePr w:hSpace="180" w:wrap="around" w:vAnchor="text" w:hAnchor="text" w:xAlign="right" w:y="1"/>
                    <w:spacing w:after="0" w:line="240" w:lineRule="auto"/>
                    <w:suppressOverlap/>
                    <w:jc w:val="center"/>
                    <w:rPr>
                      <w:rFonts w:cstheme="minorHAnsi"/>
                      <w:color w:val="FFFFFF" w:themeColor="background1"/>
                      <w:lang w:val="fr-FR"/>
                    </w:rPr>
                  </w:pPr>
                  <w:r w:rsidRPr="00AF7976">
                    <w:rPr>
                      <w:rFonts w:cstheme="minorHAnsi"/>
                      <w:color w:val="FFFFFF" w:themeColor="background1"/>
                      <w:sz w:val="20"/>
                      <w:szCs w:val="20"/>
                      <w:lang w:val="fr-FR"/>
                    </w:rPr>
                    <w:t>IBB</w:t>
                  </w:r>
                </w:p>
                <w:p w:rsidR="00E95B62" w:rsidRPr="00AF7976" w:rsidRDefault="00E95B62" w:rsidP="00003B85">
                  <w:pPr>
                    <w:framePr w:hSpace="180" w:wrap="around" w:vAnchor="text" w:hAnchor="text" w:xAlign="right" w:y="1"/>
                    <w:spacing w:after="0" w:line="240" w:lineRule="auto"/>
                    <w:suppressOverlap/>
                    <w:jc w:val="center"/>
                    <w:rPr>
                      <w:rFonts w:cstheme="minorHAnsi"/>
                      <w:color w:val="FFFFFF" w:themeColor="background1"/>
                      <w:sz w:val="24"/>
                      <w:szCs w:val="24"/>
                      <w:lang w:val="fr-FR"/>
                    </w:rPr>
                  </w:pPr>
                  <w:r w:rsidRPr="00AF7976">
                    <w:rPr>
                      <w:rFonts w:cstheme="minorHAnsi"/>
                      <w:color w:val="FFFFFF" w:themeColor="background1"/>
                      <w:lang w:val="fr-FR"/>
                    </w:rPr>
                    <w:t xml:space="preserve">(34 </w:t>
                  </w:r>
                  <w:proofErr w:type="spellStart"/>
                  <w:r>
                    <w:rPr>
                      <w:rFonts w:cstheme="minorHAnsi"/>
                      <w:color w:val="FFFFFF" w:themeColor="background1"/>
                      <w:lang w:val="fr-FR"/>
                    </w:rPr>
                    <w:t>characters</w:t>
                  </w:r>
                  <w:proofErr w:type="spellEnd"/>
                  <w:r w:rsidRPr="00AF7976">
                    <w:rPr>
                      <w:rFonts w:cstheme="minorHAnsi"/>
                      <w:color w:val="FFFFFF" w:themeColor="background1"/>
                      <w:lang w:val="fr-FR"/>
                    </w:rPr>
                    <w:t>)</w:t>
                  </w:r>
                </w:p>
              </w:tc>
              <w:tc>
                <w:tcPr>
                  <w:tcW w:w="920" w:type="dxa"/>
                  <w:tcBorders>
                    <w:top w:val="nil"/>
                    <w:left w:val="nil"/>
                    <w:bottom w:val="single" w:sz="8" w:space="0" w:color="000000"/>
                    <w:right w:val="single" w:sz="8" w:space="0" w:color="000000"/>
                  </w:tcBorders>
                  <w:shd w:val="clear" w:color="auto" w:fill="D9D9D9" w:themeFill="background1" w:themeFillShade="D9"/>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lang w:val="fr-FR"/>
                    </w:rPr>
                  </w:pPr>
                </w:p>
              </w:tc>
              <w:tc>
                <w:tcPr>
                  <w:tcW w:w="895" w:type="dxa"/>
                  <w:tcBorders>
                    <w:top w:val="nil"/>
                    <w:left w:val="nil"/>
                    <w:bottom w:val="single" w:sz="8" w:space="0" w:color="000000"/>
                    <w:right w:val="single" w:sz="8" w:space="0" w:color="000000"/>
                  </w:tcBorders>
                  <w:vAlign w:val="center"/>
                  <w:hideMark/>
                </w:tcPr>
                <w:p w:rsidR="00E95B62" w:rsidRPr="0050662A" w:rsidRDefault="00E95B62" w:rsidP="00003B85">
                  <w:pPr>
                    <w:framePr w:hSpace="180" w:wrap="around" w:vAnchor="text" w:hAnchor="text" w:xAlign="right" w:y="1"/>
                    <w:spacing w:after="0" w:line="240" w:lineRule="auto"/>
                    <w:suppressOverlap/>
                    <w:jc w:val="center"/>
                    <w:rPr>
                      <w:rFonts w:cstheme="minorHAnsi"/>
                      <w:sz w:val="24"/>
                      <w:szCs w:val="24"/>
                      <w:lang w:val="fr-FR"/>
                    </w:rPr>
                  </w:pPr>
                  <w:r>
                    <w:rPr>
                      <w:rFonts w:cstheme="minorHAnsi"/>
                      <w:color w:val="004080"/>
                      <w:sz w:val="20"/>
                      <w:szCs w:val="20"/>
                      <w:lang w:val="fr-FR"/>
                    </w:rPr>
                    <w:t>Input</w:t>
                  </w:r>
                </w:p>
              </w:tc>
              <w:tc>
                <w:tcPr>
                  <w:tcW w:w="2041" w:type="dxa"/>
                  <w:tcBorders>
                    <w:top w:val="nil"/>
                    <w:left w:val="nil"/>
                    <w:bottom w:val="single" w:sz="8" w:space="0" w:color="000000"/>
                    <w:right w:val="single" w:sz="8" w:space="0" w:color="000000"/>
                  </w:tcBorders>
                  <w:vAlign w:val="center"/>
                  <w:hideMark/>
                </w:tcPr>
                <w:p w:rsidR="00E95B62" w:rsidRPr="00E95B62" w:rsidRDefault="00E95B62" w:rsidP="00003B85">
                  <w:pPr>
                    <w:framePr w:hSpace="180" w:wrap="around" w:vAnchor="text" w:hAnchor="text" w:xAlign="right" w:y="1"/>
                    <w:spacing w:after="0" w:line="240" w:lineRule="auto"/>
                    <w:suppressOverlap/>
                    <w:jc w:val="center"/>
                    <w:rPr>
                      <w:rFonts w:cstheme="minorHAnsi"/>
                      <w:sz w:val="24"/>
                      <w:szCs w:val="24"/>
                    </w:rPr>
                  </w:pPr>
                  <w:r w:rsidRPr="00E95B62">
                    <w:rPr>
                      <w:rFonts w:cstheme="minorHAnsi"/>
                      <w:color w:val="004080"/>
                      <w:sz w:val="20"/>
                      <w:szCs w:val="20"/>
                    </w:rPr>
                    <w:t>Prefix IBB + account number in ‘IBAN’ format</w:t>
                  </w:r>
                </w:p>
              </w:tc>
              <w:tc>
                <w:tcPr>
                  <w:tcW w:w="1871" w:type="dxa"/>
                  <w:tcBorders>
                    <w:top w:val="single" w:sz="8" w:space="0" w:color="000000"/>
                    <w:left w:val="nil"/>
                    <w:bottom w:val="single" w:sz="8" w:space="0" w:color="000000"/>
                    <w:right w:val="single" w:sz="8" w:space="0" w:color="000000"/>
                  </w:tcBorders>
                  <w:shd w:val="clear" w:color="auto" w:fill="FF0000"/>
                  <w:vAlign w:val="center"/>
                </w:tcPr>
                <w:p w:rsidR="00E95B62" w:rsidRPr="00E95B62" w:rsidRDefault="00E95B62" w:rsidP="00003B85">
                  <w:pPr>
                    <w:framePr w:hSpace="180" w:wrap="around" w:vAnchor="text" w:hAnchor="text" w:xAlign="right" w:y="1"/>
                    <w:spacing w:after="0" w:line="240" w:lineRule="auto"/>
                    <w:suppressOverlap/>
                    <w:jc w:val="center"/>
                    <w:rPr>
                      <w:rFonts w:cstheme="minorHAnsi"/>
                      <w:b/>
                      <w:color w:val="FFFFFF" w:themeColor="background1"/>
                      <w:sz w:val="20"/>
                      <w:szCs w:val="20"/>
                    </w:rPr>
                  </w:pPr>
                  <w:r w:rsidRPr="00E95B62">
                    <w:rPr>
                      <w:rFonts w:cstheme="minorHAnsi"/>
                      <w:b/>
                      <w:color w:val="FFFFFF" w:themeColor="background1"/>
                      <w:sz w:val="20"/>
                      <w:szCs w:val="20"/>
                    </w:rPr>
                    <w:t>Not compliant with the recomm</w:t>
                  </w:r>
                  <w:r>
                    <w:rPr>
                      <w:rFonts w:cstheme="minorHAnsi"/>
                      <w:b/>
                      <w:color w:val="FFFFFF" w:themeColor="background1"/>
                      <w:sz w:val="20"/>
                      <w:szCs w:val="20"/>
                    </w:rPr>
                    <w:t>e</w:t>
                  </w:r>
                  <w:r w:rsidRPr="00E95B62">
                    <w:rPr>
                      <w:rFonts w:cstheme="minorHAnsi"/>
                      <w:b/>
                      <w:color w:val="FFFFFF" w:themeColor="background1"/>
                      <w:sz w:val="20"/>
                      <w:szCs w:val="20"/>
                    </w:rPr>
                    <w:t>ndation</w:t>
                  </w:r>
                </w:p>
              </w:tc>
            </w:tr>
          </w:tbl>
          <w:p w:rsidR="002F6107" w:rsidRDefault="002F6107" w:rsidP="00352256">
            <w:pPr>
              <w:jc w:val="both"/>
              <w:rPr>
                <w:rFonts w:eastAsia="MS Mincho" w:cs="Times New Roman"/>
                <w:noProof/>
                <w:szCs w:val="32"/>
              </w:rPr>
            </w:pPr>
          </w:p>
          <w:p w:rsidR="00352256" w:rsidRDefault="00352256" w:rsidP="002F6107">
            <w:pPr>
              <w:spacing w:before="120"/>
              <w:jc w:val="both"/>
              <w:rPr>
                <w:rFonts w:eastAsia="MS Mincho" w:cs="Times New Roman"/>
                <w:noProof/>
                <w:szCs w:val="32"/>
              </w:rPr>
            </w:pPr>
            <w:r>
              <w:rPr>
                <w:rFonts w:eastAsia="MS Mincho" w:cs="Times New Roman"/>
                <w:b/>
                <w:noProof/>
                <w:szCs w:val="32"/>
              </w:rPr>
              <w:t xml:space="preserve">To be noted </w:t>
            </w:r>
            <w:r w:rsidRPr="00003B85">
              <w:rPr>
                <w:rFonts w:eastAsia="MS Mincho" w:cs="Times New Roman"/>
                <w:noProof/>
                <w:szCs w:val="32"/>
              </w:rPr>
              <w:t xml:space="preserve">that </w:t>
            </w:r>
            <w:r w:rsidR="00003B85" w:rsidRPr="00003B85">
              <w:rPr>
                <w:rFonts w:eastAsia="MS Mincho" w:cs="Times New Roman"/>
                <w:noProof/>
                <w:szCs w:val="32"/>
              </w:rPr>
              <w:t>in</w:t>
            </w:r>
            <w:r w:rsidR="00003B85">
              <w:rPr>
                <w:rFonts w:eastAsia="MS Mincho" w:cs="Times New Roman"/>
                <w:b/>
                <w:noProof/>
                <w:szCs w:val="32"/>
              </w:rPr>
              <w:t xml:space="preserve"> </w:t>
            </w:r>
            <w:r>
              <w:rPr>
                <w:rFonts w:eastAsia="MS Mincho" w:cs="Times New Roman"/>
                <w:noProof/>
                <w:szCs w:val="32"/>
              </w:rPr>
              <w:t xml:space="preserve">cases of non compliance with the market practice, </w:t>
            </w:r>
            <w:r w:rsidR="00003B85">
              <w:rPr>
                <w:rFonts w:eastAsia="MS Mincho" w:cs="Times New Roman"/>
                <w:noProof/>
                <w:szCs w:val="32"/>
              </w:rPr>
              <w:t xml:space="preserve">namely </w:t>
            </w:r>
            <w:r>
              <w:rPr>
                <w:rFonts w:eastAsia="MS Mincho" w:cs="Times New Roman"/>
                <w:noProof/>
                <w:szCs w:val="32"/>
              </w:rPr>
              <w:t>IBB+RIB and IBB+IBAN</w:t>
            </w:r>
            <w:r w:rsidR="00003B85">
              <w:rPr>
                <w:rFonts w:eastAsia="MS Mincho" w:cs="Times New Roman"/>
                <w:noProof/>
                <w:szCs w:val="32"/>
              </w:rPr>
              <w:t>,</w:t>
            </w:r>
            <w:r>
              <w:rPr>
                <w:rFonts w:eastAsia="MS Mincho" w:cs="Times New Roman"/>
                <w:noProof/>
                <w:szCs w:val="32"/>
              </w:rPr>
              <w:t xml:space="preserve"> </w:t>
            </w:r>
            <w:r w:rsidR="00003B85">
              <w:rPr>
                <w:rFonts w:eastAsia="MS Mincho" w:cs="Times New Roman"/>
                <w:noProof/>
                <w:szCs w:val="32"/>
              </w:rPr>
              <w:t xml:space="preserve">information will </w:t>
            </w:r>
            <w:r>
              <w:rPr>
                <w:rFonts w:eastAsia="MS Mincho" w:cs="Times New Roman"/>
                <w:noProof/>
                <w:szCs w:val="32"/>
              </w:rPr>
              <w:t>be transferred and will have to be interpreted anyway, in the absence of consistency check by Euroclear today, in order to avoid reloads.</w:t>
            </w:r>
          </w:p>
          <w:p w:rsidR="00352256" w:rsidRDefault="00352256" w:rsidP="002F6107">
            <w:pPr>
              <w:spacing w:before="120"/>
              <w:jc w:val="both"/>
              <w:rPr>
                <w:rFonts w:eastAsia="MS Mincho" w:cs="Times New Roman"/>
                <w:noProof/>
                <w:szCs w:val="32"/>
              </w:rPr>
            </w:pPr>
            <w:r>
              <w:rPr>
                <w:rFonts w:eastAsia="MS Mincho" w:cs="Times New Roman"/>
                <w:noProof/>
                <w:szCs w:val="32"/>
              </w:rPr>
              <w:t xml:space="preserve">The </w:t>
            </w:r>
            <w:r w:rsidR="00003B85">
              <w:rPr>
                <w:rFonts w:eastAsia="MS Mincho" w:cs="Times New Roman"/>
                <w:noProof/>
                <w:szCs w:val="32"/>
              </w:rPr>
              <w:t xml:space="preserve">data </w:t>
            </w:r>
            <w:r>
              <w:rPr>
                <w:rFonts w:eastAsia="MS Mincho" w:cs="Times New Roman"/>
                <w:noProof/>
                <w:szCs w:val="32"/>
              </w:rPr>
              <w:t>‘RIB’ must be transferred in Free of Payment without matching instructions.</w:t>
            </w:r>
          </w:p>
          <w:p w:rsidR="00352256" w:rsidRDefault="00352256" w:rsidP="00352256">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In the fields ‘RIB’ via EuroclearConnect for Screens (via the combo box IBAN/RIB). </w:t>
            </w:r>
            <w:r>
              <w:rPr>
                <w:rFonts w:eastAsia="MS Mincho" w:cs="Times New Roman"/>
                <w:b/>
                <w:bCs/>
                <w:noProof/>
                <w:szCs w:val="32"/>
              </w:rPr>
              <w:t>This functionality should be delivered later. In transition, when instructions are input on EuroclearConnect for Screens (hereafter ‘EC4S’), the</w:t>
            </w:r>
            <w:r w:rsidR="00003B85">
              <w:rPr>
                <w:rFonts w:eastAsia="MS Mincho" w:cs="Times New Roman"/>
                <w:b/>
                <w:bCs/>
                <w:noProof/>
                <w:szCs w:val="32"/>
              </w:rPr>
              <w:t xml:space="preserve"> data</w:t>
            </w:r>
            <w:r>
              <w:rPr>
                <w:rFonts w:eastAsia="MS Mincho" w:cs="Times New Roman"/>
                <w:b/>
                <w:bCs/>
                <w:noProof/>
                <w:szCs w:val="32"/>
              </w:rPr>
              <w:t xml:space="preserve"> RIB will need t</w:t>
            </w:r>
            <w:r w:rsidR="00003B85">
              <w:rPr>
                <w:rFonts w:eastAsia="MS Mincho" w:cs="Times New Roman"/>
                <w:b/>
                <w:bCs/>
                <w:noProof/>
                <w:szCs w:val="32"/>
              </w:rPr>
              <w:t>o</w:t>
            </w:r>
            <w:r>
              <w:rPr>
                <w:rFonts w:eastAsia="MS Mincho" w:cs="Times New Roman"/>
                <w:b/>
                <w:bCs/>
                <w:noProof/>
                <w:szCs w:val="32"/>
              </w:rPr>
              <w:t xml:space="preserve"> be input in the field IBAN and will be transferred in the field IBB. In case of upload, the data RIB will be transferred in the field ROB but will not be visible on EC4S.</w:t>
            </w:r>
          </w:p>
          <w:p w:rsidR="00352256" w:rsidRPr="00352256" w:rsidRDefault="00352256" w:rsidP="00352256">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The instructing party must mention the characteristics ‘Commentaire ADD’, ‘Rib (ROB)’ and ‘Iban (IBB)’ in the tag </w:t>
            </w:r>
            <w:r w:rsidRPr="00352256">
              <w:rPr>
                <w:rFonts w:eastAsia="MS Mincho" w:cstheme="minorHAnsi"/>
                <w:noProof/>
                <w:szCs w:val="32"/>
              </w:rPr>
              <w:t xml:space="preserve">&lt;PtyCtctDtls&gt; </w:t>
            </w:r>
            <w:r>
              <w:rPr>
                <w:rFonts w:eastAsia="MS Mincho" w:cstheme="minorHAnsi"/>
                <w:noProof/>
                <w:szCs w:val="32"/>
              </w:rPr>
              <w:t xml:space="preserve">of the </w:t>
            </w:r>
            <w:r w:rsidRPr="00352256">
              <w:rPr>
                <w:rFonts w:eastAsia="MS Mincho" w:cstheme="minorHAnsi"/>
                <w:noProof/>
                <w:szCs w:val="32"/>
              </w:rPr>
              <w:t>bloc</w:t>
            </w:r>
            <w:r>
              <w:rPr>
                <w:rFonts w:eastAsia="MS Mincho" w:cstheme="minorHAnsi"/>
                <w:noProof/>
                <w:szCs w:val="32"/>
              </w:rPr>
              <w:t>k</w:t>
            </w:r>
            <w:r w:rsidRPr="00352256">
              <w:rPr>
                <w:rFonts w:eastAsia="MS Mincho" w:cstheme="minorHAnsi"/>
                <w:noProof/>
                <w:szCs w:val="32"/>
              </w:rPr>
              <w:t xml:space="preserve"> &lt;RcvgSttlmPties&gt;&lt;Pty1&gt;&lt;AddtlInf&gt; </w:t>
            </w:r>
            <w:r>
              <w:rPr>
                <w:rFonts w:eastAsia="MS Mincho" w:cstheme="minorHAnsi"/>
                <w:noProof/>
                <w:szCs w:val="32"/>
              </w:rPr>
              <w:t xml:space="preserve">in </w:t>
            </w:r>
            <w:r w:rsidRPr="00352256">
              <w:rPr>
                <w:rFonts w:eastAsia="MS Mincho" w:cstheme="minorHAnsi"/>
                <w:noProof/>
                <w:szCs w:val="32"/>
              </w:rPr>
              <w:t xml:space="preserve">iso 20022 </w:t>
            </w:r>
            <w:r>
              <w:rPr>
                <w:rFonts w:eastAsia="MS Mincho" w:cstheme="minorHAnsi"/>
                <w:noProof/>
                <w:szCs w:val="32"/>
              </w:rPr>
              <w:t xml:space="preserve">or in the </w:t>
            </w:r>
            <w:r w:rsidRPr="00352256">
              <w:rPr>
                <w:rFonts w:eastAsia="MS Mincho" w:cstheme="minorHAnsi"/>
                <w:noProof/>
                <w:szCs w:val="32"/>
              </w:rPr>
              <w:t>s</w:t>
            </w:r>
            <w:r>
              <w:rPr>
                <w:rFonts w:eastAsia="MS Mincho" w:cstheme="minorHAnsi"/>
                <w:noProof/>
                <w:szCs w:val="32"/>
              </w:rPr>
              <w:t>e</w:t>
            </w:r>
            <w:r w:rsidRPr="00352256">
              <w:rPr>
                <w:rFonts w:eastAsia="MS Mincho" w:cstheme="minorHAnsi"/>
                <w:noProof/>
                <w:szCs w:val="32"/>
              </w:rPr>
              <w:t xml:space="preserve">quence REAG </w:t>
            </w:r>
            <w:r>
              <w:rPr>
                <w:rFonts w:eastAsia="MS Mincho" w:cstheme="minorHAnsi"/>
                <w:noProof/>
                <w:szCs w:val="32"/>
              </w:rPr>
              <w:t xml:space="preserve">in </w:t>
            </w:r>
            <w:r w:rsidRPr="00352256">
              <w:rPr>
                <w:rFonts w:eastAsia="MS Mincho" w:cstheme="minorHAnsi"/>
                <w:noProof/>
                <w:szCs w:val="32"/>
              </w:rPr>
              <w:t>iso 15022</w:t>
            </w:r>
            <w:r>
              <w:rPr>
                <w:rFonts w:eastAsia="MS Mincho" w:cstheme="minorHAnsi"/>
                <w:noProof/>
                <w:szCs w:val="32"/>
              </w:rPr>
              <w:t>.</w:t>
            </w:r>
          </w:p>
          <w:p w:rsidR="00352256" w:rsidRPr="00664ACE" w:rsidRDefault="00352256" w:rsidP="00352256">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 xml:space="preserve">To be noted that this data is not presented in ISO 20022 </w:t>
            </w:r>
            <w:r w:rsidR="00364872">
              <w:rPr>
                <w:rFonts w:eastAsia="MS Mincho" w:cstheme="minorHAnsi"/>
                <w:noProof/>
                <w:szCs w:val="32"/>
              </w:rPr>
              <w:t>messages from T2S, but is presented by Euroclear in the reporting in ICP mode.</w:t>
            </w:r>
          </w:p>
          <w:tbl>
            <w:tblPr>
              <w:tblStyle w:val="TableGrid"/>
              <w:tblW w:w="0" w:type="auto"/>
              <w:jc w:val="center"/>
              <w:tblLook w:val="04A0" w:firstRow="1" w:lastRow="0" w:firstColumn="1" w:lastColumn="0" w:noHBand="0" w:noVBand="1"/>
            </w:tblPr>
            <w:tblGrid>
              <w:gridCol w:w="1075"/>
              <w:gridCol w:w="1800"/>
              <w:gridCol w:w="3121"/>
              <w:gridCol w:w="1488"/>
            </w:tblGrid>
            <w:tr w:rsidR="00364872" w:rsidRPr="00611B65" w:rsidTr="00364872">
              <w:trPr>
                <w:jc w:val="center"/>
              </w:trPr>
              <w:tc>
                <w:tcPr>
                  <w:tcW w:w="1075"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hAnsi="Arial Narrow" w:cstheme="minorHAnsi"/>
                      <w:noProof/>
                      <w:szCs w:val="32"/>
                    </w:rPr>
                    <w:t>►</w:t>
                  </w:r>
                  <w:r w:rsidRPr="00003B85">
                    <w:rPr>
                      <w:rFonts w:eastAsia="MS Mincho" w:cstheme="minorHAnsi"/>
                      <w:noProof/>
                      <w:szCs w:val="32"/>
                    </w:rPr>
                    <w:t xml:space="preserve"> </w:t>
                  </w:r>
                </w:p>
              </w:tc>
              <w:tc>
                <w:tcPr>
                  <w:tcW w:w="1800"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3121"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1488"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364872" w:rsidRPr="00611B65" w:rsidTr="00364872">
              <w:trPr>
                <w:jc w:val="center"/>
              </w:trPr>
              <w:tc>
                <w:tcPr>
                  <w:tcW w:w="1075" w:type="dxa"/>
                  <w:vMerge w:val="restart"/>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1800"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3121"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 avec ‘Payment = FREE’</w:t>
                  </w:r>
                </w:p>
              </w:tc>
              <w:tc>
                <w:tcPr>
                  <w:tcW w:w="1488" w:type="dxa"/>
                  <w:vMerge w:val="restart"/>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RIB</w:t>
                  </w:r>
                </w:p>
              </w:tc>
            </w:tr>
            <w:tr w:rsidR="00364872" w:rsidRPr="00611B65" w:rsidTr="00364872">
              <w:trPr>
                <w:jc w:val="center"/>
              </w:trPr>
              <w:tc>
                <w:tcPr>
                  <w:tcW w:w="1075" w:type="dxa"/>
                  <w:vMerge/>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c>
                <w:tcPr>
                  <w:tcW w:w="1800"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:70C::PACO (SETPRTY) + ROB</w:t>
                  </w:r>
                </w:p>
              </w:tc>
              <w:tc>
                <w:tcPr>
                  <w:tcW w:w="3121"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 xml:space="preserve">PartyContactDetails </w:t>
                  </w:r>
                </w:p>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&lt;PtyCtctDtls&gt; + ROB</w:t>
                  </w:r>
                </w:p>
              </w:tc>
              <w:tc>
                <w:tcPr>
                  <w:tcW w:w="1488" w:type="dxa"/>
                  <w:vMerge/>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r>
            <w:tr w:rsidR="00364872" w:rsidRPr="00611B65" w:rsidTr="00364872">
              <w:trPr>
                <w:jc w:val="center"/>
              </w:trPr>
              <w:tc>
                <w:tcPr>
                  <w:tcW w:w="1075" w:type="dxa"/>
                  <w:vMerge w:val="restart"/>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1800"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3121"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1488" w:type="dxa"/>
                  <w:vMerge w:val="restart"/>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RIB</w:t>
                  </w:r>
                </w:p>
              </w:tc>
            </w:tr>
            <w:tr w:rsidR="00364872" w:rsidRPr="00611B65" w:rsidTr="00364872">
              <w:trPr>
                <w:jc w:val="center"/>
              </w:trPr>
              <w:tc>
                <w:tcPr>
                  <w:tcW w:w="1075" w:type="dxa"/>
                  <w:vMerge/>
                  <w:shd w:val="clear" w:color="auto" w:fill="BFBFBF" w:themeFill="background1" w:themeFillShade="BF"/>
                </w:tcPr>
                <w:p w:rsidR="00364872" w:rsidRPr="00003B85" w:rsidRDefault="00364872" w:rsidP="00003B85">
                  <w:pPr>
                    <w:framePr w:hSpace="180" w:wrap="around" w:vAnchor="text" w:hAnchor="text" w:xAlign="right" w:y="1"/>
                    <w:suppressOverlap/>
                    <w:jc w:val="both"/>
                    <w:rPr>
                      <w:rFonts w:eastAsia="MS Mincho" w:cstheme="minorHAnsi"/>
                      <w:noProof/>
                      <w:sz w:val="16"/>
                      <w:szCs w:val="16"/>
                    </w:rPr>
                  </w:pPr>
                </w:p>
              </w:tc>
              <w:tc>
                <w:tcPr>
                  <w:tcW w:w="1800"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:70C::PACO + ROB</w:t>
                  </w:r>
                </w:p>
              </w:tc>
              <w:tc>
                <w:tcPr>
                  <w:tcW w:w="3121"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cstheme="minorHAnsi"/>
                    </w:rPr>
                    <w:t xml:space="preserve"> </w:t>
                  </w:r>
                  <w:r w:rsidRPr="00003B85">
                    <w:rPr>
                      <w:rFonts w:eastAsia="MS Mincho" w:cstheme="minorHAnsi"/>
                      <w:noProof/>
                      <w:sz w:val="16"/>
                      <w:szCs w:val="16"/>
                    </w:rPr>
                    <w:t xml:space="preserve">PartyContactDetails </w:t>
                  </w:r>
                </w:p>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&lt;PtyCtctDtls&gt;  + ROB</w:t>
                  </w:r>
                </w:p>
              </w:tc>
              <w:tc>
                <w:tcPr>
                  <w:tcW w:w="1488" w:type="dxa"/>
                  <w:vMerge/>
                </w:tcPr>
                <w:p w:rsidR="00364872" w:rsidRPr="00003B85" w:rsidRDefault="00364872" w:rsidP="00003B85">
                  <w:pPr>
                    <w:framePr w:hSpace="180" w:wrap="around" w:vAnchor="text" w:hAnchor="text" w:xAlign="right" w:y="1"/>
                    <w:suppressOverlap/>
                    <w:jc w:val="both"/>
                    <w:rPr>
                      <w:rFonts w:eastAsia="MS Mincho" w:cstheme="minorHAnsi"/>
                      <w:noProof/>
                      <w:sz w:val="16"/>
                      <w:szCs w:val="16"/>
                    </w:rPr>
                  </w:pPr>
                </w:p>
              </w:tc>
            </w:tr>
          </w:tbl>
          <w:p w:rsidR="00352256" w:rsidRDefault="00352256" w:rsidP="002F6107">
            <w:pPr>
              <w:spacing w:before="120"/>
              <w:jc w:val="both"/>
              <w:rPr>
                <w:rFonts w:eastAsia="MS Mincho" w:cs="Times New Roman"/>
                <w:noProof/>
                <w:szCs w:val="32"/>
              </w:rPr>
            </w:pPr>
          </w:p>
          <w:p w:rsidR="00364872" w:rsidRDefault="00364872" w:rsidP="002F6107">
            <w:pPr>
              <w:spacing w:before="120"/>
              <w:jc w:val="both"/>
              <w:rPr>
                <w:rFonts w:eastAsia="MS Mincho" w:cs="Times New Roman"/>
                <w:noProof/>
                <w:szCs w:val="32"/>
              </w:rPr>
            </w:pPr>
            <w:r>
              <w:rPr>
                <w:rFonts w:eastAsia="MS Mincho" w:cs="Times New Roman"/>
                <w:noProof/>
                <w:szCs w:val="32"/>
              </w:rPr>
              <w:t>Example:</w:t>
            </w:r>
          </w:p>
          <w:tbl>
            <w:tblPr>
              <w:tblStyle w:val="TableGrid"/>
              <w:tblW w:w="0" w:type="auto"/>
              <w:jc w:val="center"/>
              <w:tblLook w:val="04A0" w:firstRow="1" w:lastRow="0" w:firstColumn="1" w:lastColumn="0" w:noHBand="0" w:noVBand="1"/>
            </w:tblPr>
            <w:tblGrid>
              <w:gridCol w:w="1075"/>
              <w:gridCol w:w="2261"/>
              <w:gridCol w:w="3141"/>
              <w:gridCol w:w="1488"/>
            </w:tblGrid>
            <w:tr w:rsidR="00364872" w:rsidRPr="0050662A" w:rsidTr="00364872">
              <w:trPr>
                <w:jc w:val="center"/>
              </w:trPr>
              <w:tc>
                <w:tcPr>
                  <w:tcW w:w="1075"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c>
                <w:tcPr>
                  <w:tcW w:w="1800" w:type="dxa"/>
                  <w:shd w:val="clear" w:color="auto" w:fill="BFBFBF" w:themeFill="background1" w:themeFillShade="BF"/>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121" w:type="dxa"/>
                  <w:shd w:val="clear" w:color="auto" w:fill="BFBFBF" w:themeFill="background1" w:themeFillShade="BF"/>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488" w:type="dxa"/>
                  <w:shd w:val="clear" w:color="auto" w:fill="BFBFBF" w:themeFill="background1" w:themeFillShade="BF"/>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364872" w:rsidRPr="0050662A" w:rsidTr="00364872">
              <w:trPr>
                <w:jc w:val="center"/>
              </w:trPr>
              <w:tc>
                <w:tcPr>
                  <w:tcW w:w="1075" w:type="dxa"/>
                  <w:vMerge w:val="restart"/>
                  <w:shd w:val="clear" w:color="auto" w:fill="BFBFBF" w:themeFill="background1" w:themeFillShade="BF"/>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800" w:type="dxa"/>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121" w:type="dxa"/>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488" w:type="dxa"/>
                  <w:vMerge w:val="restart"/>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 RIB</w:t>
                  </w:r>
                  <w:r>
                    <w:rPr>
                      <w:rFonts w:eastAsia="MS Mincho" w:cstheme="minorHAnsi"/>
                      <w:noProof/>
                      <w:sz w:val="16"/>
                      <w:szCs w:val="16"/>
                      <w:lang w:val="fr-FR"/>
                    </w:rPr>
                    <w:t xml:space="preserve"> </w:t>
                  </w:r>
                </w:p>
              </w:tc>
            </w:tr>
            <w:tr w:rsidR="00364872" w:rsidRPr="0050662A" w:rsidTr="00364872">
              <w:trPr>
                <w:jc w:val="center"/>
              </w:trPr>
              <w:tc>
                <w:tcPr>
                  <w:tcW w:w="1075" w:type="dxa"/>
                  <w:vMerge/>
                  <w:shd w:val="clear" w:color="auto" w:fill="BFBFBF" w:themeFill="background1" w:themeFillShade="BF"/>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p>
              </w:tc>
              <w:tc>
                <w:tcPr>
                  <w:tcW w:w="1800" w:type="dxa"/>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:70C::PACO// ROB/300030250008050002204</w:t>
                  </w:r>
                </w:p>
              </w:tc>
              <w:tc>
                <w:tcPr>
                  <w:tcW w:w="3121" w:type="dxa"/>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&lt;PtyCtctDtls&gt; ROB/300030250008050002204&lt;PtyCtctDtls&gt;</w:t>
                  </w:r>
                </w:p>
              </w:tc>
              <w:tc>
                <w:tcPr>
                  <w:tcW w:w="1488" w:type="dxa"/>
                  <w:vMerge/>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p>
              </w:tc>
            </w:tr>
            <w:tr w:rsidR="00364872" w:rsidRPr="0050662A" w:rsidTr="00364872">
              <w:trPr>
                <w:jc w:val="center"/>
              </w:trPr>
              <w:tc>
                <w:tcPr>
                  <w:tcW w:w="1075" w:type="dxa"/>
                  <w:vMerge w:val="restart"/>
                  <w:shd w:val="clear" w:color="auto" w:fill="BFBFBF" w:themeFill="background1" w:themeFillShade="BF"/>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Pr>
                      <w:rFonts w:eastAsia="MS Mincho" w:cstheme="minorHAnsi"/>
                      <w:noProof/>
                      <w:sz w:val="16"/>
                      <w:szCs w:val="16"/>
                      <w:lang w:val="fr-FR"/>
                    </w:rPr>
                    <w:t>Settlement confirmation</w:t>
                  </w:r>
                </w:p>
              </w:tc>
              <w:tc>
                <w:tcPr>
                  <w:tcW w:w="1800" w:type="dxa"/>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121" w:type="dxa"/>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488" w:type="dxa"/>
                  <w:vMerge w:val="restart"/>
                  <w:vAlign w:val="center"/>
                </w:tcPr>
                <w:p w:rsidR="00364872" w:rsidRPr="0050662A" w:rsidRDefault="00364872"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 RIB</w:t>
                  </w:r>
                </w:p>
              </w:tc>
            </w:tr>
            <w:tr w:rsidR="00364872" w:rsidRPr="00364872" w:rsidTr="00364872">
              <w:trPr>
                <w:jc w:val="center"/>
              </w:trPr>
              <w:tc>
                <w:tcPr>
                  <w:tcW w:w="1075" w:type="dxa"/>
                  <w:vMerge/>
                  <w:shd w:val="clear" w:color="auto" w:fill="BFBFBF" w:themeFill="background1" w:themeFillShade="BF"/>
                </w:tcPr>
                <w:p w:rsidR="00364872" w:rsidRPr="0050662A" w:rsidRDefault="00364872" w:rsidP="00003B85">
                  <w:pPr>
                    <w:framePr w:hSpace="180" w:wrap="around" w:vAnchor="text" w:hAnchor="text" w:xAlign="right" w:y="1"/>
                    <w:suppressOverlap/>
                    <w:jc w:val="both"/>
                    <w:rPr>
                      <w:rFonts w:eastAsia="MS Mincho" w:cstheme="minorHAnsi"/>
                      <w:noProof/>
                      <w:sz w:val="16"/>
                      <w:szCs w:val="16"/>
                      <w:lang w:val="fr-FR"/>
                    </w:rPr>
                  </w:pPr>
                </w:p>
              </w:tc>
              <w:tc>
                <w:tcPr>
                  <w:tcW w:w="1800" w:type="dxa"/>
                  <w:vAlign w:val="center"/>
                </w:tcPr>
                <w:p w:rsidR="00364872" w:rsidRPr="00AA5312" w:rsidRDefault="00364872" w:rsidP="00003B85">
                  <w:pPr>
                    <w:framePr w:hSpace="180" w:wrap="around" w:vAnchor="text" w:hAnchor="text" w:xAlign="right" w:y="1"/>
                    <w:suppressOverlap/>
                    <w:jc w:val="center"/>
                    <w:rPr>
                      <w:rFonts w:eastAsia="MS Mincho" w:cstheme="minorHAnsi"/>
                      <w:noProof/>
                      <w:sz w:val="16"/>
                      <w:szCs w:val="16"/>
                      <w:lang w:val="pt-PT"/>
                    </w:rPr>
                  </w:pPr>
                  <w:r w:rsidRPr="00AA5312">
                    <w:rPr>
                      <w:rFonts w:eastAsia="MS Mincho" w:cstheme="minorHAnsi"/>
                      <w:noProof/>
                      <w:sz w:val="16"/>
                      <w:szCs w:val="16"/>
                      <w:lang w:val="pt-PT"/>
                    </w:rPr>
                    <w:t>:70C::PACO//IBB ou ROB/300030250008050002204</w:t>
                  </w:r>
                </w:p>
              </w:tc>
              <w:tc>
                <w:tcPr>
                  <w:tcW w:w="3121" w:type="dxa"/>
                  <w:vAlign w:val="center"/>
                </w:tcPr>
                <w:p w:rsidR="00364872" w:rsidRPr="00364872" w:rsidRDefault="00364872" w:rsidP="00003B85">
                  <w:pPr>
                    <w:framePr w:hSpace="180" w:wrap="around" w:vAnchor="text" w:hAnchor="text" w:xAlign="right" w:y="1"/>
                    <w:suppressOverlap/>
                    <w:jc w:val="center"/>
                    <w:rPr>
                      <w:rFonts w:eastAsia="MS Mincho" w:cstheme="minorHAnsi"/>
                      <w:noProof/>
                      <w:sz w:val="16"/>
                      <w:szCs w:val="16"/>
                    </w:rPr>
                  </w:pPr>
                  <w:r w:rsidRPr="00AA5312">
                    <w:rPr>
                      <w:rFonts w:cstheme="minorHAnsi"/>
                      <w:lang w:val="pt-PT"/>
                    </w:rPr>
                    <w:t xml:space="preserve"> </w:t>
                  </w:r>
                  <w:r w:rsidRPr="00364872">
                    <w:rPr>
                      <w:rFonts w:eastAsia="MS Mincho" w:cstheme="minorHAnsi"/>
                      <w:noProof/>
                      <w:sz w:val="16"/>
                      <w:szCs w:val="16"/>
                    </w:rPr>
                    <w:t>&lt;PtyCtctDtls&gt;ROB ou IBB/300030250008050002204&lt;PtyCtctDtls&gt;</w:t>
                  </w:r>
                </w:p>
              </w:tc>
              <w:tc>
                <w:tcPr>
                  <w:tcW w:w="1488" w:type="dxa"/>
                  <w:vMerge/>
                </w:tcPr>
                <w:p w:rsidR="00364872" w:rsidRPr="00364872" w:rsidRDefault="00364872" w:rsidP="00003B85">
                  <w:pPr>
                    <w:framePr w:hSpace="180" w:wrap="around" w:vAnchor="text" w:hAnchor="text" w:xAlign="right" w:y="1"/>
                    <w:suppressOverlap/>
                    <w:jc w:val="both"/>
                    <w:rPr>
                      <w:rFonts w:eastAsia="MS Mincho" w:cstheme="minorHAnsi"/>
                      <w:noProof/>
                      <w:sz w:val="16"/>
                      <w:szCs w:val="16"/>
                    </w:rPr>
                  </w:pPr>
                </w:p>
              </w:tc>
            </w:tr>
          </w:tbl>
          <w:p w:rsidR="00364872" w:rsidRDefault="00364872" w:rsidP="00364872">
            <w:pPr>
              <w:jc w:val="both"/>
              <w:rPr>
                <w:rFonts w:eastAsia="MS Mincho" w:cs="Times New Roman"/>
                <w:noProof/>
                <w:szCs w:val="32"/>
              </w:rPr>
            </w:pPr>
          </w:p>
          <w:p w:rsidR="00352256" w:rsidRPr="00364872" w:rsidRDefault="00364872" w:rsidP="002F6107">
            <w:pPr>
              <w:spacing w:before="120"/>
              <w:jc w:val="both"/>
              <w:rPr>
                <w:rFonts w:eastAsia="MS Mincho" w:cs="Times New Roman"/>
                <w:b/>
                <w:noProof/>
                <w:szCs w:val="32"/>
              </w:rPr>
            </w:pPr>
            <w:r w:rsidRPr="00364872">
              <w:rPr>
                <w:rFonts w:eastAsia="MS Mincho" w:cs="Times New Roman"/>
                <w:b/>
                <w:noProof/>
                <w:szCs w:val="32"/>
              </w:rPr>
              <w:t>Identification of the client in Free of Payment without matching instructions</w:t>
            </w:r>
          </w:p>
          <w:p w:rsidR="00364872" w:rsidRDefault="00364872" w:rsidP="002F6107">
            <w:pPr>
              <w:spacing w:before="120"/>
              <w:jc w:val="both"/>
              <w:rPr>
                <w:rFonts w:eastAsia="MS Mincho" w:cs="Times New Roman"/>
                <w:noProof/>
                <w:szCs w:val="32"/>
              </w:rPr>
            </w:pPr>
            <w:r>
              <w:rPr>
                <w:rFonts w:eastAsia="MS Mincho" w:cs="Times New Roman"/>
                <w:noProof/>
                <w:szCs w:val="32"/>
              </w:rPr>
              <w:t>The name of the client must be input in Free of Payment without matching instructions:</w:t>
            </w:r>
          </w:p>
          <w:p w:rsidR="00364872" w:rsidRPr="00364872"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In the field ‘Recipient name’ wia EC4S, or</w:t>
            </w:r>
          </w:p>
          <w:p w:rsidR="00364872" w:rsidRPr="00352256"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The instructing party must mention the characteristics ‘Commentaire ADD’, ‘Rib (ROB)’ and ‘Iban (IBB)’ in the tag </w:t>
            </w:r>
            <w:r w:rsidRPr="00352256">
              <w:rPr>
                <w:rFonts w:eastAsia="MS Mincho" w:cstheme="minorHAnsi"/>
                <w:noProof/>
                <w:szCs w:val="32"/>
              </w:rPr>
              <w:t xml:space="preserve">&lt;PtyCtctDtls&gt; </w:t>
            </w:r>
            <w:r>
              <w:rPr>
                <w:rFonts w:eastAsia="MS Mincho" w:cstheme="minorHAnsi"/>
                <w:noProof/>
                <w:szCs w:val="32"/>
              </w:rPr>
              <w:t xml:space="preserve">of the </w:t>
            </w:r>
            <w:r w:rsidRPr="00352256">
              <w:rPr>
                <w:rFonts w:eastAsia="MS Mincho" w:cstheme="minorHAnsi"/>
                <w:noProof/>
                <w:szCs w:val="32"/>
              </w:rPr>
              <w:t>bloc</w:t>
            </w:r>
            <w:r>
              <w:rPr>
                <w:rFonts w:eastAsia="MS Mincho" w:cstheme="minorHAnsi"/>
                <w:noProof/>
                <w:szCs w:val="32"/>
              </w:rPr>
              <w:t>k</w:t>
            </w:r>
            <w:r w:rsidRPr="00352256">
              <w:rPr>
                <w:rFonts w:eastAsia="MS Mincho" w:cstheme="minorHAnsi"/>
                <w:noProof/>
                <w:szCs w:val="32"/>
              </w:rPr>
              <w:t xml:space="preserve"> &lt;RcvgSttlmPties&gt;&lt;Pty1&gt;&lt;AddtlInf&gt; </w:t>
            </w:r>
            <w:r>
              <w:rPr>
                <w:rFonts w:eastAsia="MS Mincho" w:cstheme="minorHAnsi"/>
                <w:noProof/>
                <w:szCs w:val="32"/>
              </w:rPr>
              <w:t xml:space="preserve">in </w:t>
            </w:r>
            <w:r w:rsidRPr="00352256">
              <w:rPr>
                <w:rFonts w:eastAsia="MS Mincho" w:cstheme="minorHAnsi"/>
                <w:noProof/>
                <w:szCs w:val="32"/>
              </w:rPr>
              <w:t xml:space="preserve">iso 20022 </w:t>
            </w:r>
            <w:r>
              <w:rPr>
                <w:rFonts w:eastAsia="MS Mincho" w:cstheme="minorHAnsi"/>
                <w:noProof/>
                <w:szCs w:val="32"/>
              </w:rPr>
              <w:t xml:space="preserve">or in the </w:t>
            </w:r>
            <w:r w:rsidRPr="00352256">
              <w:rPr>
                <w:rFonts w:eastAsia="MS Mincho" w:cstheme="minorHAnsi"/>
                <w:noProof/>
                <w:szCs w:val="32"/>
              </w:rPr>
              <w:t>s</w:t>
            </w:r>
            <w:r>
              <w:rPr>
                <w:rFonts w:eastAsia="MS Mincho" w:cstheme="minorHAnsi"/>
                <w:noProof/>
                <w:szCs w:val="32"/>
              </w:rPr>
              <w:t>e</w:t>
            </w:r>
            <w:r w:rsidRPr="00352256">
              <w:rPr>
                <w:rFonts w:eastAsia="MS Mincho" w:cstheme="minorHAnsi"/>
                <w:noProof/>
                <w:szCs w:val="32"/>
              </w:rPr>
              <w:t xml:space="preserve">quence REAG </w:t>
            </w:r>
            <w:r>
              <w:rPr>
                <w:rFonts w:eastAsia="MS Mincho" w:cstheme="minorHAnsi"/>
                <w:noProof/>
                <w:szCs w:val="32"/>
              </w:rPr>
              <w:t xml:space="preserve">in </w:t>
            </w:r>
            <w:r w:rsidRPr="00352256">
              <w:rPr>
                <w:rFonts w:eastAsia="MS Mincho" w:cstheme="minorHAnsi"/>
                <w:noProof/>
                <w:szCs w:val="32"/>
              </w:rPr>
              <w:t>iso 15022</w:t>
            </w:r>
            <w:r>
              <w:rPr>
                <w:rFonts w:eastAsia="MS Mincho" w:cstheme="minorHAnsi"/>
                <w:noProof/>
                <w:szCs w:val="32"/>
              </w:rPr>
              <w:t>.</w:t>
            </w:r>
          </w:p>
          <w:p w:rsidR="00364872" w:rsidRPr="00664ACE"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To be noted that this data is not presented in ISO 20022 messages from T2S, but is presented by Euroclear in the reporting in ICP mode.</w:t>
            </w:r>
          </w:p>
          <w:p w:rsidR="00364872" w:rsidRPr="00003B85" w:rsidRDefault="00364872" w:rsidP="00364872">
            <w:pPr>
              <w:ind w:left="33"/>
              <w:jc w:val="both"/>
              <w:rPr>
                <w:rFonts w:eastAsia="MS Mincho" w:cstheme="minorHAnsi"/>
                <w:noProof/>
                <w:szCs w:val="32"/>
              </w:rPr>
            </w:pPr>
          </w:p>
          <w:tbl>
            <w:tblPr>
              <w:tblStyle w:val="TableGrid"/>
              <w:tblW w:w="0" w:type="auto"/>
              <w:jc w:val="center"/>
              <w:tblLook w:val="04A0" w:firstRow="1" w:lastRow="0" w:firstColumn="1" w:lastColumn="0" w:noHBand="0" w:noVBand="1"/>
            </w:tblPr>
            <w:tblGrid>
              <w:gridCol w:w="1075"/>
              <w:gridCol w:w="1058"/>
              <w:gridCol w:w="3808"/>
              <w:gridCol w:w="1543"/>
            </w:tblGrid>
            <w:tr w:rsidR="00364872" w:rsidRPr="00611B65" w:rsidTr="00364872">
              <w:trPr>
                <w:jc w:val="center"/>
              </w:trPr>
              <w:tc>
                <w:tcPr>
                  <w:tcW w:w="1075"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c>
                <w:tcPr>
                  <w:tcW w:w="1058"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3808"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1543"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364872" w:rsidRPr="00611B65" w:rsidTr="00364872">
              <w:trPr>
                <w:jc w:val="center"/>
              </w:trPr>
              <w:tc>
                <w:tcPr>
                  <w:tcW w:w="1075" w:type="dxa"/>
                  <w:vMerge w:val="restart"/>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 avec ‘Payment = FREE’</w:t>
                  </w:r>
                </w:p>
              </w:tc>
              <w:tc>
                <w:tcPr>
                  <w:tcW w:w="1543" w:type="dxa"/>
                  <w:vMerge w:val="restart"/>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Recipient name</w:t>
                  </w:r>
                </w:p>
              </w:tc>
            </w:tr>
            <w:tr w:rsidR="00364872" w:rsidRPr="00611B65" w:rsidTr="00364872">
              <w:trPr>
                <w:jc w:val="center"/>
              </w:trPr>
              <w:tc>
                <w:tcPr>
                  <w:tcW w:w="1075" w:type="dxa"/>
                  <w:vMerge/>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:70C::PACO</w:t>
                  </w:r>
                  <w:r w:rsidRPr="00003B85" w:rsidDel="007D1584">
                    <w:rPr>
                      <w:rFonts w:eastAsia="MS Mincho" w:cstheme="minorHAnsi"/>
                      <w:noProof/>
                      <w:sz w:val="16"/>
                      <w:szCs w:val="16"/>
                    </w:rPr>
                    <w:t xml:space="preserve"> </w:t>
                  </w:r>
                  <w:r w:rsidRPr="00003B85">
                    <w:rPr>
                      <w:rFonts w:eastAsia="MS Mincho" w:cstheme="minorHAnsi"/>
                      <w:noProof/>
                      <w:sz w:val="16"/>
                      <w:szCs w:val="16"/>
                    </w:rPr>
                    <w:t>(SETPRTY) + ADD</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 xml:space="preserve">PartyContactDetails </w:t>
                  </w:r>
                </w:p>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&lt;PtyCtctDtls&gt; + ADD</w:t>
                  </w:r>
                </w:p>
              </w:tc>
              <w:tc>
                <w:tcPr>
                  <w:tcW w:w="1543" w:type="dxa"/>
                  <w:vMerge/>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r>
            <w:tr w:rsidR="00364872" w:rsidRPr="00611B65" w:rsidTr="00364872">
              <w:trPr>
                <w:jc w:val="center"/>
              </w:trPr>
              <w:tc>
                <w:tcPr>
                  <w:tcW w:w="1075" w:type="dxa"/>
                  <w:vMerge w:val="restart"/>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1543" w:type="dxa"/>
                  <w:vMerge w:val="restart"/>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Recipient name</w:t>
                  </w:r>
                </w:p>
              </w:tc>
            </w:tr>
            <w:tr w:rsidR="00364872" w:rsidRPr="00611B65" w:rsidTr="00364872">
              <w:trPr>
                <w:jc w:val="center"/>
              </w:trPr>
              <w:tc>
                <w:tcPr>
                  <w:tcW w:w="1075" w:type="dxa"/>
                  <w:vMerge/>
                  <w:shd w:val="clear" w:color="auto" w:fill="BFBFBF" w:themeFill="background1" w:themeFillShade="BF"/>
                </w:tcPr>
                <w:p w:rsidR="00364872" w:rsidRPr="00003B85" w:rsidRDefault="00364872" w:rsidP="00003B85">
                  <w:pPr>
                    <w:framePr w:hSpace="180" w:wrap="around" w:vAnchor="text" w:hAnchor="text" w:xAlign="right" w:y="1"/>
                    <w:suppressOverlap/>
                    <w:jc w:val="both"/>
                    <w:rPr>
                      <w:rFonts w:eastAsia="MS Mincho" w:cstheme="minorHAnsi"/>
                      <w:noProof/>
                      <w:sz w:val="16"/>
                      <w:szCs w:val="16"/>
                    </w:rPr>
                  </w:pP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:70C::PACO + ADD</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 xml:space="preserve">PartyContactDetails </w:t>
                  </w:r>
                </w:p>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&lt;PtyCtctDtls&gt; + ADD</w:t>
                  </w:r>
                </w:p>
              </w:tc>
              <w:tc>
                <w:tcPr>
                  <w:tcW w:w="1543" w:type="dxa"/>
                  <w:vMerge/>
                </w:tcPr>
                <w:p w:rsidR="00364872" w:rsidRPr="00003B85" w:rsidRDefault="00364872" w:rsidP="00003B85">
                  <w:pPr>
                    <w:framePr w:hSpace="180" w:wrap="around" w:vAnchor="text" w:hAnchor="text" w:xAlign="right" w:y="1"/>
                    <w:suppressOverlap/>
                    <w:jc w:val="both"/>
                    <w:rPr>
                      <w:rFonts w:eastAsia="MS Mincho" w:cstheme="minorHAnsi"/>
                      <w:noProof/>
                      <w:sz w:val="16"/>
                      <w:szCs w:val="16"/>
                    </w:rPr>
                  </w:pPr>
                </w:p>
              </w:tc>
            </w:tr>
          </w:tbl>
          <w:p w:rsidR="00364872" w:rsidRPr="00003B85" w:rsidRDefault="00364872" w:rsidP="00364872">
            <w:pPr>
              <w:ind w:left="33"/>
              <w:jc w:val="both"/>
              <w:rPr>
                <w:rFonts w:eastAsia="MS Mincho" w:cstheme="minorHAnsi"/>
                <w:noProof/>
                <w:szCs w:val="32"/>
              </w:rPr>
            </w:pPr>
          </w:p>
          <w:p w:rsidR="00364872" w:rsidRPr="00003B85" w:rsidRDefault="00364872" w:rsidP="00364872">
            <w:pPr>
              <w:ind w:left="33"/>
              <w:jc w:val="both"/>
              <w:rPr>
                <w:rFonts w:eastAsia="MS Mincho" w:cstheme="minorHAnsi"/>
                <w:noProof/>
                <w:szCs w:val="32"/>
              </w:rPr>
            </w:pPr>
            <w:r w:rsidRPr="00003B85">
              <w:rPr>
                <w:rFonts w:eastAsia="MS Mincho" w:cstheme="minorHAnsi"/>
                <w:noProof/>
                <w:szCs w:val="32"/>
              </w:rPr>
              <w:t>Exemple :</w:t>
            </w:r>
          </w:p>
          <w:tbl>
            <w:tblPr>
              <w:tblStyle w:val="TableGrid"/>
              <w:tblW w:w="0" w:type="auto"/>
              <w:jc w:val="center"/>
              <w:tblLook w:val="04A0" w:firstRow="1" w:lastRow="0" w:firstColumn="1" w:lastColumn="0" w:noHBand="0" w:noVBand="1"/>
            </w:tblPr>
            <w:tblGrid>
              <w:gridCol w:w="1075"/>
              <w:gridCol w:w="2005"/>
              <w:gridCol w:w="3808"/>
              <w:gridCol w:w="1543"/>
            </w:tblGrid>
            <w:tr w:rsidR="00364872" w:rsidRPr="00611B65" w:rsidTr="00364872">
              <w:trPr>
                <w:jc w:val="center"/>
              </w:trPr>
              <w:tc>
                <w:tcPr>
                  <w:tcW w:w="1075"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c>
                <w:tcPr>
                  <w:tcW w:w="1058"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3808"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1543" w:type="dxa"/>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364872" w:rsidRPr="00611B65" w:rsidTr="00364872">
              <w:trPr>
                <w:jc w:val="center"/>
              </w:trPr>
              <w:tc>
                <w:tcPr>
                  <w:tcW w:w="1075" w:type="dxa"/>
                  <w:vMerge w:val="restart"/>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w:t>
                  </w:r>
                </w:p>
              </w:tc>
              <w:tc>
                <w:tcPr>
                  <w:tcW w:w="1543" w:type="dxa"/>
                  <w:vMerge w:val="restart"/>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Recipient name</w:t>
                  </w:r>
                </w:p>
              </w:tc>
            </w:tr>
            <w:tr w:rsidR="00364872" w:rsidRPr="00611B65" w:rsidTr="00364872">
              <w:trPr>
                <w:jc w:val="center"/>
              </w:trPr>
              <w:tc>
                <w:tcPr>
                  <w:tcW w:w="1075" w:type="dxa"/>
                  <w:vMerge/>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:70C::PACO//ADD/DUPONT</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&lt;PtyCtctDtls&gt;ADD/DUPONT&lt;PtyCtctDtls&gt;</w:t>
                  </w:r>
                </w:p>
              </w:tc>
              <w:tc>
                <w:tcPr>
                  <w:tcW w:w="1543" w:type="dxa"/>
                  <w:vMerge/>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p>
              </w:tc>
            </w:tr>
            <w:tr w:rsidR="00364872" w:rsidRPr="00611B65" w:rsidTr="00364872">
              <w:trPr>
                <w:jc w:val="center"/>
              </w:trPr>
              <w:tc>
                <w:tcPr>
                  <w:tcW w:w="1075" w:type="dxa"/>
                  <w:vMerge w:val="restart"/>
                  <w:shd w:val="clear" w:color="auto" w:fill="BFBFBF" w:themeFill="background1" w:themeFillShade="BF"/>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1543" w:type="dxa"/>
                  <w:vMerge w:val="restart"/>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Recipient name</w:t>
                  </w:r>
                </w:p>
              </w:tc>
            </w:tr>
            <w:tr w:rsidR="00364872" w:rsidRPr="00611B65" w:rsidTr="00364872">
              <w:trPr>
                <w:jc w:val="center"/>
              </w:trPr>
              <w:tc>
                <w:tcPr>
                  <w:tcW w:w="1075" w:type="dxa"/>
                  <w:vMerge/>
                  <w:shd w:val="clear" w:color="auto" w:fill="BFBFBF" w:themeFill="background1" w:themeFillShade="BF"/>
                </w:tcPr>
                <w:p w:rsidR="00364872" w:rsidRPr="00003B85" w:rsidRDefault="00364872" w:rsidP="00003B85">
                  <w:pPr>
                    <w:framePr w:hSpace="180" w:wrap="around" w:vAnchor="text" w:hAnchor="text" w:xAlign="right" w:y="1"/>
                    <w:suppressOverlap/>
                    <w:jc w:val="both"/>
                    <w:rPr>
                      <w:rFonts w:eastAsia="MS Mincho" w:cstheme="minorHAnsi"/>
                      <w:noProof/>
                      <w:sz w:val="16"/>
                      <w:szCs w:val="16"/>
                    </w:rPr>
                  </w:pPr>
                </w:p>
              </w:tc>
              <w:tc>
                <w:tcPr>
                  <w:tcW w:w="105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:70C::PACO//ADD/DUPONT</w:t>
                  </w:r>
                </w:p>
              </w:tc>
              <w:tc>
                <w:tcPr>
                  <w:tcW w:w="3808" w:type="dxa"/>
                  <w:vAlign w:val="center"/>
                </w:tcPr>
                <w:p w:rsidR="00364872" w:rsidRPr="00003B85" w:rsidRDefault="00364872"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&lt;PtyCtctDtls&gt;ADD/DUPONT&lt;PtyCtctDtls&gt;</w:t>
                  </w:r>
                </w:p>
              </w:tc>
              <w:tc>
                <w:tcPr>
                  <w:tcW w:w="1543" w:type="dxa"/>
                  <w:vMerge/>
                </w:tcPr>
                <w:p w:rsidR="00364872" w:rsidRPr="00003B85" w:rsidRDefault="00364872" w:rsidP="00003B85">
                  <w:pPr>
                    <w:framePr w:hSpace="180" w:wrap="around" w:vAnchor="text" w:hAnchor="text" w:xAlign="right" w:y="1"/>
                    <w:suppressOverlap/>
                    <w:jc w:val="both"/>
                    <w:rPr>
                      <w:rFonts w:eastAsia="MS Mincho" w:cstheme="minorHAnsi"/>
                      <w:noProof/>
                      <w:sz w:val="16"/>
                      <w:szCs w:val="16"/>
                    </w:rPr>
                  </w:pPr>
                </w:p>
              </w:tc>
            </w:tr>
          </w:tbl>
          <w:p w:rsidR="00364872" w:rsidRPr="00003B85" w:rsidRDefault="00364872" w:rsidP="00364872">
            <w:pPr>
              <w:ind w:left="33"/>
              <w:jc w:val="both"/>
              <w:rPr>
                <w:rFonts w:eastAsia="MS Mincho" w:cstheme="minorHAnsi"/>
                <w:noProof/>
                <w:szCs w:val="32"/>
              </w:rPr>
            </w:pPr>
          </w:p>
          <w:p w:rsidR="00364872" w:rsidRPr="00364872" w:rsidRDefault="00364872" w:rsidP="002F6107">
            <w:pPr>
              <w:spacing w:before="120"/>
              <w:jc w:val="both"/>
              <w:rPr>
                <w:rFonts w:eastAsia="MS Mincho" w:cs="Times New Roman"/>
                <w:b/>
                <w:noProof/>
                <w:szCs w:val="32"/>
              </w:rPr>
            </w:pPr>
            <w:r w:rsidRPr="00364872">
              <w:rPr>
                <w:rFonts w:eastAsia="MS Mincho" w:cs="Times New Roman"/>
                <w:b/>
                <w:noProof/>
                <w:szCs w:val="32"/>
              </w:rPr>
              <w:t>Date of purchase in Free of Payment without matching</w:t>
            </w:r>
          </w:p>
          <w:p w:rsidR="00364872" w:rsidRDefault="00364872" w:rsidP="002F6107">
            <w:pPr>
              <w:spacing w:before="120"/>
              <w:jc w:val="both"/>
              <w:rPr>
                <w:rFonts w:eastAsia="MS Mincho" w:cs="Times New Roman"/>
                <w:noProof/>
                <w:szCs w:val="32"/>
              </w:rPr>
            </w:pPr>
            <w:r>
              <w:rPr>
                <w:rFonts w:eastAsia="MS Mincho" w:cs="Times New Roman"/>
                <w:noProof/>
                <w:szCs w:val="32"/>
              </w:rPr>
              <w:t>The date of purchase must be mentioned :</w:t>
            </w:r>
          </w:p>
          <w:p w:rsidR="00364872" w:rsidRPr="00364872"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 xml:space="preserve">In the comment field ‘TPxxxx’ (‘TP’ as in </w:t>
            </w:r>
            <w:r>
              <w:rPr>
                <w:rFonts w:eastAsia="MS Mincho" w:cstheme="minorHAnsi"/>
                <w:i/>
                <w:noProof/>
                <w:szCs w:val="32"/>
              </w:rPr>
              <w:t>Transfert de Portefeuilles</w:t>
            </w:r>
            <w:r>
              <w:rPr>
                <w:rFonts w:eastAsia="MS Mincho" w:cstheme="minorHAnsi"/>
                <w:noProof/>
                <w:szCs w:val="32"/>
              </w:rPr>
              <w:t xml:space="preserve"> or portfolio transfers, and xxxx for the date) according to the rules described in CFONB communication #20150024 </w:t>
            </w:r>
            <w:r w:rsidR="00003B85">
              <w:rPr>
                <w:rFonts w:eastAsia="MS Mincho" w:cstheme="minorHAnsi"/>
                <w:noProof/>
                <w:szCs w:val="32"/>
              </w:rPr>
              <w:t xml:space="preserve">of </w:t>
            </w:r>
            <w:r>
              <w:rPr>
                <w:rFonts w:eastAsia="MS Mincho" w:cstheme="minorHAnsi"/>
                <w:noProof/>
                <w:szCs w:val="32"/>
              </w:rPr>
              <w:t>May 5</w:t>
            </w:r>
            <w:r w:rsidRPr="00364872">
              <w:rPr>
                <w:rFonts w:eastAsia="MS Mincho" w:cstheme="minorHAnsi"/>
                <w:noProof/>
                <w:szCs w:val="32"/>
                <w:vertAlign w:val="superscript"/>
              </w:rPr>
              <w:t>th</w:t>
            </w:r>
            <w:r>
              <w:rPr>
                <w:rFonts w:eastAsia="MS Mincho" w:cstheme="minorHAnsi"/>
                <w:noProof/>
                <w:szCs w:val="32"/>
              </w:rPr>
              <w:t>, 2015.</w:t>
            </w:r>
          </w:p>
          <w:p w:rsidR="00364872" w:rsidRPr="00364872"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Via the useof the field ‘External comment’</w:t>
            </w:r>
          </w:p>
          <w:p w:rsidR="00364872" w:rsidRPr="00364872"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This data is not presented in ISO 20022 messages from T2S</w:t>
            </w:r>
          </w:p>
          <w:p w:rsidR="00364872" w:rsidRPr="0062030C" w:rsidRDefault="00364872" w:rsidP="00364872">
            <w:pPr>
              <w:pStyle w:val="ListParagraph"/>
              <w:numPr>
                <w:ilvl w:val="0"/>
                <w:numId w:val="3"/>
              </w:numPr>
              <w:spacing w:before="120"/>
              <w:ind w:left="318" w:hanging="284"/>
              <w:contextualSpacing w:val="0"/>
              <w:jc w:val="both"/>
              <w:rPr>
                <w:rFonts w:eastAsia="MS Mincho" w:cs="Times New Roman"/>
                <w:bCs/>
                <w:noProof/>
                <w:szCs w:val="32"/>
              </w:rPr>
            </w:pPr>
            <w:r w:rsidRPr="00364872">
              <w:rPr>
                <w:rFonts w:eastAsia="MS Mincho" w:cstheme="minorHAnsi"/>
                <w:b/>
                <w:noProof/>
                <w:szCs w:val="32"/>
              </w:rPr>
              <w:t>In the specific case of se</w:t>
            </w:r>
            <w:r w:rsidR="00003B85">
              <w:rPr>
                <w:rFonts w:eastAsia="MS Mincho" w:cstheme="minorHAnsi"/>
                <w:b/>
                <w:noProof/>
                <w:szCs w:val="32"/>
              </w:rPr>
              <w:t>cu</w:t>
            </w:r>
            <w:r w:rsidRPr="00364872">
              <w:rPr>
                <w:rFonts w:eastAsia="MS Mincho" w:cstheme="minorHAnsi"/>
                <w:b/>
                <w:noProof/>
                <w:szCs w:val="32"/>
              </w:rPr>
              <w:t>rities transfers for a non-resident clients</w:t>
            </w:r>
            <w:r>
              <w:rPr>
                <w:rFonts w:eastAsia="MS Mincho" w:cstheme="minorHAnsi"/>
                <w:noProof/>
                <w:szCs w:val="32"/>
              </w:rPr>
              <w:t xml:space="preserve">, and considering declarative </w:t>
            </w:r>
            <w:r>
              <w:rPr>
                <w:rFonts w:eastAsia="MS Mincho" w:cstheme="minorHAnsi"/>
                <w:noProof/>
                <w:szCs w:val="32"/>
              </w:rPr>
              <w:lastRenderedPageBreak/>
              <w:t xml:space="preserve">obligations relative to capital gains of French origine on stock option exercises (SO), allotment of free shares (AGA), subscription warrants for founders shares (BSPCE), </w:t>
            </w:r>
            <w:r w:rsidR="0062030C">
              <w:rPr>
                <w:rFonts w:eastAsia="MS Mincho" w:cstheme="minorHAnsi"/>
                <w:noProof/>
                <w:szCs w:val="32"/>
              </w:rPr>
              <w:t>the acronym ‘SO’ mu</w:t>
            </w:r>
            <w:r w:rsidR="00003B85">
              <w:rPr>
                <w:rFonts w:eastAsia="MS Mincho" w:cstheme="minorHAnsi"/>
                <w:noProof/>
                <w:szCs w:val="32"/>
              </w:rPr>
              <w:t>s</w:t>
            </w:r>
            <w:r w:rsidR="0062030C">
              <w:rPr>
                <w:rFonts w:eastAsia="MS Mincho" w:cstheme="minorHAnsi"/>
                <w:noProof/>
                <w:szCs w:val="32"/>
              </w:rPr>
              <w:t>t be input in the external comment, after mentioning the date of purchase (ex: TPxxxxSO).</w:t>
            </w:r>
          </w:p>
          <w:p w:rsidR="0062030C" w:rsidRPr="0062030C" w:rsidRDefault="0062030C" w:rsidP="00364872">
            <w:pPr>
              <w:pStyle w:val="ListParagraph"/>
              <w:numPr>
                <w:ilvl w:val="0"/>
                <w:numId w:val="3"/>
              </w:numPr>
              <w:spacing w:before="120"/>
              <w:ind w:left="318" w:hanging="284"/>
              <w:contextualSpacing w:val="0"/>
              <w:jc w:val="both"/>
              <w:rPr>
                <w:rFonts w:eastAsia="MS Mincho" w:cs="Times New Roman"/>
                <w:bCs/>
                <w:noProof/>
                <w:szCs w:val="32"/>
              </w:rPr>
            </w:pPr>
            <w:r w:rsidRPr="0062030C">
              <w:rPr>
                <w:rFonts w:eastAsia="MS Mincho" w:cstheme="minorHAnsi"/>
                <w:noProof/>
                <w:szCs w:val="32"/>
              </w:rPr>
              <w:t>Notes:</w:t>
            </w:r>
          </w:p>
          <w:p w:rsidR="0062030C" w:rsidRDefault="00003B85" w:rsidP="0062030C">
            <w:pPr>
              <w:pStyle w:val="ListParagraph"/>
              <w:numPr>
                <w:ilvl w:val="1"/>
                <w:numId w:val="3"/>
              </w:numPr>
              <w:spacing w:before="120"/>
              <w:ind w:left="670"/>
              <w:contextualSpacing w:val="0"/>
              <w:jc w:val="both"/>
              <w:rPr>
                <w:rFonts w:eastAsia="MS Mincho" w:cs="Times New Roman"/>
                <w:bCs/>
                <w:noProof/>
                <w:szCs w:val="32"/>
              </w:rPr>
            </w:pPr>
            <w:r>
              <w:rPr>
                <w:rFonts w:eastAsia="MS Mincho" w:cs="Times New Roman"/>
                <w:bCs/>
                <w:noProof/>
                <w:szCs w:val="32"/>
              </w:rPr>
              <w:t>The field ‘e</w:t>
            </w:r>
            <w:r w:rsidR="0062030C">
              <w:rPr>
                <w:rFonts w:eastAsia="MS Mincho" w:cs="Times New Roman"/>
                <w:bCs/>
                <w:noProof/>
                <w:szCs w:val="32"/>
              </w:rPr>
              <w:t>xternal comment</w:t>
            </w:r>
            <w:r>
              <w:rPr>
                <w:rFonts w:eastAsia="MS Mincho" w:cs="Times New Roman"/>
                <w:bCs/>
                <w:noProof/>
                <w:szCs w:val="32"/>
              </w:rPr>
              <w:t>’</w:t>
            </w:r>
            <w:r w:rsidR="0062030C">
              <w:rPr>
                <w:rFonts w:eastAsia="MS Mincho" w:cs="Times New Roman"/>
                <w:bCs/>
                <w:noProof/>
                <w:szCs w:val="32"/>
              </w:rPr>
              <w:t xml:space="preserve"> is limited to 50 characters on EC4S .This limit must be respected in order to be able to read it on screen.</w:t>
            </w:r>
          </w:p>
          <w:p w:rsidR="0062030C" w:rsidRPr="0062030C" w:rsidRDefault="0062030C" w:rsidP="0062030C">
            <w:pPr>
              <w:pStyle w:val="ListParagraph"/>
              <w:numPr>
                <w:ilvl w:val="1"/>
                <w:numId w:val="3"/>
              </w:numPr>
              <w:spacing w:before="120"/>
              <w:ind w:left="670"/>
              <w:contextualSpacing w:val="0"/>
              <w:jc w:val="both"/>
              <w:rPr>
                <w:rFonts w:eastAsia="MS Mincho" w:cs="Times New Roman"/>
                <w:bCs/>
                <w:noProof/>
                <w:szCs w:val="32"/>
              </w:rPr>
            </w:pPr>
            <w:r>
              <w:rPr>
                <w:rFonts w:eastAsia="MS Mincho" w:cs="Times New Roman"/>
                <w:bCs/>
                <w:noProof/>
                <w:szCs w:val="32"/>
              </w:rPr>
              <w:t>Comments with the prefix CTC and CFC via STP will not be visualized in EC4S. the COM prefix must be used.</w:t>
            </w:r>
          </w:p>
          <w:tbl>
            <w:tblPr>
              <w:tblStyle w:val="TableGrid"/>
              <w:tblW w:w="7671" w:type="dxa"/>
              <w:jc w:val="center"/>
              <w:tblLook w:val="04A0" w:firstRow="1" w:lastRow="0" w:firstColumn="1" w:lastColumn="0" w:noHBand="0" w:noVBand="1"/>
            </w:tblPr>
            <w:tblGrid>
              <w:gridCol w:w="1067"/>
              <w:gridCol w:w="1386"/>
              <w:gridCol w:w="3741"/>
              <w:gridCol w:w="1477"/>
            </w:tblGrid>
            <w:tr w:rsidR="0062030C" w:rsidRPr="0062030C" w:rsidTr="00437494">
              <w:trPr>
                <w:trHeight w:val="204"/>
                <w:jc w:val="center"/>
              </w:trPr>
              <w:tc>
                <w:tcPr>
                  <w:tcW w:w="1068"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p>
              </w:tc>
              <w:tc>
                <w:tcPr>
                  <w:tcW w:w="1377"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3747"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1479"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62030C" w:rsidRPr="0062030C" w:rsidTr="00437494">
              <w:trPr>
                <w:trHeight w:val="204"/>
                <w:jc w:val="center"/>
              </w:trPr>
              <w:tc>
                <w:tcPr>
                  <w:tcW w:w="1068" w:type="dxa"/>
                  <w:vMerge w:val="restart"/>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137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374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 avec ‘Payment = FREE’</w:t>
                  </w:r>
                </w:p>
              </w:tc>
              <w:tc>
                <w:tcPr>
                  <w:tcW w:w="1479" w:type="dxa"/>
                  <w:vMerge w:val="restart"/>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External comments</w:t>
                  </w:r>
                </w:p>
              </w:tc>
            </w:tr>
            <w:tr w:rsidR="0062030C" w:rsidRPr="0062030C" w:rsidTr="00437494">
              <w:trPr>
                <w:trHeight w:val="612"/>
                <w:jc w:val="center"/>
              </w:trPr>
              <w:tc>
                <w:tcPr>
                  <w:tcW w:w="1068" w:type="dxa"/>
                  <w:vMerge/>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p>
              </w:tc>
              <w:tc>
                <w:tcPr>
                  <w:tcW w:w="137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:70E::SPRO (TRADDET) + COM</w:t>
                  </w:r>
                </w:p>
              </w:tc>
              <w:tc>
                <w:tcPr>
                  <w:tcW w:w="374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SettlementInstructionProcessingAdditionalDetails &lt;SttlmInstrPrcgAddtlDtls&gt; + COM</w:t>
                  </w:r>
                </w:p>
              </w:tc>
              <w:tc>
                <w:tcPr>
                  <w:tcW w:w="1479" w:type="dxa"/>
                  <w:vMerge/>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p>
              </w:tc>
            </w:tr>
            <w:tr w:rsidR="0062030C" w:rsidRPr="0062030C" w:rsidTr="00437494">
              <w:trPr>
                <w:trHeight w:val="204"/>
                <w:jc w:val="center"/>
              </w:trPr>
              <w:tc>
                <w:tcPr>
                  <w:tcW w:w="1068" w:type="dxa"/>
                  <w:vMerge w:val="restart"/>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137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374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1479" w:type="dxa"/>
                  <w:vMerge w:val="restart"/>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External comments</w:t>
                  </w:r>
                </w:p>
              </w:tc>
            </w:tr>
            <w:tr w:rsidR="0062030C" w:rsidRPr="0062030C" w:rsidTr="00437494">
              <w:trPr>
                <w:trHeight w:val="439"/>
                <w:jc w:val="center"/>
              </w:trPr>
              <w:tc>
                <w:tcPr>
                  <w:tcW w:w="1068" w:type="dxa"/>
                  <w:vMerge/>
                  <w:shd w:val="clear" w:color="auto" w:fill="BFBFBF" w:themeFill="background1" w:themeFillShade="BF"/>
                </w:tcPr>
                <w:p w:rsidR="0062030C" w:rsidRPr="00003B85" w:rsidRDefault="0062030C" w:rsidP="00003B85">
                  <w:pPr>
                    <w:framePr w:hSpace="180" w:wrap="around" w:vAnchor="text" w:hAnchor="text" w:xAlign="right" w:y="1"/>
                    <w:suppressOverlap/>
                    <w:jc w:val="both"/>
                    <w:rPr>
                      <w:rFonts w:eastAsia="MS Mincho" w:cstheme="minorHAnsi"/>
                      <w:noProof/>
                      <w:sz w:val="16"/>
                      <w:szCs w:val="16"/>
                    </w:rPr>
                  </w:pPr>
                </w:p>
              </w:tc>
              <w:tc>
                <w:tcPr>
                  <w:tcW w:w="137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:70E::SPRO//COM</w:t>
                  </w:r>
                </w:p>
              </w:tc>
              <w:tc>
                <w:tcPr>
                  <w:tcW w:w="3747"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cstheme="minorHAnsi"/>
                    </w:rPr>
                    <w:t xml:space="preserve"> </w:t>
                  </w:r>
                  <w:r w:rsidRPr="00003B85">
                    <w:rPr>
                      <w:rFonts w:eastAsia="MS Mincho" w:cstheme="minorHAnsi"/>
                      <w:noProof/>
                      <w:sz w:val="16"/>
                      <w:szCs w:val="16"/>
                    </w:rPr>
                    <w:t>SettlementInstructionProcessingAdditionalDetails &lt;SttlmInstrPrcgAddtlDtls&gt; + COM</w:t>
                  </w:r>
                </w:p>
              </w:tc>
              <w:tc>
                <w:tcPr>
                  <w:tcW w:w="1479" w:type="dxa"/>
                  <w:vMerge/>
                </w:tcPr>
                <w:p w:rsidR="0062030C" w:rsidRPr="00003B85" w:rsidRDefault="0062030C" w:rsidP="00003B85">
                  <w:pPr>
                    <w:framePr w:hSpace="180" w:wrap="around" w:vAnchor="text" w:hAnchor="text" w:xAlign="right" w:y="1"/>
                    <w:suppressOverlap/>
                    <w:jc w:val="both"/>
                    <w:rPr>
                      <w:rFonts w:eastAsia="MS Mincho" w:cstheme="minorHAnsi"/>
                      <w:noProof/>
                      <w:sz w:val="16"/>
                      <w:szCs w:val="16"/>
                    </w:rPr>
                  </w:pPr>
                </w:p>
              </w:tc>
            </w:tr>
          </w:tbl>
          <w:p w:rsidR="0062030C" w:rsidRPr="00003B85" w:rsidRDefault="0062030C" w:rsidP="0062030C">
            <w:pPr>
              <w:ind w:left="33"/>
              <w:jc w:val="both"/>
              <w:rPr>
                <w:rFonts w:eastAsia="MS Mincho" w:cstheme="minorHAnsi"/>
                <w:noProof/>
                <w:szCs w:val="32"/>
              </w:rPr>
            </w:pPr>
          </w:p>
          <w:p w:rsidR="0062030C" w:rsidRPr="00003B85" w:rsidRDefault="0062030C" w:rsidP="0062030C">
            <w:pPr>
              <w:ind w:left="33"/>
              <w:jc w:val="both"/>
              <w:rPr>
                <w:rFonts w:eastAsia="MS Mincho" w:cstheme="minorHAnsi"/>
                <w:noProof/>
                <w:szCs w:val="32"/>
              </w:rPr>
            </w:pPr>
            <w:r w:rsidRPr="00003B85">
              <w:rPr>
                <w:rFonts w:eastAsia="MS Mincho" w:cstheme="minorHAnsi"/>
                <w:noProof/>
                <w:szCs w:val="32"/>
              </w:rPr>
              <w:t>Examples :</w:t>
            </w:r>
          </w:p>
          <w:tbl>
            <w:tblPr>
              <w:tblStyle w:val="TableGrid"/>
              <w:tblW w:w="7607" w:type="dxa"/>
              <w:tblLook w:val="04A0" w:firstRow="1" w:lastRow="0" w:firstColumn="1" w:lastColumn="0" w:noHBand="0" w:noVBand="1"/>
            </w:tblPr>
            <w:tblGrid>
              <w:gridCol w:w="1057"/>
              <w:gridCol w:w="1933"/>
              <w:gridCol w:w="4461"/>
              <w:gridCol w:w="1374"/>
            </w:tblGrid>
            <w:tr w:rsidR="0062030C" w:rsidRPr="00B4121E" w:rsidTr="00437494">
              <w:trPr>
                <w:trHeight w:val="369"/>
              </w:trPr>
              <w:tc>
                <w:tcPr>
                  <w:tcW w:w="687"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p>
              </w:tc>
              <w:tc>
                <w:tcPr>
                  <w:tcW w:w="1645"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4421"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854" w:type="dxa"/>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62030C" w:rsidRPr="00B4121E" w:rsidTr="00437494">
              <w:trPr>
                <w:trHeight w:val="184"/>
              </w:trPr>
              <w:tc>
                <w:tcPr>
                  <w:tcW w:w="687" w:type="dxa"/>
                  <w:vMerge w:val="restart"/>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1645"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4421"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w:t>
                  </w:r>
                </w:p>
              </w:tc>
              <w:tc>
                <w:tcPr>
                  <w:tcW w:w="854" w:type="dxa"/>
                  <w:vMerge w:val="restart"/>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External comments</w:t>
                  </w:r>
                </w:p>
              </w:tc>
            </w:tr>
            <w:tr w:rsidR="0062030C" w:rsidRPr="00B4121E" w:rsidTr="00437494">
              <w:trPr>
                <w:trHeight w:val="369"/>
              </w:trPr>
              <w:tc>
                <w:tcPr>
                  <w:tcW w:w="687" w:type="dxa"/>
                  <w:vMerge/>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p>
              </w:tc>
              <w:tc>
                <w:tcPr>
                  <w:tcW w:w="1645"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:70E::SPRO//COM/TP2015</w:t>
                  </w:r>
                </w:p>
              </w:tc>
              <w:tc>
                <w:tcPr>
                  <w:tcW w:w="4421"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&lt;SttlmInstrPrcgAddtlDtls&gt;COM/TP2015&lt;SttlmInstrPrcgAddtlDtls&gt;</w:t>
                  </w:r>
                </w:p>
              </w:tc>
              <w:tc>
                <w:tcPr>
                  <w:tcW w:w="854" w:type="dxa"/>
                  <w:vMerge/>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p>
              </w:tc>
            </w:tr>
            <w:tr w:rsidR="0062030C" w:rsidRPr="00B4121E" w:rsidTr="00437494">
              <w:trPr>
                <w:trHeight w:val="184"/>
              </w:trPr>
              <w:tc>
                <w:tcPr>
                  <w:tcW w:w="687" w:type="dxa"/>
                  <w:vMerge w:val="restart"/>
                  <w:shd w:val="clear" w:color="auto" w:fill="BFBFBF" w:themeFill="background1" w:themeFillShade="BF"/>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1645"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4421"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854" w:type="dxa"/>
                  <w:vMerge w:val="restart"/>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External comments</w:t>
                  </w:r>
                </w:p>
              </w:tc>
            </w:tr>
            <w:tr w:rsidR="0062030C" w:rsidRPr="00B4121E" w:rsidTr="00437494">
              <w:trPr>
                <w:trHeight w:val="738"/>
              </w:trPr>
              <w:tc>
                <w:tcPr>
                  <w:tcW w:w="687" w:type="dxa"/>
                  <w:vMerge/>
                  <w:shd w:val="clear" w:color="auto" w:fill="BFBFBF" w:themeFill="background1" w:themeFillShade="BF"/>
                </w:tcPr>
                <w:p w:rsidR="0062030C" w:rsidRPr="00003B85" w:rsidRDefault="0062030C" w:rsidP="00003B85">
                  <w:pPr>
                    <w:framePr w:hSpace="180" w:wrap="around" w:vAnchor="text" w:hAnchor="text" w:xAlign="right" w:y="1"/>
                    <w:suppressOverlap/>
                    <w:jc w:val="both"/>
                    <w:rPr>
                      <w:rFonts w:eastAsia="MS Mincho" w:cstheme="minorHAnsi"/>
                      <w:noProof/>
                      <w:sz w:val="16"/>
                      <w:szCs w:val="16"/>
                    </w:rPr>
                  </w:pPr>
                </w:p>
              </w:tc>
              <w:tc>
                <w:tcPr>
                  <w:tcW w:w="1645"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:70E::SPRO//COM/TP2015</w:t>
                  </w:r>
                </w:p>
              </w:tc>
              <w:tc>
                <w:tcPr>
                  <w:tcW w:w="4421" w:type="dxa"/>
                  <w:vAlign w:val="center"/>
                </w:tcPr>
                <w:p w:rsidR="0062030C" w:rsidRPr="00003B85" w:rsidRDefault="0062030C" w:rsidP="00003B85">
                  <w:pPr>
                    <w:framePr w:hSpace="180" w:wrap="around" w:vAnchor="text" w:hAnchor="text" w:xAlign="right" w:y="1"/>
                    <w:suppressOverlap/>
                    <w:jc w:val="center"/>
                    <w:rPr>
                      <w:rFonts w:eastAsia="MS Mincho" w:cstheme="minorHAnsi"/>
                      <w:noProof/>
                      <w:sz w:val="16"/>
                      <w:szCs w:val="16"/>
                    </w:rPr>
                  </w:pPr>
                  <w:r w:rsidRPr="00003B85">
                    <w:rPr>
                      <w:rFonts w:cstheme="minorHAnsi"/>
                    </w:rPr>
                    <w:t xml:space="preserve"> </w:t>
                  </w:r>
                  <w:r w:rsidRPr="00003B85">
                    <w:rPr>
                      <w:rFonts w:eastAsia="MS Mincho" w:cstheme="minorHAnsi"/>
                      <w:noProof/>
                      <w:sz w:val="16"/>
                      <w:szCs w:val="16"/>
                    </w:rPr>
                    <w:t>&lt;SttlmInstrPrcgAddtlDtls&gt;COM/TP2015&lt;SttlmInstrPrcgAddtlDtls&gt;</w:t>
                  </w:r>
                </w:p>
              </w:tc>
              <w:tc>
                <w:tcPr>
                  <w:tcW w:w="854" w:type="dxa"/>
                  <w:vMerge/>
                </w:tcPr>
                <w:p w:rsidR="0062030C" w:rsidRPr="00003B85" w:rsidRDefault="0062030C" w:rsidP="00003B85">
                  <w:pPr>
                    <w:framePr w:hSpace="180" w:wrap="around" w:vAnchor="text" w:hAnchor="text" w:xAlign="right" w:y="1"/>
                    <w:suppressOverlap/>
                    <w:jc w:val="both"/>
                    <w:rPr>
                      <w:rFonts w:eastAsia="MS Mincho" w:cstheme="minorHAnsi"/>
                      <w:noProof/>
                      <w:sz w:val="16"/>
                      <w:szCs w:val="16"/>
                    </w:rPr>
                  </w:pPr>
                </w:p>
              </w:tc>
            </w:tr>
          </w:tbl>
          <w:p w:rsidR="0062030C" w:rsidRPr="00003B85" w:rsidRDefault="0062030C" w:rsidP="0062030C">
            <w:pPr>
              <w:jc w:val="both"/>
              <w:rPr>
                <w:rFonts w:cstheme="minorHAnsi"/>
              </w:rPr>
            </w:pPr>
          </w:p>
          <w:p w:rsidR="00364872" w:rsidRPr="00B4121E" w:rsidRDefault="00B4121E" w:rsidP="002F6107">
            <w:pPr>
              <w:spacing w:before="120"/>
              <w:jc w:val="both"/>
              <w:rPr>
                <w:rFonts w:eastAsia="MS Mincho" w:cs="Times New Roman"/>
                <w:b/>
                <w:noProof/>
                <w:szCs w:val="32"/>
              </w:rPr>
            </w:pPr>
            <w:r w:rsidRPr="00B4121E">
              <w:rPr>
                <w:rFonts w:eastAsia="MS Mincho" w:cs="Times New Roman"/>
                <w:b/>
                <w:noProof/>
                <w:szCs w:val="32"/>
              </w:rPr>
              <w:t xml:space="preserve">Specific case of portfolio transfers on securities </w:t>
            </w:r>
            <w:r>
              <w:rPr>
                <w:rFonts w:eastAsia="MS Mincho" w:cs="Times New Roman"/>
                <w:b/>
                <w:noProof/>
                <w:szCs w:val="32"/>
              </w:rPr>
              <w:t>su</w:t>
            </w:r>
            <w:r w:rsidRPr="00B4121E">
              <w:rPr>
                <w:rFonts w:eastAsia="MS Mincho" w:cs="Times New Roman"/>
                <w:b/>
                <w:noProof/>
                <w:szCs w:val="32"/>
              </w:rPr>
              <w:t xml:space="preserve">bject </w:t>
            </w:r>
            <w:r>
              <w:rPr>
                <w:rFonts w:eastAsia="MS Mincho" w:cs="Times New Roman"/>
                <w:b/>
                <w:noProof/>
                <w:szCs w:val="32"/>
              </w:rPr>
              <w:t xml:space="preserve">to a </w:t>
            </w:r>
            <w:r w:rsidRPr="00B4121E">
              <w:rPr>
                <w:rFonts w:eastAsia="MS Mincho" w:cs="Times New Roman"/>
                <w:b/>
                <w:noProof/>
                <w:szCs w:val="32"/>
              </w:rPr>
              <w:t xml:space="preserve">distribution </w:t>
            </w:r>
            <w:r>
              <w:rPr>
                <w:rFonts w:eastAsia="MS Mincho" w:cs="Times New Roman"/>
                <w:b/>
                <w:noProof/>
                <w:szCs w:val="32"/>
              </w:rPr>
              <w:t xml:space="preserve">falling </w:t>
            </w:r>
            <w:r w:rsidR="00003B85">
              <w:rPr>
                <w:rFonts w:eastAsia="MS Mincho" w:cs="Times New Roman"/>
                <w:b/>
                <w:noProof/>
                <w:szCs w:val="32"/>
              </w:rPr>
              <w:t xml:space="preserve">under </w:t>
            </w:r>
            <w:r>
              <w:rPr>
                <w:rFonts w:eastAsia="MS Mincho" w:cs="Times New Roman"/>
                <w:b/>
                <w:noProof/>
                <w:szCs w:val="32"/>
              </w:rPr>
              <w:t>the declarative obligation of capital gains of French origin.</w:t>
            </w:r>
          </w:p>
          <w:tbl>
            <w:tblPr>
              <w:tblStyle w:val="TableGrid"/>
              <w:tblW w:w="9169" w:type="dxa"/>
              <w:tblLook w:val="04A0" w:firstRow="1" w:lastRow="0" w:firstColumn="1" w:lastColumn="0" w:noHBand="0" w:noVBand="1"/>
            </w:tblPr>
            <w:tblGrid>
              <w:gridCol w:w="1057"/>
              <w:gridCol w:w="2112"/>
              <w:gridCol w:w="4640"/>
              <w:gridCol w:w="1374"/>
            </w:tblGrid>
            <w:tr w:rsidR="00B4121E" w:rsidRPr="00611B65" w:rsidTr="00B23FB2">
              <w:trPr>
                <w:trHeight w:val="360"/>
              </w:trPr>
              <w:tc>
                <w:tcPr>
                  <w:tcW w:w="1057" w:type="dxa"/>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p>
              </w:tc>
              <w:tc>
                <w:tcPr>
                  <w:tcW w:w="2098" w:type="dxa"/>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4640" w:type="dxa"/>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1374" w:type="dxa"/>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B23FB2" w:rsidRPr="00611B65" w:rsidTr="00B23FB2">
              <w:trPr>
                <w:trHeight w:val="166"/>
              </w:trPr>
              <w:tc>
                <w:tcPr>
                  <w:tcW w:w="1057" w:type="dxa"/>
                  <w:vMerge w:val="restart"/>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2098"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4640"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w:t>
                  </w:r>
                </w:p>
              </w:tc>
              <w:tc>
                <w:tcPr>
                  <w:tcW w:w="1374" w:type="dxa"/>
                  <w:vMerge w:val="restart"/>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External comments</w:t>
                  </w:r>
                </w:p>
              </w:tc>
            </w:tr>
            <w:tr w:rsidR="00B23FB2" w:rsidRPr="00611B65" w:rsidTr="00B23FB2">
              <w:trPr>
                <w:trHeight w:val="374"/>
              </w:trPr>
              <w:tc>
                <w:tcPr>
                  <w:tcW w:w="1057" w:type="dxa"/>
                  <w:vMerge/>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p>
              </w:tc>
              <w:tc>
                <w:tcPr>
                  <w:tcW w:w="2098"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:70E::SPRO//COM/TP2015SO</w:t>
                  </w:r>
                </w:p>
              </w:tc>
              <w:tc>
                <w:tcPr>
                  <w:tcW w:w="4640"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&lt;SttlmInstrPrcgAddtlDtls&gt;COM/TP2015SO&lt;SttlmInstrPrcgAddtlDtls&gt;</w:t>
                  </w:r>
                </w:p>
              </w:tc>
              <w:tc>
                <w:tcPr>
                  <w:tcW w:w="1374" w:type="dxa"/>
                  <w:vMerge/>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p>
              </w:tc>
            </w:tr>
            <w:tr w:rsidR="00B23FB2" w:rsidRPr="00611B65" w:rsidTr="00B23FB2">
              <w:trPr>
                <w:trHeight w:val="180"/>
              </w:trPr>
              <w:tc>
                <w:tcPr>
                  <w:tcW w:w="1057" w:type="dxa"/>
                  <w:vMerge w:val="restart"/>
                  <w:shd w:val="clear" w:color="auto" w:fill="BFBFBF" w:themeFill="background1" w:themeFillShade="BF"/>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2098"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4640"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1374" w:type="dxa"/>
                  <w:vMerge w:val="restart"/>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External comments</w:t>
                  </w:r>
                </w:p>
              </w:tc>
            </w:tr>
            <w:tr w:rsidR="00B23FB2" w:rsidRPr="00611B65" w:rsidTr="00B23FB2">
              <w:trPr>
                <w:trHeight w:val="720"/>
              </w:trPr>
              <w:tc>
                <w:tcPr>
                  <w:tcW w:w="1057" w:type="dxa"/>
                  <w:vMerge/>
                  <w:shd w:val="clear" w:color="auto" w:fill="BFBFBF" w:themeFill="background1" w:themeFillShade="BF"/>
                </w:tcPr>
                <w:p w:rsidR="00B4121E" w:rsidRPr="00003B85" w:rsidRDefault="00B4121E" w:rsidP="00003B85">
                  <w:pPr>
                    <w:framePr w:hSpace="180" w:wrap="around" w:vAnchor="text" w:hAnchor="text" w:xAlign="right" w:y="1"/>
                    <w:suppressOverlap/>
                    <w:jc w:val="both"/>
                    <w:rPr>
                      <w:rFonts w:eastAsia="MS Mincho" w:cstheme="minorHAnsi"/>
                      <w:noProof/>
                      <w:sz w:val="16"/>
                      <w:szCs w:val="16"/>
                    </w:rPr>
                  </w:pPr>
                </w:p>
              </w:tc>
              <w:tc>
                <w:tcPr>
                  <w:tcW w:w="2098"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:70E::SPRO//COM/TP2015SO</w:t>
                  </w:r>
                </w:p>
              </w:tc>
              <w:tc>
                <w:tcPr>
                  <w:tcW w:w="4640" w:type="dxa"/>
                  <w:vAlign w:val="center"/>
                </w:tcPr>
                <w:p w:rsidR="00B4121E" w:rsidRPr="00003B85" w:rsidRDefault="00B4121E" w:rsidP="00003B85">
                  <w:pPr>
                    <w:framePr w:hSpace="180" w:wrap="around" w:vAnchor="text" w:hAnchor="text" w:xAlign="right" w:y="1"/>
                    <w:suppressOverlap/>
                    <w:jc w:val="center"/>
                    <w:rPr>
                      <w:rFonts w:eastAsia="MS Mincho" w:cstheme="minorHAnsi"/>
                      <w:noProof/>
                      <w:sz w:val="16"/>
                      <w:szCs w:val="16"/>
                    </w:rPr>
                  </w:pPr>
                  <w:r w:rsidRPr="00003B85">
                    <w:rPr>
                      <w:rFonts w:cstheme="minorHAnsi"/>
                    </w:rPr>
                    <w:t xml:space="preserve"> </w:t>
                  </w:r>
                  <w:r w:rsidRPr="00003B85">
                    <w:rPr>
                      <w:rFonts w:eastAsia="MS Mincho" w:cstheme="minorHAnsi"/>
                      <w:noProof/>
                      <w:sz w:val="16"/>
                      <w:szCs w:val="16"/>
                    </w:rPr>
                    <w:t>&lt;SttlmInstrPrcgAddtlDtls&gt;COM/TP2015SO&lt;SttlmInstrPrcgAddtlDtls&gt;</w:t>
                  </w:r>
                </w:p>
              </w:tc>
              <w:tc>
                <w:tcPr>
                  <w:tcW w:w="1374" w:type="dxa"/>
                  <w:vMerge/>
                </w:tcPr>
                <w:p w:rsidR="00B4121E" w:rsidRPr="00003B85" w:rsidRDefault="00B4121E" w:rsidP="00003B85">
                  <w:pPr>
                    <w:framePr w:hSpace="180" w:wrap="around" w:vAnchor="text" w:hAnchor="text" w:xAlign="right" w:y="1"/>
                    <w:suppressOverlap/>
                    <w:jc w:val="both"/>
                    <w:rPr>
                      <w:rFonts w:eastAsia="MS Mincho" w:cstheme="minorHAnsi"/>
                      <w:noProof/>
                      <w:sz w:val="16"/>
                      <w:szCs w:val="16"/>
                    </w:rPr>
                  </w:pPr>
                </w:p>
              </w:tc>
            </w:tr>
          </w:tbl>
          <w:p w:rsidR="00364872" w:rsidRDefault="00B4121E" w:rsidP="002F6107">
            <w:pPr>
              <w:spacing w:before="120"/>
              <w:jc w:val="both"/>
              <w:rPr>
                <w:rFonts w:eastAsia="MS Mincho" w:cs="Times New Roman"/>
                <w:noProof/>
                <w:szCs w:val="32"/>
              </w:rPr>
            </w:pPr>
            <w:r w:rsidRPr="00B4121E">
              <w:rPr>
                <w:rFonts w:eastAsia="MS Mincho" w:cs="Times New Roman"/>
                <w:noProof/>
                <w:szCs w:val="32"/>
              </w:rPr>
              <w:t xml:space="preserve">NB: the data Date of purchase and </w:t>
            </w:r>
            <w:r>
              <w:rPr>
                <w:rFonts w:eastAsia="MS Mincho" w:cs="Times New Roman"/>
                <w:noProof/>
                <w:szCs w:val="32"/>
              </w:rPr>
              <w:t>Purchase price are input in two different fields.</w:t>
            </w:r>
          </w:p>
          <w:p w:rsidR="00B4121E" w:rsidRDefault="00B4121E" w:rsidP="002F6107">
            <w:pPr>
              <w:spacing w:before="120"/>
              <w:jc w:val="both"/>
              <w:rPr>
                <w:rFonts w:eastAsia="MS Mincho" w:cs="Times New Roman"/>
                <w:noProof/>
                <w:szCs w:val="32"/>
              </w:rPr>
            </w:pPr>
          </w:p>
          <w:p w:rsidR="00B4121E" w:rsidRPr="00B4121E" w:rsidRDefault="00B4121E" w:rsidP="002F6107">
            <w:pPr>
              <w:spacing w:before="120"/>
              <w:jc w:val="both"/>
              <w:rPr>
                <w:rFonts w:eastAsia="MS Mincho" w:cs="Times New Roman"/>
                <w:b/>
                <w:noProof/>
                <w:szCs w:val="32"/>
                <w:u w:val="single"/>
              </w:rPr>
            </w:pPr>
            <w:r w:rsidRPr="00B4121E">
              <w:rPr>
                <w:rFonts w:eastAsia="MS Mincho" w:cs="Times New Roman"/>
                <w:b/>
                <w:noProof/>
                <w:szCs w:val="32"/>
                <w:u w:val="single"/>
              </w:rPr>
              <w:t>Account structures in Free of Payment Without Matching</w:t>
            </w:r>
          </w:p>
          <w:p w:rsidR="00B4121E" w:rsidRDefault="00B4121E" w:rsidP="002F6107">
            <w:pPr>
              <w:spacing w:before="120"/>
              <w:jc w:val="both"/>
              <w:rPr>
                <w:rFonts w:eastAsia="MS Mincho" w:cs="Times New Roman"/>
                <w:noProof/>
                <w:szCs w:val="32"/>
              </w:rPr>
            </w:pPr>
            <w:r>
              <w:rPr>
                <w:rFonts w:eastAsia="MS Mincho" w:cs="Times New Roman"/>
                <w:noProof/>
                <w:szCs w:val="32"/>
              </w:rPr>
              <w:t>Participants will transfer the account structure nature and the account natures if Free of Payment without matching instructions.</w:t>
            </w:r>
          </w:p>
          <w:p w:rsidR="00B23FB2" w:rsidRPr="00B23FB2" w:rsidRDefault="00B23FB2" w:rsidP="00B23FB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Transfers are made from account nature ‘000’ to account nature ‘000’, or from account nature ‘001’ to account nature ‘001’</w:t>
            </w:r>
          </w:p>
          <w:p w:rsidR="00B23FB2" w:rsidRPr="0062030C" w:rsidRDefault="00B23FB2" w:rsidP="00B23FB2">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lastRenderedPageBreak/>
              <w:t>As a reminder, the account structure used can be that of ESES, or that of T2S.</w:t>
            </w:r>
          </w:p>
          <w:tbl>
            <w:tblPr>
              <w:tblStyle w:val="TableGrid"/>
              <w:tblW w:w="0" w:type="auto"/>
              <w:jc w:val="center"/>
              <w:tblLook w:val="04A0" w:firstRow="1" w:lastRow="0" w:firstColumn="1" w:lastColumn="0" w:noHBand="0" w:noVBand="1"/>
            </w:tblPr>
            <w:tblGrid>
              <w:gridCol w:w="1075"/>
              <w:gridCol w:w="1180"/>
              <w:gridCol w:w="3824"/>
              <w:gridCol w:w="1545"/>
            </w:tblGrid>
            <w:tr w:rsidR="00886BC8" w:rsidRPr="00611B65" w:rsidTr="00437494">
              <w:trPr>
                <w:jc w:val="center"/>
              </w:trPr>
              <w:tc>
                <w:tcPr>
                  <w:tcW w:w="1075" w:type="dxa"/>
                  <w:shd w:val="clear" w:color="auto" w:fill="BFBFBF" w:themeFill="background1" w:themeFillShade="BF"/>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1180" w:type="dxa"/>
                  <w:shd w:val="clear" w:color="auto" w:fill="BFBFBF" w:themeFill="background1" w:themeFillShade="BF"/>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15022</w:t>
                  </w:r>
                </w:p>
              </w:tc>
              <w:tc>
                <w:tcPr>
                  <w:tcW w:w="3824" w:type="dxa"/>
                  <w:shd w:val="clear" w:color="auto" w:fill="BFBFBF" w:themeFill="background1" w:themeFillShade="BF"/>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ISO 20022 via Euroclear</w:t>
                  </w:r>
                </w:p>
              </w:tc>
              <w:tc>
                <w:tcPr>
                  <w:tcW w:w="1545" w:type="dxa"/>
                  <w:shd w:val="clear" w:color="auto" w:fill="BFBFBF" w:themeFill="background1" w:themeFillShade="BF"/>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EuroclearConnect</w:t>
                  </w:r>
                </w:p>
              </w:tc>
            </w:tr>
            <w:tr w:rsidR="00886BC8" w:rsidRPr="00611B65" w:rsidTr="00437494">
              <w:trPr>
                <w:jc w:val="center"/>
              </w:trPr>
              <w:tc>
                <w:tcPr>
                  <w:tcW w:w="1075" w:type="dxa"/>
                  <w:vMerge w:val="restart"/>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tc>
              <w:tc>
                <w:tcPr>
                  <w:tcW w:w="1180"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3824"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w:t>
                  </w:r>
                </w:p>
              </w:tc>
              <w:tc>
                <w:tcPr>
                  <w:tcW w:w="1545" w:type="dxa"/>
                  <w:vMerge w:val="restart"/>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Counterparty’s account / NDC</w:t>
                  </w:r>
                </w:p>
              </w:tc>
            </w:tr>
            <w:tr w:rsidR="00886BC8" w:rsidRPr="00611B65" w:rsidTr="00437494">
              <w:trPr>
                <w:jc w:val="center"/>
              </w:trPr>
              <w:tc>
                <w:tcPr>
                  <w:tcW w:w="1075" w:type="dxa"/>
                  <w:vMerge/>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1180"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:97A::SAFE</w:t>
                  </w:r>
                </w:p>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3824"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 xml:space="preserve">Pty1/SfcpgAcct      </w:t>
                  </w:r>
                </w:p>
              </w:tc>
              <w:tc>
                <w:tcPr>
                  <w:tcW w:w="1545" w:type="dxa"/>
                  <w:vMerge/>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r>
            <w:tr w:rsidR="00886BC8" w:rsidRPr="00611B65" w:rsidTr="00437494">
              <w:trPr>
                <w:jc w:val="center"/>
              </w:trPr>
              <w:tc>
                <w:tcPr>
                  <w:tcW w:w="1075" w:type="dxa"/>
                  <w:vMerge w:val="restart"/>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Status</w:t>
                  </w:r>
                </w:p>
              </w:tc>
              <w:tc>
                <w:tcPr>
                  <w:tcW w:w="1180"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MT548</w:t>
                  </w:r>
                </w:p>
              </w:tc>
              <w:tc>
                <w:tcPr>
                  <w:tcW w:w="3824"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Sese.024</w:t>
                  </w:r>
                </w:p>
              </w:tc>
              <w:tc>
                <w:tcPr>
                  <w:tcW w:w="1545" w:type="dxa"/>
                  <w:vMerge w:val="restart"/>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NDC</w:t>
                  </w:r>
                </w:p>
              </w:tc>
            </w:tr>
            <w:tr w:rsidR="00886BC8" w:rsidRPr="00611B65" w:rsidTr="00437494">
              <w:trPr>
                <w:jc w:val="center"/>
              </w:trPr>
              <w:tc>
                <w:tcPr>
                  <w:tcW w:w="1075" w:type="dxa"/>
                  <w:vMerge/>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1180"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:97A::SAFE</w:t>
                  </w:r>
                </w:p>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3824"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 xml:space="preserve">Pty1/SfcpgAcct      </w:t>
                  </w:r>
                </w:p>
              </w:tc>
              <w:tc>
                <w:tcPr>
                  <w:tcW w:w="1545" w:type="dxa"/>
                  <w:vMerge/>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r>
            <w:tr w:rsidR="00886BC8" w:rsidRPr="00611B65" w:rsidTr="00437494">
              <w:trPr>
                <w:jc w:val="center"/>
              </w:trPr>
              <w:tc>
                <w:tcPr>
                  <w:tcW w:w="1075" w:type="dxa"/>
                  <w:vMerge w:val="restart"/>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Settlement confirmation</w:t>
                  </w:r>
                </w:p>
              </w:tc>
              <w:tc>
                <w:tcPr>
                  <w:tcW w:w="1180"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MT544 / MT546</w:t>
                  </w:r>
                </w:p>
              </w:tc>
              <w:tc>
                <w:tcPr>
                  <w:tcW w:w="3824"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Sese.025</w:t>
                  </w:r>
                </w:p>
              </w:tc>
              <w:tc>
                <w:tcPr>
                  <w:tcW w:w="1545" w:type="dxa"/>
                  <w:vMerge w:val="restart"/>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NDC</w:t>
                  </w:r>
                </w:p>
              </w:tc>
            </w:tr>
            <w:tr w:rsidR="00886BC8" w:rsidRPr="00611B65" w:rsidTr="00437494">
              <w:trPr>
                <w:jc w:val="center"/>
              </w:trPr>
              <w:tc>
                <w:tcPr>
                  <w:tcW w:w="1075" w:type="dxa"/>
                  <w:vMerge/>
                  <w:shd w:val="clear" w:color="auto" w:fill="BFBFBF" w:themeFill="background1" w:themeFillShade="BF"/>
                </w:tcPr>
                <w:p w:rsidR="00886BC8" w:rsidRPr="00003B85" w:rsidRDefault="00886BC8" w:rsidP="00003B85">
                  <w:pPr>
                    <w:framePr w:hSpace="180" w:wrap="around" w:vAnchor="text" w:hAnchor="text" w:xAlign="right" w:y="1"/>
                    <w:suppressOverlap/>
                    <w:jc w:val="both"/>
                    <w:rPr>
                      <w:rFonts w:eastAsia="MS Mincho" w:cstheme="minorHAnsi"/>
                      <w:noProof/>
                      <w:sz w:val="16"/>
                      <w:szCs w:val="16"/>
                    </w:rPr>
                  </w:pPr>
                </w:p>
              </w:tc>
              <w:tc>
                <w:tcPr>
                  <w:tcW w:w="1180"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:97A::SAFE</w:t>
                  </w:r>
                </w:p>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3824"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Pty1/SfcpgAcct</w:t>
                  </w:r>
                </w:p>
              </w:tc>
              <w:tc>
                <w:tcPr>
                  <w:tcW w:w="1545" w:type="dxa"/>
                  <w:vMerge/>
                </w:tcPr>
                <w:p w:rsidR="00886BC8" w:rsidRPr="00003B85" w:rsidRDefault="00886BC8" w:rsidP="00003B85">
                  <w:pPr>
                    <w:framePr w:hSpace="180" w:wrap="around" w:vAnchor="text" w:hAnchor="text" w:xAlign="right" w:y="1"/>
                    <w:suppressOverlap/>
                    <w:jc w:val="both"/>
                    <w:rPr>
                      <w:rFonts w:eastAsia="MS Mincho" w:cstheme="minorHAnsi"/>
                      <w:noProof/>
                      <w:sz w:val="16"/>
                      <w:szCs w:val="16"/>
                    </w:rPr>
                  </w:pPr>
                </w:p>
              </w:tc>
            </w:tr>
          </w:tbl>
          <w:p w:rsidR="00B23FB2" w:rsidRDefault="00B23FB2" w:rsidP="002F6107">
            <w:pPr>
              <w:spacing w:before="120"/>
              <w:jc w:val="both"/>
              <w:rPr>
                <w:rFonts w:eastAsia="MS Mincho" w:cs="Times New Roman"/>
                <w:noProof/>
                <w:szCs w:val="32"/>
              </w:rPr>
            </w:pPr>
          </w:p>
          <w:p w:rsidR="00886BC8" w:rsidRPr="00886BC8" w:rsidRDefault="00886BC8" w:rsidP="00886BC8">
            <w:pPr>
              <w:jc w:val="both"/>
              <w:rPr>
                <w:rFonts w:eastAsia="MS Mincho" w:cstheme="minorHAnsi"/>
                <w:bCs/>
                <w:noProof/>
                <w:szCs w:val="32"/>
              </w:rPr>
            </w:pPr>
            <w:r w:rsidRPr="00886BC8">
              <w:rPr>
                <w:rFonts w:eastAsia="MS Mincho" w:cstheme="minorHAnsi"/>
                <w:bCs/>
                <w:noProof/>
                <w:szCs w:val="32"/>
              </w:rPr>
              <w:t xml:space="preserve">Example with account nature </w:t>
            </w:r>
            <w:r>
              <w:rPr>
                <w:rFonts w:eastAsia="MS Mincho" w:cstheme="minorHAnsi"/>
                <w:bCs/>
                <w:noProof/>
                <w:szCs w:val="32"/>
              </w:rPr>
              <w:t>‘</w:t>
            </w:r>
            <w:r w:rsidRPr="00886BC8">
              <w:rPr>
                <w:rFonts w:eastAsia="MS Mincho" w:cstheme="minorHAnsi"/>
                <w:bCs/>
                <w:noProof/>
                <w:szCs w:val="32"/>
              </w:rPr>
              <w:t>001</w:t>
            </w:r>
            <w:r>
              <w:rPr>
                <w:rFonts w:eastAsia="MS Mincho" w:cstheme="minorHAnsi"/>
                <w:bCs/>
                <w:noProof/>
                <w:szCs w:val="32"/>
              </w:rPr>
              <w:t>’</w:t>
            </w:r>
            <w:r w:rsidRPr="00886BC8">
              <w:rPr>
                <w:rFonts w:eastAsia="MS Mincho" w:cstheme="minorHAnsi"/>
                <w:bCs/>
                <w:noProof/>
                <w:szCs w:val="32"/>
              </w:rPr>
              <w:t>:</w:t>
            </w:r>
          </w:p>
          <w:tbl>
            <w:tblPr>
              <w:tblStyle w:val="TableGrid"/>
              <w:tblW w:w="0" w:type="auto"/>
              <w:jc w:val="center"/>
              <w:tblLook w:val="04A0" w:firstRow="1" w:lastRow="0" w:firstColumn="1" w:lastColumn="0" w:noHBand="0" w:noVBand="1"/>
            </w:tblPr>
            <w:tblGrid>
              <w:gridCol w:w="1075"/>
              <w:gridCol w:w="1718"/>
              <w:gridCol w:w="3319"/>
              <w:gridCol w:w="1512"/>
            </w:tblGrid>
            <w:tr w:rsidR="00886BC8" w:rsidRPr="0050662A" w:rsidTr="00437494">
              <w:trPr>
                <w:jc w:val="center"/>
              </w:trPr>
              <w:tc>
                <w:tcPr>
                  <w:tcW w:w="1075" w:type="dxa"/>
                  <w:shd w:val="clear" w:color="auto" w:fill="BFBFBF" w:themeFill="background1" w:themeFillShade="BF"/>
                </w:tcPr>
                <w:p w:rsidR="00886BC8" w:rsidRPr="00886BC8" w:rsidRDefault="00886BC8" w:rsidP="00003B85">
                  <w:pPr>
                    <w:framePr w:hSpace="180" w:wrap="around" w:vAnchor="text" w:hAnchor="text" w:xAlign="right" w:y="1"/>
                    <w:suppressOverlap/>
                    <w:jc w:val="both"/>
                    <w:rPr>
                      <w:rFonts w:eastAsia="MS Mincho" w:cstheme="minorHAnsi"/>
                      <w:noProof/>
                      <w:sz w:val="16"/>
                      <w:szCs w:val="16"/>
                    </w:rPr>
                  </w:pPr>
                </w:p>
              </w:tc>
              <w:tc>
                <w:tcPr>
                  <w:tcW w:w="1718" w:type="dxa"/>
                  <w:shd w:val="clear" w:color="auto" w:fill="BFBFBF" w:themeFill="background1" w:themeFillShade="BF"/>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319" w:type="dxa"/>
                  <w:shd w:val="clear" w:color="auto" w:fill="BFBFBF" w:themeFill="background1" w:themeFillShade="BF"/>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12" w:type="dxa"/>
                  <w:shd w:val="clear" w:color="auto" w:fill="BFBFBF" w:themeFill="background1" w:themeFillShade="BF"/>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886BC8" w:rsidRPr="0050662A" w:rsidTr="00437494">
              <w:trPr>
                <w:jc w:val="center"/>
              </w:trPr>
              <w:tc>
                <w:tcPr>
                  <w:tcW w:w="1075" w:type="dxa"/>
                  <w:vMerge w:val="restart"/>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Instruction</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(ESES format)</w:t>
                  </w:r>
                </w:p>
              </w:tc>
              <w:tc>
                <w:tcPr>
                  <w:tcW w:w="1718"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319"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12" w:type="dxa"/>
                  <w:vMerge w:val="restart"/>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Counterparty’s account / NDC</w:t>
                  </w:r>
                </w:p>
              </w:tc>
            </w:tr>
            <w:tr w:rsidR="00886BC8" w:rsidRPr="0050662A" w:rsidTr="00437494">
              <w:trPr>
                <w:jc w:val="center"/>
              </w:trPr>
              <w:tc>
                <w:tcPr>
                  <w:tcW w:w="1075" w:type="dxa"/>
                  <w:vMerge/>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p>
              </w:tc>
              <w:tc>
                <w:tcPr>
                  <w:tcW w:w="1718"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 xml:space="preserve">:97A::SAFE//056/L10/0  </w:t>
                  </w:r>
                </w:p>
              </w:tc>
              <w:tc>
                <w:tcPr>
                  <w:tcW w:w="3319"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rPr>
                  </w:pPr>
                  <w:r w:rsidRPr="0050662A">
                    <w:rPr>
                      <w:rFonts w:eastAsia="MS Mincho" w:cstheme="minorHAnsi"/>
                      <w:noProof/>
                      <w:sz w:val="16"/>
                      <w:szCs w:val="16"/>
                    </w:rPr>
                    <w:t xml:space="preserve">Pty1/SfkpgAcct      &lt;Id&gt;001/L10/0&lt;/Id&gt;  </w:t>
                  </w:r>
                </w:p>
              </w:tc>
              <w:tc>
                <w:tcPr>
                  <w:tcW w:w="1512" w:type="dxa"/>
                  <w:vMerge/>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rPr>
                  </w:pPr>
                </w:p>
              </w:tc>
            </w:tr>
            <w:tr w:rsidR="00886BC8" w:rsidRPr="0050662A" w:rsidTr="00437494">
              <w:trPr>
                <w:jc w:val="center"/>
              </w:trPr>
              <w:tc>
                <w:tcPr>
                  <w:tcW w:w="1075" w:type="dxa"/>
                  <w:vMerge w:val="restart"/>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Instruction</w:t>
                  </w:r>
                </w:p>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(T2S format)</w:t>
                  </w:r>
                </w:p>
              </w:tc>
              <w:tc>
                <w:tcPr>
                  <w:tcW w:w="1718"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MT 542</w:t>
                  </w:r>
                </w:p>
              </w:tc>
              <w:tc>
                <w:tcPr>
                  <w:tcW w:w="3319" w:type="dxa"/>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Sese.023</w:t>
                  </w:r>
                </w:p>
              </w:tc>
              <w:tc>
                <w:tcPr>
                  <w:tcW w:w="1512" w:type="dxa"/>
                  <w:vMerge w:val="restart"/>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r w:rsidRPr="00003B85">
                    <w:rPr>
                      <w:rFonts w:eastAsia="MS Mincho" w:cstheme="minorHAnsi"/>
                      <w:noProof/>
                      <w:sz w:val="16"/>
                      <w:szCs w:val="16"/>
                    </w:rPr>
                    <w:t>Counterparty’s account / NDC</w:t>
                  </w:r>
                </w:p>
              </w:tc>
            </w:tr>
          </w:tbl>
          <w:p w:rsidR="00886BC8" w:rsidRDefault="00886BC8" w:rsidP="002F6107">
            <w:pPr>
              <w:spacing w:before="120"/>
              <w:jc w:val="both"/>
              <w:rPr>
                <w:rFonts w:eastAsia="MS Mincho" w:cs="Times New Roman"/>
                <w:noProof/>
                <w:szCs w:val="32"/>
              </w:rPr>
            </w:pPr>
          </w:p>
          <w:p w:rsidR="00886BC8" w:rsidRPr="00886BC8" w:rsidRDefault="00886BC8" w:rsidP="002F6107">
            <w:pPr>
              <w:spacing w:before="120"/>
              <w:jc w:val="both"/>
              <w:rPr>
                <w:rFonts w:eastAsia="MS Mincho" w:cs="Times New Roman"/>
                <w:b/>
                <w:noProof/>
                <w:szCs w:val="32"/>
                <w:u w:val="single"/>
              </w:rPr>
            </w:pPr>
            <w:r>
              <w:rPr>
                <w:rFonts w:eastAsia="MS Mincho" w:cs="Times New Roman"/>
                <w:b/>
                <w:noProof/>
                <w:szCs w:val="32"/>
                <w:u w:val="single"/>
              </w:rPr>
              <w:t>Average purchase price in Free of Payment without matching</w:t>
            </w:r>
          </w:p>
          <w:p w:rsidR="00B4121E" w:rsidRDefault="00886BC8" w:rsidP="002F6107">
            <w:pPr>
              <w:spacing w:before="120"/>
              <w:jc w:val="both"/>
              <w:rPr>
                <w:rFonts w:eastAsia="MS Mincho" w:cs="Times New Roman"/>
                <w:noProof/>
                <w:szCs w:val="32"/>
              </w:rPr>
            </w:pPr>
            <w:r>
              <w:rPr>
                <w:rFonts w:eastAsia="MS Mincho" w:cs="Times New Roman"/>
                <w:noProof/>
                <w:szCs w:val="32"/>
              </w:rPr>
              <w:t>By ISIN code, and for the whole of the portfolio, the following data must be transferred:</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average purchase price for the securities (PAMP) via the field ‘valorized price’</w:t>
            </w:r>
          </w:p>
          <w:p w:rsidR="00886BC8" w:rsidRDefault="00886BC8" w:rsidP="00886BC8">
            <w:pPr>
              <w:pStyle w:val="ListParagraph"/>
              <w:numPr>
                <w:ilvl w:val="1"/>
                <w:numId w:val="3"/>
              </w:numPr>
              <w:spacing w:before="60"/>
              <w:ind w:left="669" w:hanging="357"/>
              <w:contextualSpacing w:val="0"/>
              <w:jc w:val="both"/>
              <w:rPr>
                <w:rFonts w:eastAsia="MS Mincho" w:cs="Times New Roman"/>
                <w:bCs/>
                <w:noProof/>
                <w:szCs w:val="32"/>
              </w:rPr>
            </w:pPr>
            <w:r>
              <w:rPr>
                <w:rFonts w:eastAsia="MS Mincho" w:cs="Times New Roman"/>
                <w:bCs/>
                <w:noProof/>
                <w:szCs w:val="32"/>
              </w:rPr>
              <w:t>0 – Unknown</w:t>
            </w:r>
          </w:p>
          <w:p w:rsidR="00886BC8" w:rsidRDefault="00886BC8" w:rsidP="00886BC8">
            <w:pPr>
              <w:pStyle w:val="ListParagraph"/>
              <w:numPr>
                <w:ilvl w:val="1"/>
                <w:numId w:val="3"/>
              </w:numPr>
              <w:spacing w:before="60"/>
              <w:ind w:left="669" w:hanging="357"/>
              <w:contextualSpacing w:val="0"/>
              <w:jc w:val="both"/>
              <w:rPr>
                <w:rFonts w:eastAsia="MS Mincho" w:cs="Times New Roman"/>
                <w:bCs/>
                <w:noProof/>
                <w:szCs w:val="32"/>
              </w:rPr>
            </w:pPr>
            <w:r>
              <w:rPr>
                <w:rFonts w:eastAsia="MS Mincho" w:cs="Times New Roman"/>
                <w:bCs/>
                <w:noProof/>
                <w:szCs w:val="32"/>
              </w:rPr>
              <w:t>1 – Effective price</w:t>
            </w:r>
          </w:p>
          <w:p w:rsidR="00886BC8" w:rsidRDefault="00886BC8" w:rsidP="00886BC8">
            <w:pPr>
              <w:pStyle w:val="ListParagraph"/>
              <w:numPr>
                <w:ilvl w:val="1"/>
                <w:numId w:val="3"/>
              </w:numPr>
              <w:spacing w:before="60"/>
              <w:ind w:left="669" w:hanging="357"/>
              <w:contextualSpacing w:val="0"/>
              <w:jc w:val="both"/>
              <w:rPr>
                <w:rFonts w:eastAsia="MS Mincho" w:cs="Times New Roman"/>
                <w:bCs/>
                <w:noProof/>
                <w:szCs w:val="32"/>
              </w:rPr>
            </w:pPr>
            <w:r>
              <w:rPr>
                <w:rFonts w:eastAsia="MS Mincho" w:cs="Times New Roman"/>
                <w:bCs/>
                <w:noProof/>
                <w:szCs w:val="32"/>
              </w:rPr>
              <w:t>2 – Adjusted quote</w:t>
            </w:r>
          </w:p>
          <w:p w:rsidR="00886BC8" w:rsidRDefault="00886BC8" w:rsidP="00886BC8">
            <w:pPr>
              <w:pStyle w:val="ListParagraph"/>
              <w:numPr>
                <w:ilvl w:val="1"/>
                <w:numId w:val="3"/>
              </w:numPr>
              <w:spacing w:before="60"/>
              <w:ind w:left="669" w:hanging="357"/>
              <w:contextualSpacing w:val="0"/>
              <w:jc w:val="both"/>
              <w:rPr>
                <w:rFonts w:eastAsia="MS Mincho" w:cs="Times New Roman"/>
                <w:bCs/>
                <w:noProof/>
                <w:szCs w:val="32"/>
              </w:rPr>
            </w:pPr>
            <w:r>
              <w:rPr>
                <w:rFonts w:eastAsia="MS Mincho" w:cs="Times New Roman"/>
                <w:bCs/>
                <w:noProof/>
                <w:szCs w:val="32"/>
              </w:rPr>
              <w:t>3 – Average quote</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heme="minorHAnsi"/>
                <w:noProof/>
                <w:szCs w:val="32"/>
              </w:rPr>
              <w:t>This data is not presented in ISO 20022 messages from T2S.</w:t>
            </w:r>
          </w:p>
          <w:p w:rsidR="00886BC8" w:rsidRDefault="00886BC8" w:rsidP="002F6107">
            <w:pPr>
              <w:spacing w:before="120"/>
              <w:jc w:val="both"/>
              <w:rPr>
                <w:rFonts w:eastAsia="MS Mincho" w:cs="Times New Roman"/>
                <w:noProof/>
                <w:szCs w:val="32"/>
              </w:rPr>
            </w:pPr>
            <w:r>
              <w:rPr>
                <w:rFonts w:eastAsia="MS Mincho" w:cs="Times New Roman"/>
                <w:noProof/>
                <w:szCs w:val="32"/>
              </w:rPr>
              <w:t>It is important to note that purchase prices:</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Must be provided with euro cents in STP messages,</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Must under no circumstance present dots (.) or commas (,) in STP messages, as T2S does only accept numerical characters in this field as indicated in Euroclear data dictionary,</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Are input with 2 decimals in EC4S. the data is then multipled by a factor of 100to be converted in euro cents in STP messages.</w:t>
            </w:r>
          </w:p>
          <w:p w:rsidR="00886BC8" w:rsidRDefault="00886BC8" w:rsidP="002F6107">
            <w:pPr>
              <w:spacing w:before="120"/>
              <w:jc w:val="both"/>
              <w:rPr>
                <w:rFonts w:eastAsia="MS Mincho" w:cs="Times New Roman"/>
                <w:noProof/>
                <w:szCs w:val="32"/>
                <w:lang w:val="it-IT"/>
              </w:rPr>
            </w:pPr>
          </w:p>
          <w:tbl>
            <w:tblPr>
              <w:tblStyle w:val="TableGrid"/>
              <w:tblW w:w="0" w:type="auto"/>
              <w:jc w:val="center"/>
              <w:tblLook w:val="04A0" w:firstRow="1" w:lastRow="0" w:firstColumn="1" w:lastColumn="0" w:noHBand="0" w:noVBand="1"/>
            </w:tblPr>
            <w:tblGrid>
              <w:gridCol w:w="1075"/>
              <w:gridCol w:w="1058"/>
              <w:gridCol w:w="3951"/>
              <w:gridCol w:w="1553"/>
            </w:tblGrid>
            <w:tr w:rsidR="00886BC8" w:rsidRPr="0050662A" w:rsidTr="00437494">
              <w:trPr>
                <w:jc w:val="center"/>
              </w:trPr>
              <w:tc>
                <w:tcPr>
                  <w:tcW w:w="1075" w:type="dxa"/>
                  <w:shd w:val="clear" w:color="auto" w:fill="BFBFBF" w:themeFill="background1" w:themeFillShade="BF"/>
                  <w:vAlign w:val="center"/>
                </w:tcPr>
                <w:p w:rsidR="00886BC8" w:rsidRPr="00003B85" w:rsidRDefault="00886BC8" w:rsidP="00003B85">
                  <w:pPr>
                    <w:framePr w:hSpace="180" w:wrap="around" w:vAnchor="text" w:hAnchor="text" w:xAlign="right" w:y="1"/>
                    <w:suppressOverlap/>
                    <w:jc w:val="center"/>
                    <w:rPr>
                      <w:rFonts w:eastAsia="MS Mincho" w:cstheme="minorHAnsi"/>
                      <w:noProof/>
                      <w:sz w:val="16"/>
                      <w:szCs w:val="16"/>
                    </w:rPr>
                  </w:pPr>
                </w:p>
              </w:tc>
              <w:tc>
                <w:tcPr>
                  <w:tcW w:w="1058" w:type="dxa"/>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951" w:type="dxa"/>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53" w:type="dxa"/>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886BC8" w:rsidRPr="0050662A" w:rsidTr="00437494">
              <w:trPr>
                <w:jc w:val="center"/>
              </w:trPr>
              <w:tc>
                <w:tcPr>
                  <w:tcW w:w="1075" w:type="dxa"/>
                  <w:vMerge w:val="restart"/>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058"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951"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53" w:type="dxa"/>
                  <w:vMerge w:val="restart"/>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 xml:space="preserve">Type of purchase type </w:t>
                  </w:r>
                </w:p>
              </w:tc>
            </w:tr>
            <w:tr w:rsidR="00886BC8" w:rsidRPr="0050662A" w:rsidTr="00437494">
              <w:trPr>
                <w:jc w:val="center"/>
              </w:trPr>
              <w:tc>
                <w:tcPr>
                  <w:tcW w:w="1075" w:type="dxa"/>
                  <w:vMerge/>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p>
              </w:tc>
              <w:tc>
                <w:tcPr>
                  <w:tcW w:w="1058"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:70E::SPRO (TRADDET) + CBL &amp; CBT</w:t>
                  </w:r>
                </w:p>
              </w:tc>
              <w:tc>
                <w:tcPr>
                  <w:tcW w:w="3951"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SettlementInstructionProcessingAdditionalDetails &lt;SttlmInstrPrcgAddtlDtls&gt; + CBL &amp; CBT</w:t>
                  </w:r>
                </w:p>
              </w:tc>
              <w:tc>
                <w:tcPr>
                  <w:tcW w:w="1553" w:type="dxa"/>
                  <w:vMerge/>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p>
              </w:tc>
            </w:tr>
            <w:tr w:rsidR="00886BC8" w:rsidRPr="0050662A" w:rsidTr="00437494">
              <w:trPr>
                <w:jc w:val="center"/>
              </w:trPr>
              <w:tc>
                <w:tcPr>
                  <w:tcW w:w="1075" w:type="dxa"/>
                  <w:vMerge w:val="restart"/>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Pr>
                      <w:rFonts w:eastAsia="MS Mincho" w:cstheme="minorHAnsi"/>
                      <w:noProof/>
                      <w:sz w:val="16"/>
                      <w:szCs w:val="16"/>
                      <w:lang w:val="fr-FR"/>
                    </w:rPr>
                    <w:t>Settlement confirmation</w:t>
                  </w:r>
                </w:p>
              </w:tc>
              <w:tc>
                <w:tcPr>
                  <w:tcW w:w="1058"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951"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553" w:type="dxa"/>
                  <w:vMerge w:val="restart"/>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Type of purchase type</w:t>
                  </w:r>
                </w:p>
              </w:tc>
            </w:tr>
            <w:tr w:rsidR="00886BC8" w:rsidRPr="0050662A" w:rsidTr="00437494">
              <w:trPr>
                <w:jc w:val="center"/>
              </w:trPr>
              <w:tc>
                <w:tcPr>
                  <w:tcW w:w="1075" w:type="dxa"/>
                  <w:vMerge/>
                  <w:shd w:val="clear" w:color="auto" w:fill="BFBFBF" w:themeFill="background1" w:themeFillShade="BF"/>
                </w:tcPr>
                <w:p w:rsidR="00886BC8" w:rsidRPr="0050662A" w:rsidRDefault="00886BC8" w:rsidP="00003B85">
                  <w:pPr>
                    <w:framePr w:hSpace="180" w:wrap="around" w:vAnchor="text" w:hAnchor="text" w:xAlign="right" w:y="1"/>
                    <w:suppressOverlap/>
                    <w:jc w:val="both"/>
                    <w:rPr>
                      <w:rFonts w:eastAsia="MS Mincho" w:cstheme="minorHAnsi"/>
                      <w:noProof/>
                      <w:sz w:val="16"/>
                      <w:szCs w:val="16"/>
                      <w:lang w:val="en-GB"/>
                    </w:rPr>
                  </w:pPr>
                </w:p>
              </w:tc>
              <w:tc>
                <w:tcPr>
                  <w:tcW w:w="1058"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rPr>
                  </w:pPr>
                  <w:r w:rsidRPr="0050662A">
                    <w:rPr>
                      <w:rFonts w:eastAsia="MS Mincho" w:cstheme="minorHAnsi"/>
                      <w:noProof/>
                      <w:sz w:val="16"/>
                      <w:szCs w:val="16"/>
                    </w:rPr>
                    <w:t>:70E::SPRO// + CBL &amp; CBT</w:t>
                  </w:r>
                </w:p>
              </w:tc>
              <w:tc>
                <w:tcPr>
                  <w:tcW w:w="3951"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rPr>
                  </w:pPr>
                  <w:r w:rsidRPr="0050662A">
                    <w:rPr>
                      <w:rFonts w:eastAsia="MS Mincho" w:cstheme="minorHAnsi"/>
                      <w:noProof/>
                      <w:sz w:val="16"/>
                      <w:szCs w:val="16"/>
                    </w:rPr>
                    <w:t>SettlementInstructionProcessingAdditionalDetails &lt;SttlmInstrPrcgAddtlDtls&gt; + CBL &amp; CBT</w:t>
                  </w:r>
                </w:p>
              </w:tc>
              <w:tc>
                <w:tcPr>
                  <w:tcW w:w="1553" w:type="dxa"/>
                  <w:vMerge/>
                </w:tcPr>
                <w:p w:rsidR="00886BC8" w:rsidRPr="0050662A" w:rsidRDefault="00886BC8" w:rsidP="00003B85">
                  <w:pPr>
                    <w:framePr w:hSpace="180" w:wrap="around" w:vAnchor="text" w:hAnchor="text" w:xAlign="right" w:y="1"/>
                    <w:suppressOverlap/>
                    <w:jc w:val="both"/>
                    <w:rPr>
                      <w:rFonts w:eastAsia="MS Mincho" w:cstheme="minorHAnsi"/>
                      <w:noProof/>
                      <w:sz w:val="16"/>
                      <w:szCs w:val="16"/>
                    </w:rPr>
                  </w:pPr>
                </w:p>
              </w:tc>
            </w:tr>
          </w:tbl>
          <w:p w:rsidR="00886BC8" w:rsidRDefault="00886BC8" w:rsidP="00886BC8">
            <w:pPr>
              <w:rPr>
                <w:rFonts w:eastAsia="MS Mincho" w:cstheme="minorHAnsi"/>
                <w:b/>
                <w:noProof/>
                <w:szCs w:val="32"/>
              </w:rPr>
            </w:pPr>
          </w:p>
          <w:p w:rsidR="00886BC8" w:rsidRPr="0050662A" w:rsidRDefault="00886BC8" w:rsidP="00886BC8">
            <w:pPr>
              <w:rPr>
                <w:rFonts w:eastAsia="MS Mincho" w:cstheme="minorHAnsi"/>
                <w:bCs/>
                <w:noProof/>
                <w:szCs w:val="32"/>
              </w:rPr>
            </w:pPr>
            <w:r w:rsidRPr="0050662A">
              <w:rPr>
                <w:rFonts w:eastAsia="MS Mincho" w:cstheme="minorHAnsi"/>
                <w:bCs/>
                <w:noProof/>
                <w:szCs w:val="32"/>
              </w:rPr>
              <w:t>Exemples :</w:t>
            </w:r>
          </w:p>
          <w:tbl>
            <w:tblPr>
              <w:tblStyle w:val="TableGrid"/>
              <w:tblW w:w="7584" w:type="dxa"/>
              <w:tblLook w:val="04A0" w:firstRow="1" w:lastRow="0" w:firstColumn="1" w:lastColumn="0" w:noHBand="0" w:noVBand="1"/>
            </w:tblPr>
            <w:tblGrid>
              <w:gridCol w:w="1057"/>
              <w:gridCol w:w="2738"/>
              <w:gridCol w:w="3581"/>
              <w:gridCol w:w="1374"/>
            </w:tblGrid>
            <w:tr w:rsidR="00886BC8" w:rsidRPr="0050662A" w:rsidTr="00437494">
              <w:trPr>
                <w:trHeight w:val="373"/>
              </w:trPr>
              <w:tc>
                <w:tcPr>
                  <w:tcW w:w="882" w:type="dxa"/>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rPr>
                  </w:pPr>
                </w:p>
              </w:tc>
              <w:tc>
                <w:tcPr>
                  <w:tcW w:w="2463" w:type="dxa"/>
                  <w:shd w:val="clear" w:color="auto" w:fill="BFBFBF" w:themeFill="background1" w:themeFillShade="BF"/>
                  <w:vAlign w:val="center"/>
                </w:tcPr>
                <w:p w:rsidR="00886BC8" w:rsidRPr="00AF7976" w:rsidRDefault="00886BC8" w:rsidP="00003B85">
                  <w:pPr>
                    <w:framePr w:hSpace="180" w:wrap="around" w:vAnchor="text" w:hAnchor="text" w:xAlign="right" w:y="1"/>
                    <w:suppressOverlap/>
                    <w:jc w:val="center"/>
                    <w:rPr>
                      <w:rFonts w:eastAsia="MS Mincho" w:cstheme="minorHAnsi"/>
                      <w:noProof/>
                      <w:sz w:val="16"/>
                      <w:szCs w:val="16"/>
                      <w:lang w:val="en-GB"/>
                    </w:rPr>
                  </w:pPr>
                  <w:r w:rsidRPr="00AF7976">
                    <w:rPr>
                      <w:rFonts w:eastAsia="MS Mincho" w:cstheme="minorHAnsi"/>
                      <w:noProof/>
                      <w:sz w:val="16"/>
                      <w:szCs w:val="16"/>
                      <w:lang w:val="en-GB"/>
                    </w:rPr>
                    <w:t>ISO 15022</w:t>
                  </w:r>
                </w:p>
              </w:tc>
              <w:tc>
                <w:tcPr>
                  <w:tcW w:w="3123" w:type="dxa"/>
                  <w:shd w:val="clear" w:color="auto" w:fill="BFBFBF" w:themeFill="background1" w:themeFillShade="BF"/>
                  <w:vAlign w:val="center"/>
                </w:tcPr>
                <w:p w:rsidR="00886BC8" w:rsidRPr="00AF7976" w:rsidRDefault="00886BC8" w:rsidP="00003B85">
                  <w:pPr>
                    <w:framePr w:hSpace="180" w:wrap="around" w:vAnchor="text" w:hAnchor="text" w:xAlign="right" w:y="1"/>
                    <w:suppressOverlap/>
                    <w:jc w:val="center"/>
                    <w:rPr>
                      <w:rFonts w:eastAsia="MS Mincho" w:cstheme="minorHAnsi"/>
                      <w:noProof/>
                      <w:sz w:val="16"/>
                      <w:szCs w:val="16"/>
                      <w:lang w:val="en-GB"/>
                    </w:rPr>
                  </w:pPr>
                  <w:r w:rsidRPr="00AF7976">
                    <w:rPr>
                      <w:rFonts w:eastAsia="MS Mincho" w:cstheme="minorHAnsi"/>
                      <w:noProof/>
                      <w:sz w:val="16"/>
                      <w:szCs w:val="16"/>
                      <w:lang w:val="en-GB"/>
                    </w:rPr>
                    <w:t>ISO 20022 via Euroclear</w:t>
                  </w:r>
                </w:p>
              </w:tc>
              <w:tc>
                <w:tcPr>
                  <w:tcW w:w="1116" w:type="dxa"/>
                  <w:shd w:val="clear" w:color="auto" w:fill="BFBFBF" w:themeFill="background1" w:themeFillShade="BF"/>
                  <w:vAlign w:val="center"/>
                </w:tcPr>
                <w:p w:rsidR="00886BC8" w:rsidRPr="00AF7976" w:rsidRDefault="00886BC8" w:rsidP="00003B85">
                  <w:pPr>
                    <w:framePr w:hSpace="180" w:wrap="around" w:vAnchor="text" w:hAnchor="text" w:xAlign="right" w:y="1"/>
                    <w:suppressOverlap/>
                    <w:jc w:val="center"/>
                    <w:rPr>
                      <w:rFonts w:eastAsia="MS Mincho" w:cstheme="minorHAnsi"/>
                      <w:noProof/>
                      <w:sz w:val="16"/>
                      <w:szCs w:val="16"/>
                      <w:lang w:val="en-GB"/>
                    </w:rPr>
                  </w:pPr>
                  <w:r w:rsidRPr="00AF7976">
                    <w:rPr>
                      <w:rFonts w:eastAsia="MS Mincho" w:cstheme="minorHAnsi"/>
                      <w:noProof/>
                      <w:sz w:val="16"/>
                      <w:szCs w:val="16"/>
                      <w:lang w:val="en-GB"/>
                    </w:rPr>
                    <w:t>EuroclearConnect</w:t>
                  </w:r>
                </w:p>
              </w:tc>
            </w:tr>
            <w:tr w:rsidR="00886BC8" w:rsidRPr="0050662A" w:rsidTr="00437494">
              <w:trPr>
                <w:trHeight w:val="172"/>
              </w:trPr>
              <w:tc>
                <w:tcPr>
                  <w:tcW w:w="882" w:type="dxa"/>
                  <w:vMerge w:val="restart"/>
                  <w:shd w:val="clear" w:color="auto" w:fill="BFBFBF" w:themeFill="background1" w:themeFillShade="BF"/>
                  <w:vAlign w:val="center"/>
                </w:tcPr>
                <w:p w:rsidR="00886BC8" w:rsidRPr="00AF7976" w:rsidRDefault="00886BC8" w:rsidP="00003B85">
                  <w:pPr>
                    <w:framePr w:hSpace="180" w:wrap="around" w:vAnchor="text" w:hAnchor="text" w:xAlign="right" w:y="1"/>
                    <w:suppressOverlap/>
                    <w:jc w:val="center"/>
                    <w:rPr>
                      <w:rFonts w:eastAsia="MS Mincho" w:cstheme="minorHAnsi"/>
                      <w:noProof/>
                      <w:sz w:val="16"/>
                      <w:szCs w:val="16"/>
                      <w:lang w:val="en-GB"/>
                    </w:rPr>
                  </w:pPr>
                  <w:r w:rsidRPr="00AF7976">
                    <w:rPr>
                      <w:rFonts w:eastAsia="MS Mincho" w:cstheme="minorHAnsi"/>
                      <w:noProof/>
                      <w:sz w:val="16"/>
                      <w:szCs w:val="16"/>
                      <w:lang w:val="en-GB"/>
                    </w:rPr>
                    <w:t>instruction</w:t>
                  </w:r>
                </w:p>
              </w:tc>
              <w:tc>
                <w:tcPr>
                  <w:tcW w:w="2463" w:type="dxa"/>
                  <w:vAlign w:val="center"/>
                </w:tcPr>
                <w:p w:rsidR="00886BC8" w:rsidRPr="00AF7976" w:rsidRDefault="00886BC8" w:rsidP="00003B85">
                  <w:pPr>
                    <w:framePr w:hSpace="180" w:wrap="around" w:vAnchor="text" w:hAnchor="text" w:xAlign="right" w:y="1"/>
                    <w:suppressOverlap/>
                    <w:jc w:val="center"/>
                    <w:rPr>
                      <w:rFonts w:eastAsia="MS Mincho" w:cstheme="minorHAnsi"/>
                      <w:noProof/>
                      <w:sz w:val="16"/>
                      <w:szCs w:val="16"/>
                      <w:lang w:val="en-GB"/>
                    </w:rPr>
                  </w:pPr>
                  <w:r w:rsidRPr="00AF7976">
                    <w:rPr>
                      <w:rFonts w:eastAsia="MS Mincho" w:cstheme="minorHAnsi"/>
                      <w:noProof/>
                      <w:sz w:val="16"/>
                      <w:szCs w:val="16"/>
                      <w:lang w:val="en-GB"/>
                    </w:rPr>
                    <w:t>MT 542</w:t>
                  </w:r>
                </w:p>
              </w:tc>
              <w:tc>
                <w:tcPr>
                  <w:tcW w:w="3123" w:type="dxa"/>
                  <w:vAlign w:val="center"/>
                </w:tcPr>
                <w:p w:rsidR="00886BC8" w:rsidRPr="00AF7976" w:rsidRDefault="00886BC8" w:rsidP="00003B85">
                  <w:pPr>
                    <w:framePr w:hSpace="180" w:wrap="around" w:vAnchor="text" w:hAnchor="text" w:xAlign="right" w:y="1"/>
                    <w:suppressOverlap/>
                    <w:jc w:val="center"/>
                    <w:rPr>
                      <w:rFonts w:eastAsia="MS Mincho" w:cstheme="minorHAnsi"/>
                      <w:noProof/>
                      <w:sz w:val="16"/>
                      <w:szCs w:val="16"/>
                      <w:lang w:val="en-GB"/>
                    </w:rPr>
                  </w:pPr>
                  <w:r w:rsidRPr="00AF7976">
                    <w:rPr>
                      <w:rFonts w:eastAsia="MS Mincho" w:cstheme="minorHAnsi"/>
                      <w:noProof/>
                      <w:sz w:val="16"/>
                      <w:szCs w:val="16"/>
                      <w:lang w:val="en-GB"/>
                    </w:rPr>
                    <w:t>Sese.023</w:t>
                  </w:r>
                </w:p>
              </w:tc>
              <w:tc>
                <w:tcPr>
                  <w:tcW w:w="1116" w:type="dxa"/>
                  <w:vMerge w:val="restart"/>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 xml:space="preserve">Type of purchase type </w:t>
                  </w:r>
                </w:p>
              </w:tc>
            </w:tr>
            <w:tr w:rsidR="00886BC8" w:rsidRPr="00003B85" w:rsidTr="00437494">
              <w:trPr>
                <w:trHeight w:val="947"/>
              </w:trPr>
              <w:tc>
                <w:tcPr>
                  <w:tcW w:w="882" w:type="dxa"/>
                  <w:vMerge/>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p>
              </w:tc>
              <w:tc>
                <w:tcPr>
                  <w:tcW w:w="2463"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:70E:</w:t>
                  </w:r>
                  <w:r>
                    <w:rPr>
                      <w:rFonts w:eastAsia="MS Mincho" w:cstheme="minorHAnsi"/>
                      <w:noProof/>
                      <w:sz w:val="16"/>
                      <w:szCs w:val="16"/>
                      <w:lang w:val="it-IT"/>
                    </w:rPr>
                    <w:t>:SPRO//CBL/12345678901234563</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:70E::SPRO//CBT/1</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p>
              </w:tc>
              <w:tc>
                <w:tcPr>
                  <w:tcW w:w="3123"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Pr>
                      <w:rFonts w:eastAsia="MS Mincho" w:cstheme="minorHAnsi"/>
                      <w:noProof/>
                      <w:sz w:val="16"/>
                      <w:szCs w:val="16"/>
                      <w:lang w:val="it-IT"/>
                    </w:rPr>
                    <w:t>CBL/12345678901234563</w:t>
                  </w:r>
                  <w:r w:rsidRPr="0050662A">
                    <w:rPr>
                      <w:rFonts w:eastAsia="MS Mincho" w:cstheme="minorHAnsi"/>
                      <w:noProof/>
                      <w:sz w:val="16"/>
                      <w:szCs w:val="16"/>
                      <w:lang w:val="it-IT"/>
                    </w:rPr>
                    <w:t>&lt;SttlmInstrPrcgAddtlDtls&gt;</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sidRPr="0050662A">
                    <w:rPr>
                      <w:rFonts w:eastAsia="MS Mincho" w:cstheme="minorHAnsi"/>
                      <w:noProof/>
                      <w:sz w:val="16"/>
                      <w:szCs w:val="16"/>
                      <w:lang w:val="it-IT"/>
                    </w:rPr>
                    <w:t>CBT/1&lt;SttlmInstrPrcgAddtlDtls&gt;</w:t>
                  </w:r>
                </w:p>
              </w:tc>
              <w:tc>
                <w:tcPr>
                  <w:tcW w:w="1116" w:type="dxa"/>
                  <w:vMerge/>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p>
              </w:tc>
            </w:tr>
            <w:tr w:rsidR="00886BC8" w:rsidRPr="0050662A" w:rsidTr="00437494">
              <w:trPr>
                <w:trHeight w:val="186"/>
              </w:trPr>
              <w:tc>
                <w:tcPr>
                  <w:tcW w:w="882" w:type="dxa"/>
                  <w:vMerge w:val="restart"/>
                  <w:shd w:val="clear" w:color="auto" w:fill="BFBFBF" w:themeFill="background1" w:themeFillShade="BF"/>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Pr>
                      <w:rFonts w:eastAsia="MS Mincho" w:cstheme="minorHAnsi"/>
                      <w:noProof/>
                      <w:sz w:val="16"/>
                      <w:szCs w:val="16"/>
                      <w:lang w:val="fr-FR"/>
                    </w:rPr>
                    <w:t>Settlement confirmation</w:t>
                  </w:r>
                </w:p>
              </w:tc>
              <w:tc>
                <w:tcPr>
                  <w:tcW w:w="2463"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123"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116" w:type="dxa"/>
                  <w:vMerge w:val="restart"/>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en-GB"/>
                    </w:rPr>
                  </w:pPr>
                  <w:r w:rsidRPr="0050662A">
                    <w:rPr>
                      <w:rFonts w:eastAsia="MS Mincho" w:cstheme="minorHAnsi"/>
                      <w:noProof/>
                      <w:sz w:val="16"/>
                      <w:szCs w:val="16"/>
                      <w:lang w:val="en-GB"/>
                    </w:rPr>
                    <w:t>Type of purchase type</w:t>
                  </w:r>
                </w:p>
              </w:tc>
            </w:tr>
            <w:tr w:rsidR="00886BC8" w:rsidRPr="00003B85" w:rsidTr="00437494">
              <w:trPr>
                <w:trHeight w:val="947"/>
              </w:trPr>
              <w:tc>
                <w:tcPr>
                  <w:tcW w:w="882" w:type="dxa"/>
                  <w:vMerge/>
                  <w:shd w:val="clear" w:color="auto" w:fill="BFBFBF" w:themeFill="background1" w:themeFillShade="BF"/>
                </w:tcPr>
                <w:p w:rsidR="00886BC8" w:rsidRPr="0050662A" w:rsidRDefault="00886BC8" w:rsidP="00003B85">
                  <w:pPr>
                    <w:framePr w:hSpace="180" w:wrap="around" w:vAnchor="text" w:hAnchor="text" w:xAlign="right" w:y="1"/>
                    <w:suppressOverlap/>
                    <w:jc w:val="both"/>
                    <w:rPr>
                      <w:rFonts w:eastAsia="MS Mincho" w:cstheme="minorHAnsi"/>
                      <w:noProof/>
                      <w:sz w:val="16"/>
                      <w:szCs w:val="16"/>
                      <w:lang w:val="en-GB"/>
                    </w:rPr>
                  </w:pPr>
                </w:p>
              </w:tc>
              <w:tc>
                <w:tcPr>
                  <w:tcW w:w="2463"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:70E:</w:t>
                  </w:r>
                  <w:r>
                    <w:rPr>
                      <w:rFonts w:eastAsia="MS Mincho" w:cstheme="minorHAnsi"/>
                      <w:noProof/>
                      <w:sz w:val="16"/>
                      <w:szCs w:val="16"/>
                      <w:lang w:val="it-IT"/>
                    </w:rPr>
                    <w:t>:SPRO//CBL/12345678901234563</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:70E::SPRO//CBT/1</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p>
              </w:tc>
              <w:tc>
                <w:tcPr>
                  <w:tcW w:w="3123" w:type="dxa"/>
                  <w:vAlign w:val="center"/>
                </w:tcPr>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Pr>
                      <w:rFonts w:eastAsia="MS Mincho" w:cstheme="minorHAnsi"/>
                      <w:noProof/>
                      <w:sz w:val="16"/>
                      <w:szCs w:val="16"/>
                      <w:lang w:val="it-IT"/>
                    </w:rPr>
                    <w:t>CBL/12345678901234563</w:t>
                  </w:r>
                  <w:r w:rsidRPr="0050662A">
                    <w:rPr>
                      <w:rFonts w:eastAsia="MS Mincho" w:cstheme="minorHAnsi"/>
                      <w:noProof/>
                      <w:sz w:val="16"/>
                      <w:szCs w:val="16"/>
                      <w:lang w:val="it-IT"/>
                    </w:rPr>
                    <w:t>&lt;SttlmInstrPrcgAddtlDtls&gt;</w:t>
                  </w:r>
                </w:p>
                <w:p w:rsidR="00886BC8" w:rsidRPr="0050662A" w:rsidRDefault="00886BC8" w:rsidP="00003B85">
                  <w:pPr>
                    <w:framePr w:hSpace="180" w:wrap="around" w:vAnchor="text" w:hAnchor="text" w:xAlign="right" w:y="1"/>
                    <w:suppressOverlap/>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sidRPr="0050662A">
                    <w:rPr>
                      <w:rFonts w:eastAsia="MS Mincho" w:cstheme="minorHAnsi"/>
                      <w:noProof/>
                      <w:sz w:val="16"/>
                      <w:szCs w:val="16"/>
                      <w:lang w:val="it-IT"/>
                    </w:rPr>
                    <w:t>CBT/1&lt;SttlmInstrPrcgAddtlDtls&gt;</w:t>
                  </w:r>
                </w:p>
              </w:tc>
              <w:tc>
                <w:tcPr>
                  <w:tcW w:w="1116" w:type="dxa"/>
                  <w:vMerge/>
                </w:tcPr>
                <w:p w:rsidR="00886BC8" w:rsidRPr="0050662A" w:rsidRDefault="00886BC8" w:rsidP="00003B85">
                  <w:pPr>
                    <w:framePr w:hSpace="180" w:wrap="around" w:vAnchor="text" w:hAnchor="text" w:xAlign="right" w:y="1"/>
                    <w:suppressOverlap/>
                    <w:jc w:val="both"/>
                    <w:rPr>
                      <w:rFonts w:eastAsia="MS Mincho" w:cstheme="minorHAnsi"/>
                      <w:noProof/>
                      <w:sz w:val="16"/>
                      <w:szCs w:val="16"/>
                      <w:lang w:val="it-IT"/>
                    </w:rPr>
                  </w:pPr>
                </w:p>
              </w:tc>
            </w:tr>
          </w:tbl>
          <w:p w:rsidR="00886BC8" w:rsidRPr="0050662A" w:rsidRDefault="00886BC8" w:rsidP="00886BC8">
            <w:pPr>
              <w:rPr>
                <w:rFonts w:eastAsia="MS Mincho" w:cstheme="minorHAnsi"/>
                <w:b/>
                <w:noProof/>
                <w:szCs w:val="32"/>
                <w:lang w:val="it-IT"/>
              </w:rPr>
            </w:pPr>
          </w:p>
          <w:p w:rsidR="00886BC8" w:rsidRPr="00886BC8" w:rsidRDefault="00886BC8" w:rsidP="002F6107">
            <w:pPr>
              <w:spacing w:before="120"/>
              <w:jc w:val="both"/>
              <w:rPr>
                <w:rFonts w:eastAsia="MS Mincho" w:cs="Times New Roman"/>
                <w:b/>
                <w:noProof/>
                <w:szCs w:val="32"/>
                <w:u w:val="single"/>
                <w:lang w:val="it-IT"/>
              </w:rPr>
            </w:pPr>
            <w:r w:rsidRPr="00886BC8">
              <w:rPr>
                <w:rFonts w:eastAsia="MS Mincho" w:cs="Times New Roman"/>
                <w:b/>
                <w:noProof/>
                <w:szCs w:val="32"/>
                <w:u w:val="single"/>
                <w:lang w:val="it-IT"/>
              </w:rPr>
              <w:t>Additional elements/references:</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sidRPr="00361A2F">
              <w:rPr>
                <w:rFonts w:eastAsia="MS Mincho" w:cs="Times New Roman"/>
                <w:bCs/>
                <w:noProof/>
                <w:szCs w:val="32"/>
              </w:rPr>
              <w:t xml:space="preserve">A </w:t>
            </w:r>
            <w:r>
              <w:rPr>
                <w:rFonts w:eastAsia="MS Mincho" w:cs="Times New Roman"/>
                <w:bCs/>
                <w:noProof/>
                <w:szCs w:val="32"/>
              </w:rPr>
              <w:t xml:space="preserve">specific </w:t>
            </w:r>
            <w:r w:rsidRPr="00361A2F">
              <w:rPr>
                <w:rFonts w:eastAsia="MS Mincho" w:cs="Times New Roman"/>
                <w:bCs/>
                <w:noProof/>
                <w:szCs w:val="32"/>
              </w:rPr>
              <w:t xml:space="preserve">screen </w:t>
            </w:r>
            <w:r>
              <w:rPr>
                <w:rFonts w:eastAsia="MS Mincho" w:cs="Times New Roman"/>
                <w:bCs/>
                <w:noProof/>
                <w:szCs w:val="32"/>
              </w:rPr>
              <w:t>will allow</w:t>
            </w:r>
            <w:r w:rsidRPr="00361A2F">
              <w:rPr>
                <w:rFonts w:eastAsia="MS Mincho" w:cs="Times New Roman"/>
                <w:bCs/>
                <w:noProof/>
                <w:szCs w:val="32"/>
              </w:rPr>
              <w:t xml:space="preserve"> the mass-input of Free of Payment without Matching instructions on multiple</w:t>
            </w:r>
            <w:r>
              <w:rPr>
                <w:rFonts w:eastAsia="MS Mincho" w:cs="Times New Roman"/>
                <w:bCs/>
                <w:noProof/>
                <w:szCs w:val="32"/>
              </w:rPr>
              <w:t xml:space="preserve"> ISIN codes</w:t>
            </w:r>
            <w:r w:rsidR="00003B85">
              <w:rPr>
                <w:rFonts w:eastAsia="MS Mincho" w:cs="Times New Roman"/>
                <w:bCs/>
                <w:noProof/>
                <w:szCs w:val="32"/>
              </w:rPr>
              <w:t>.</w:t>
            </w:r>
          </w:p>
          <w:p w:rsidR="00886BC8" w:rsidRDefault="00886BC8"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A change request is under ongoing analysis to use this functionality </w:t>
            </w:r>
            <w:r w:rsidR="00D841B6">
              <w:rPr>
                <w:rFonts w:eastAsia="MS Mincho" w:cs="Times New Roman"/>
                <w:bCs/>
                <w:noProof/>
                <w:szCs w:val="32"/>
              </w:rPr>
              <w:t>with the indication of the date of purchase on the mass-input screen.</w:t>
            </w:r>
          </w:p>
          <w:p w:rsidR="00D841B6" w:rsidRPr="00361A2F" w:rsidRDefault="00D841B6" w:rsidP="00886BC8">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mass-input screen will not allow for multiple ISIN codes with different purchaes prices.</w:t>
            </w:r>
          </w:p>
          <w:p w:rsidR="00886BC8" w:rsidRPr="00886BC8" w:rsidRDefault="00886BC8" w:rsidP="002F6107">
            <w:pPr>
              <w:spacing w:before="120"/>
              <w:jc w:val="both"/>
              <w:rPr>
                <w:rFonts w:eastAsia="MS Mincho" w:cs="Times New Roman"/>
                <w:noProof/>
                <w:szCs w:val="32"/>
                <w:lang w:val="it-IT"/>
              </w:rPr>
            </w:pPr>
          </w:p>
          <w:p w:rsidR="0041767E" w:rsidRPr="00ED03B1" w:rsidRDefault="0041767E" w:rsidP="00361A2F">
            <w:pPr>
              <w:jc w:val="both"/>
              <w:rPr>
                <w:rFonts w:eastAsia="MS Mincho" w:cs="Times New Roman"/>
                <w:b/>
                <w:noProof/>
                <w:szCs w:val="32"/>
                <w:u w:val="single"/>
              </w:rPr>
            </w:pPr>
            <w:r w:rsidRPr="00ED03B1">
              <w:rPr>
                <w:rFonts w:eastAsia="MS Mincho" w:cs="Times New Roman"/>
                <w:b/>
                <w:noProof/>
                <w:szCs w:val="32"/>
                <w:u w:val="single"/>
              </w:rPr>
              <w:t>Alternative:</w:t>
            </w:r>
          </w:p>
          <w:p w:rsidR="00B078B8" w:rsidRPr="00D841B6" w:rsidRDefault="00664ACE" w:rsidP="00D841B6">
            <w:pPr>
              <w:spacing w:before="120"/>
              <w:jc w:val="both"/>
              <w:rPr>
                <w:rFonts w:eastAsia="MS Mincho" w:cs="Times New Roman"/>
                <w:noProof/>
                <w:szCs w:val="32"/>
              </w:rPr>
            </w:pPr>
            <w:r>
              <w:rPr>
                <w:rFonts w:eastAsia="MS Mincho" w:cs="Times New Roman"/>
                <w:noProof/>
                <w:szCs w:val="32"/>
              </w:rPr>
              <w:t xml:space="preserve">As an exception, the custodian </w:t>
            </w:r>
            <w:r w:rsidR="00B078B8">
              <w:rPr>
                <w:rFonts w:eastAsia="MS Mincho" w:cs="Times New Roman"/>
                <w:noProof/>
                <w:szCs w:val="32"/>
              </w:rPr>
              <w:t>can</w:t>
            </w:r>
            <w:r w:rsidR="00D841B6">
              <w:rPr>
                <w:rFonts w:eastAsia="MS Mincho" w:cs="Times New Roman"/>
                <w:noProof/>
                <w:szCs w:val="32"/>
              </w:rPr>
              <w:t xml:space="preserve"> </w:t>
            </w:r>
            <w:r w:rsidRPr="00D841B6">
              <w:rPr>
                <w:rFonts w:eastAsia="MS Mincho" w:cs="Times New Roman"/>
                <w:bCs/>
                <w:noProof/>
                <w:szCs w:val="32"/>
              </w:rPr>
              <w:t xml:space="preserve">send an instruction in T2S with the instruction type ‘OWNI’ when both counterparties </w:t>
            </w:r>
            <w:r w:rsidR="00B078B8" w:rsidRPr="00D841B6">
              <w:rPr>
                <w:rFonts w:eastAsia="MS Mincho" w:cs="Times New Roman"/>
                <w:bCs/>
                <w:noProof/>
                <w:szCs w:val="32"/>
              </w:rPr>
              <w:t>use the same institution code, or</w:t>
            </w:r>
            <w:r w:rsidR="00D841B6" w:rsidRPr="00D841B6">
              <w:rPr>
                <w:rFonts w:eastAsia="MS Mincho" w:cs="Times New Roman"/>
                <w:bCs/>
                <w:noProof/>
                <w:szCs w:val="32"/>
              </w:rPr>
              <w:t xml:space="preserve"> use different institution codes but the delivering agent has a privilege on the institution code of the counteparty.</w:t>
            </w:r>
          </w:p>
          <w:p w:rsidR="0041767E" w:rsidRPr="00B078B8" w:rsidRDefault="00B078B8" w:rsidP="00361A2F">
            <w:pPr>
              <w:spacing w:before="120"/>
              <w:jc w:val="both"/>
              <w:rPr>
                <w:rFonts w:eastAsia="MS Mincho" w:cs="Times New Roman"/>
                <w:noProof/>
                <w:szCs w:val="32"/>
              </w:rPr>
            </w:pPr>
            <w:r w:rsidRPr="00B078B8">
              <w:rPr>
                <w:rFonts w:eastAsia="MS Mincho" w:cs="Times New Roman"/>
                <w:noProof/>
                <w:szCs w:val="32"/>
              </w:rPr>
              <w:t>In this case, the transfer of securities will be operated using standard ‘already matched’ instructions.</w:t>
            </w:r>
          </w:p>
          <w:p w:rsidR="00AA1FDB" w:rsidRPr="00D841B6" w:rsidRDefault="00B078B8" w:rsidP="00D841B6">
            <w:pPr>
              <w:spacing w:before="120"/>
              <w:jc w:val="both"/>
              <w:rPr>
                <w:rFonts w:eastAsia="MS Mincho" w:cs="Times New Roman"/>
                <w:noProof/>
                <w:szCs w:val="32"/>
              </w:rPr>
            </w:pPr>
            <w:r>
              <w:rPr>
                <w:rFonts w:eastAsia="MS Mincho" w:cs="Times New Roman"/>
                <w:noProof/>
                <w:szCs w:val="32"/>
              </w:rPr>
              <w:t>For al</w:t>
            </w:r>
            <w:r w:rsidR="00ED03B1">
              <w:rPr>
                <w:rFonts w:eastAsia="MS Mincho" w:cs="Times New Roman"/>
                <w:noProof/>
                <w:szCs w:val="32"/>
              </w:rPr>
              <w:t>l other question on the managem</w:t>
            </w:r>
            <w:r>
              <w:rPr>
                <w:rFonts w:eastAsia="MS Mincho" w:cs="Times New Roman"/>
                <w:noProof/>
                <w:szCs w:val="32"/>
              </w:rPr>
              <w:t>e</w:t>
            </w:r>
            <w:r w:rsidR="00ED03B1">
              <w:rPr>
                <w:rFonts w:eastAsia="MS Mincho" w:cs="Times New Roman"/>
                <w:noProof/>
                <w:szCs w:val="32"/>
              </w:rPr>
              <w:t>n</w:t>
            </w:r>
            <w:r>
              <w:rPr>
                <w:rFonts w:eastAsia="MS Mincho" w:cs="Times New Roman"/>
                <w:noProof/>
                <w:szCs w:val="32"/>
              </w:rPr>
              <w:t>t and reporting of these instructions, please refer to Euroclear’s ‘</w:t>
            </w:r>
            <w:r w:rsidRPr="00B078B8">
              <w:rPr>
                <w:rFonts w:eastAsia="MS Mincho" w:cs="Times New Roman"/>
                <w:noProof/>
                <w:szCs w:val="32"/>
              </w:rPr>
              <w:t>ESES matching and settlement</w:t>
            </w:r>
            <w:r>
              <w:rPr>
                <w:rFonts w:eastAsia="MS Mincho" w:cs="Times New Roman"/>
                <w:noProof/>
                <w:szCs w:val="32"/>
              </w:rPr>
              <w:t>’ D</w:t>
            </w:r>
            <w:r w:rsidR="00122E6A">
              <w:rPr>
                <w:rFonts w:eastAsia="MS Mincho" w:cs="Times New Roman"/>
                <w:noProof/>
                <w:szCs w:val="32"/>
              </w:rPr>
              <w:t>etai</w:t>
            </w:r>
            <w:r>
              <w:rPr>
                <w:rFonts w:eastAsia="MS Mincho" w:cs="Times New Roman"/>
                <w:noProof/>
                <w:szCs w:val="32"/>
              </w:rPr>
              <w:t>l</w:t>
            </w:r>
            <w:r w:rsidR="00122E6A">
              <w:rPr>
                <w:rFonts w:eastAsia="MS Mincho" w:cs="Times New Roman"/>
                <w:noProof/>
                <w:szCs w:val="32"/>
              </w:rPr>
              <w:t>e</w:t>
            </w:r>
            <w:r>
              <w:rPr>
                <w:rFonts w:eastAsia="MS Mincho" w:cs="Times New Roman"/>
                <w:noProof/>
                <w:szCs w:val="32"/>
              </w:rPr>
              <w:t>d Service Description.</w:t>
            </w:r>
            <w:r w:rsidR="00D841B6">
              <w:rPr>
                <w:rFonts w:eastAsia="MS Mincho" w:cs="Times New Roman"/>
                <w:noProof/>
                <w:szCs w:val="32"/>
              </w:rPr>
              <w:t xml:space="preserve"> To be noted that some data in the instruction will not be presented in the reporting, on the contrary to an ‘OWNE’ instruction.</w:t>
            </w:r>
          </w:p>
        </w:tc>
      </w:tr>
      <w:tr w:rsidR="0081511D" w:rsidRPr="00C8237A" w:rsidTr="00361A2F">
        <w:tc>
          <w:tcPr>
            <w:tcW w:w="1595" w:type="dxa"/>
            <w:tcBorders>
              <w:left w:val="nil"/>
              <w:right w:val="nil"/>
            </w:tcBorders>
            <w:shd w:val="clear" w:color="auto" w:fill="auto"/>
          </w:tcPr>
          <w:p w:rsidR="0081511D" w:rsidRPr="00C8237A" w:rsidRDefault="0081511D" w:rsidP="00361A2F">
            <w:pPr>
              <w:rPr>
                <w:rFonts w:eastAsia="MS Mincho" w:cs="Times New Roman"/>
                <w:b/>
                <w:noProof/>
                <w:szCs w:val="32"/>
              </w:rPr>
            </w:pPr>
          </w:p>
        </w:tc>
        <w:tc>
          <w:tcPr>
            <w:tcW w:w="8159" w:type="dxa"/>
            <w:tcBorders>
              <w:left w:val="nil"/>
              <w:right w:val="nil"/>
            </w:tcBorders>
            <w:shd w:val="clear" w:color="auto" w:fill="auto"/>
          </w:tcPr>
          <w:p w:rsidR="0081511D" w:rsidRPr="00C8237A" w:rsidRDefault="0081511D" w:rsidP="00361A2F">
            <w:pPr>
              <w:rPr>
                <w:rFonts w:eastAsia="MS Mincho" w:cs="Times New Roman"/>
                <w:b/>
                <w:noProof/>
                <w:szCs w:val="32"/>
              </w:rPr>
            </w:pPr>
          </w:p>
        </w:tc>
      </w:tr>
      <w:tr w:rsidR="000C4CA6" w:rsidTr="00361A2F">
        <w:tc>
          <w:tcPr>
            <w:tcW w:w="1595" w:type="dxa"/>
            <w:tcBorders>
              <w:bottom w:val="single" w:sz="4" w:space="0" w:color="auto"/>
            </w:tcBorders>
            <w:shd w:val="clear" w:color="auto" w:fill="BFBFBF" w:themeFill="background1" w:themeFillShade="BF"/>
          </w:tcPr>
          <w:p w:rsidR="000C4CA6" w:rsidRPr="003348A6" w:rsidRDefault="000C4CA6" w:rsidP="00361A2F">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0C4CA6" w:rsidRPr="00D103DA" w:rsidRDefault="000C4CA6" w:rsidP="00361A2F">
            <w:pPr>
              <w:rPr>
                <w:rFonts w:eastAsia="MS Mincho" w:cs="Times New Roman"/>
                <w:b/>
                <w:noProof/>
                <w:szCs w:val="32"/>
                <w:lang w:val="fr-FR"/>
              </w:rPr>
            </w:pPr>
            <w:r>
              <w:rPr>
                <w:rFonts w:eastAsia="MS Mincho" w:cs="Times New Roman"/>
                <w:b/>
                <w:noProof/>
                <w:szCs w:val="32"/>
                <w:lang w:val="fr-FR"/>
              </w:rPr>
              <w:t>(OPTIONAL)</w:t>
            </w:r>
          </w:p>
        </w:tc>
        <w:tc>
          <w:tcPr>
            <w:tcW w:w="8159" w:type="dxa"/>
            <w:tcBorders>
              <w:bottom w:val="single" w:sz="4" w:space="0" w:color="auto"/>
            </w:tcBorders>
          </w:tcPr>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tc>
      </w:tr>
      <w:tr w:rsidR="000C4CA6" w:rsidTr="00361A2F">
        <w:tc>
          <w:tcPr>
            <w:tcW w:w="1595" w:type="dxa"/>
            <w:tcBorders>
              <w:left w:val="nil"/>
              <w:right w:val="nil"/>
            </w:tcBorders>
            <w:shd w:val="clear" w:color="auto" w:fill="FFFFFF" w:themeFill="background1"/>
          </w:tcPr>
          <w:p w:rsidR="000C4CA6" w:rsidRDefault="000C4CA6" w:rsidP="00361A2F">
            <w:pPr>
              <w:rPr>
                <w:rFonts w:eastAsia="MS Mincho" w:cs="Times New Roman"/>
                <w:b/>
                <w:noProof/>
                <w:szCs w:val="32"/>
                <w:lang w:val="fr-FR"/>
              </w:rPr>
            </w:pPr>
          </w:p>
        </w:tc>
        <w:tc>
          <w:tcPr>
            <w:tcW w:w="8159" w:type="dxa"/>
            <w:tcBorders>
              <w:left w:val="nil"/>
              <w:bottom w:val="single" w:sz="4" w:space="0" w:color="auto"/>
              <w:right w:val="nil"/>
            </w:tcBorders>
            <w:shd w:val="clear" w:color="auto" w:fill="FFFFFF" w:themeFill="background1"/>
          </w:tcPr>
          <w:p w:rsidR="000C4CA6" w:rsidRDefault="000C4CA6" w:rsidP="00361A2F">
            <w:pPr>
              <w:rPr>
                <w:rFonts w:eastAsia="MS Mincho" w:cs="Times New Roman"/>
                <w:noProof/>
                <w:szCs w:val="32"/>
                <w:lang w:val="fr-FR"/>
              </w:rPr>
            </w:pPr>
          </w:p>
        </w:tc>
      </w:tr>
      <w:tr w:rsidR="000C4CA6" w:rsidTr="00361A2F">
        <w:tc>
          <w:tcPr>
            <w:tcW w:w="1595" w:type="dxa"/>
            <w:shd w:val="clear" w:color="auto" w:fill="BFBFBF" w:themeFill="background1" w:themeFillShade="BF"/>
          </w:tcPr>
          <w:p w:rsidR="000C4CA6" w:rsidRDefault="000C4CA6" w:rsidP="00361A2F">
            <w:pPr>
              <w:rPr>
                <w:rFonts w:eastAsia="MS Mincho" w:cs="Times New Roman"/>
                <w:b/>
                <w:noProof/>
                <w:szCs w:val="32"/>
                <w:lang w:val="fr-FR"/>
              </w:rPr>
            </w:pPr>
            <w:r>
              <w:rPr>
                <w:rFonts w:eastAsia="MS Mincho" w:cs="Times New Roman"/>
                <w:b/>
                <w:noProof/>
                <w:szCs w:val="32"/>
                <w:lang w:val="fr-FR"/>
              </w:rPr>
              <w:t>Workflows</w:t>
            </w:r>
          </w:p>
          <w:p w:rsidR="000C4CA6" w:rsidRDefault="000C4CA6" w:rsidP="00361A2F">
            <w:pPr>
              <w:rPr>
                <w:rFonts w:eastAsia="MS Mincho" w:cs="Times New Roman"/>
                <w:b/>
                <w:noProof/>
                <w:szCs w:val="32"/>
                <w:lang w:val="fr-FR"/>
              </w:rPr>
            </w:pPr>
            <w:r>
              <w:rPr>
                <w:rFonts w:eastAsia="MS Mincho" w:cs="Times New Roman"/>
                <w:b/>
                <w:noProof/>
                <w:szCs w:val="32"/>
                <w:lang w:val="fr-FR"/>
              </w:rPr>
              <w:t>(OPTIONAL)</w:t>
            </w:r>
          </w:p>
        </w:tc>
        <w:tc>
          <w:tcPr>
            <w:tcW w:w="8159" w:type="dxa"/>
            <w:tcBorders>
              <w:bottom w:val="single" w:sz="4" w:space="0" w:color="auto"/>
            </w:tcBorders>
          </w:tcPr>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tc>
      </w:tr>
    </w:tbl>
    <w:p w:rsidR="00363E89" w:rsidRDefault="00361A2F" w:rsidP="001E0D83">
      <w:pPr>
        <w:spacing w:after="0" w:line="240" w:lineRule="auto"/>
        <w:rPr>
          <w:rFonts w:eastAsia="MS Mincho" w:cs="Times New Roman"/>
          <w:noProof/>
          <w:szCs w:val="32"/>
          <w:lang w:val="fr-FR"/>
        </w:rPr>
      </w:pPr>
      <w:r>
        <w:rPr>
          <w:rFonts w:eastAsia="MS Mincho" w:cs="Times New Roman"/>
          <w:noProof/>
          <w:szCs w:val="32"/>
          <w:lang w:val="fr-FR"/>
        </w:rPr>
        <w:br w:type="textWrapping" w:clear="all"/>
      </w:r>
    </w:p>
    <w:p w:rsidR="00BA6B0A" w:rsidRDefault="00BA6B0A"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140482" w:rsidRPr="004F6025" w:rsidRDefault="000C4CA6"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IMPLEMENTATION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0C4CA6" w:rsidRPr="000C4CA6" w:rsidTr="00664ACE">
        <w:trPr>
          <w:trHeight w:val="338"/>
        </w:trPr>
        <w:tc>
          <w:tcPr>
            <w:tcW w:w="2302" w:type="dxa"/>
            <w:vMerge w:val="restart"/>
            <w:shd w:val="clear" w:color="auto" w:fill="BFBFBF" w:themeFill="background1" w:themeFillShade="BF"/>
          </w:tcPr>
          <w:p w:rsidR="000C4CA6" w:rsidRPr="00D103DA" w:rsidRDefault="000C4CA6" w:rsidP="00664ACE">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0C4CA6" w:rsidRPr="003348A6" w:rsidRDefault="000C4CA6" w:rsidP="00664ACE">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0C4CA6" w:rsidRPr="003348A6" w:rsidRDefault="000C4CA6" w:rsidP="00664ACE">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0C4CA6" w:rsidRPr="003348A6" w:rsidRDefault="000C4CA6" w:rsidP="00664ACE">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664ACE">
        <w:trPr>
          <w:trHeight w:val="337"/>
        </w:trPr>
        <w:tc>
          <w:tcPr>
            <w:tcW w:w="2302" w:type="dxa"/>
            <w:vMerge/>
            <w:tcBorders>
              <w:bottom w:val="single" w:sz="4" w:space="0" w:color="auto"/>
            </w:tcBorders>
            <w:shd w:val="clear" w:color="auto" w:fill="BFBFBF" w:themeFill="background1" w:themeFillShade="BF"/>
          </w:tcPr>
          <w:p w:rsidR="00140482" w:rsidRPr="000C4CA6" w:rsidRDefault="00140482" w:rsidP="00664ACE">
            <w:pPr>
              <w:rPr>
                <w:rFonts w:eastAsia="MS Mincho" w:cs="Times New Roman"/>
                <w:b/>
                <w:noProof/>
                <w:szCs w:val="32"/>
              </w:rPr>
            </w:pPr>
          </w:p>
        </w:tc>
        <w:tc>
          <w:tcPr>
            <w:tcW w:w="2438" w:type="dxa"/>
            <w:tcBorders>
              <w:bottom w:val="single" w:sz="4" w:space="0" w:color="auto"/>
            </w:tcBorders>
            <w:shd w:val="clear" w:color="auto" w:fill="auto"/>
          </w:tcPr>
          <w:p w:rsidR="00D841B6" w:rsidRDefault="00D841B6" w:rsidP="00D841B6">
            <w:pPr>
              <w:jc w:val="center"/>
              <w:rPr>
                <w:rFonts w:ascii="Wingdings" w:hAnsi="Wingdings" w:cs="Wingdings"/>
                <w:sz w:val="26"/>
                <w:szCs w:val="26"/>
              </w:rPr>
            </w:pPr>
            <w:r>
              <w:rPr>
                <w:rFonts w:ascii="Wingdings" w:hAnsi="Wingdings" w:cs="Wingdings"/>
                <w:sz w:val="26"/>
                <w:szCs w:val="26"/>
              </w:rPr>
              <w:t></w:t>
            </w:r>
          </w:p>
          <w:p w:rsidR="00140482" w:rsidRDefault="00D841B6" w:rsidP="00D841B6">
            <w:pPr>
              <w:jc w:val="center"/>
              <w:rPr>
                <w:rFonts w:eastAsia="MS Mincho" w:cs="Times New Roman"/>
                <w:noProof/>
                <w:szCs w:val="32"/>
                <w:lang w:val="fr-FR"/>
              </w:rPr>
            </w:pPr>
            <w:r w:rsidRPr="00785264">
              <w:rPr>
                <w:rFonts w:cs="Wingdings"/>
                <w:szCs w:val="26"/>
              </w:rPr>
              <w:t xml:space="preserve">Date: </w:t>
            </w:r>
            <w:r>
              <w:rPr>
                <w:rFonts w:cs="Wingdings"/>
                <w:szCs w:val="26"/>
              </w:rPr>
              <w:t>________</w:t>
            </w:r>
          </w:p>
        </w:tc>
        <w:tc>
          <w:tcPr>
            <w:tcW w:w="2438" w:type="dxa"/>
            <w:tcBorders>
              <w:bottom w:val="single" w:sz="4" w:space="0" w:color="auto"/>
            </w:tcBorders>
          </w:tcPr>
          <w:p w:rsidR="00140482" w:rsidRDefault="00D841B6" w:rsidP="00664ACE">
            <w:pPr>
              <w:jc w:val="center"/>
              <w:rPr>
                <w:rFonts w:ascii="Wingdings" w:hAnsi="Wingdings" w:cs="Wingdings"/>
                <w:sz w:val="26"/>
                <w:szCs w:val="26"/>
              </w:rPr>
            </w:pPr>
            <w:r>
              <w:rPr>
                <w:rFonts w:ascii="Wingdings" w:hAnsi="Wingdings" w:cs="Wingdings"/>
                <w:sz w:val="26"/>
                <w:szCs w:val="26"/>
              </w:rPr>
              <w:t></w:t>
            </w:r>
          </w:p>
          <w:p w:rsidR="00140482" w:rsidRPr="00785264" w:rsidRDefault="00140482" w:rsidP="00664ACE">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664ACE">
            <w:pPr>
              <w:jc w:val="center"/>
              <w:rPr>
                <w:rFonts w:ascii="Wingdings" w:hAnsi="Wingdings" w:cs="Wingdings"/>
                <w:sz w:val="26"/>
                <w:szCs w:val="26"/>
              </w:rPr>
            </w:pPr>
            <w:r>
              <w:rPr>
                <w:rFonts w:ascii="Wingdings" w:hAnsi="Wingdings" w:cs="Wingdings"/>
                <w:sz w:val="26"/>
                <w:szCs w:val="26"/>
              </w:rPr>
              <w:t></w:t>
            </w:r>
          </w:p>
          <w:p w:rsidR="00140482" w:rsidRPr="00785264" w:rsidRDefault="00140482" w:rsidP="00664ACE">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bookmarkStart w:id="1" w:name="_GoBack"/>
      <w:bookmarkEnd w:id="1"/>
    </w:p>
    <w:sectPr w:rsidR="00BA6B0A" w:rsidSect="006D6846">
      <w:headerReference w:type="default" r:id="rId10"/>
      <w:footerReference w:type="default" r:id="rId11"/>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153" w:rsidRDefault="00345153" w:rsidP="006D6846">
      <w:pPr>
        <w:spacing w:after="0" w:line="240" w:lineRule="auto"/>
      </w:pPr>
      <w:r>
        <w:separator/>
      </w:r>
    </w:p>
  </w:endnote>
  <w:endnote w:type="continuationSeparator" w:id="0">
    <w:p w:rsidR="00345153" w:rsidRDefault="00345153"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364872" w:rsidRDefault="00364872">
        <w:pPr>
          <w:pStyle w:val="Footer"/>
          <w:jc w:val="right"/>
        </w:pPr>
        <w:r>
          <w:fldChar w:fldCharType="begin"/>
        </w:r>
        <w:r>
          <w:instrText xml:space="preserve"> PAGE   \* MERGEFORMAT </w:instrText>
        </w:r>
        <w:r>
          <w:fldChar w:fldCharType="separate"/>
        </w:r>
        <w:r w:rsidR="00003B85">
          <w:rPr>
            <w:noProof/>
          </w:rPr>
          <w:t>9</w:t>
        </w:r>
        <w:r>
          <w:rPr>
            <w:noProof/>
          </w:rPr>
          <w:fldChar w:fldCharType="end"/>
        </w:r>
      </w:p>
    </w:sdtContent>
  </w:sdt>
  <w:p w:rsidR="00364872" w:rsidRDefault="003648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153" w:rsidRDefault="00345153" w:rsidP="006D6846">
      <w:pPr>
        <w:spacing w:after="0" w:line="240" w:lineRule="auto"/>
      </w:pPr>
      <w:r>
        <w:separator/>
      </w:r>
    </w:p>
  </w:footnote>
  <w:footnote w:type="continuationSeparator" w:id="0">
    <w:p w:rsidR="00345153" w:rsidRDefault="00345153"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364872" w:rsidTr="00EC776F">
      <w:tc>
        <w:tcPr>
          <w:tcW w:w="5778" w:type="dxa"/>
          <w:vAlign w:val="center"/>
        </w:tcPr>
        <w:p w:rsidR="00364872" w:rsidRPr="005B1C9D" w:rsidRDefault="00364872" w:rsidP="000C4CA6">
          <w:pPr>
            <w:pStyle w:val="Header"/>
            <w:jc w:val="center"/>
            <w:rPr>
              <w:b/>
            </w:rPr>
          </w:pPr>
          <w:r w:rsidRPr="005B1C9D">
            <w:rPr>
              <w:b/>
            </w:rPr>
            <w:t>T2S Market Practice Adaptation Workgroup</w:t>
          </w:r>
        </w:p>
        <w:p w:rsidR="00364872" w:rsidRPr="000C4CA6" w:rsidRDefault="00364872" w:rsidP="000C4CA6">
          <w:pPr>
            <w:pStyle w:val="Header"/>
            <w:jc w:val="center"/>
            <w:rPr>
              <w:b/>
            </w:rPr>
          </w:pPr>
          <w:r w:rsidRPr="005B1C9D">
            <w:rPr>
              <w:b/>
            </w:rPr>
            <w:t xml:space="preserve">Market Practice </w:t>
          </w:r>
          <w:r>
            <w:rPr>
              <w:b/>
            </w:rPr>
            <w:t>Sheet</w:t>
          </w:r>
        </w:p>
      </w:tc>
      <w:tc>
        <w:tcPr>
          <w:tcW w:w="3798" w:type="dxa"/>
          <w:vAlign w:val="center"/>
        </w:tcPr>
        <w:p w:rsidR="00364872" w:rsidRDefault="00364872" w:rsidP="00EC776F">
          <w:pPr>
            <w:pStyle w:val="Header"/>
            <w:jc w:val="center"/>
            <w:rPr>
              <w:b/>
              <w:lang w:val="fr-FR"/>
            </w:rPr>
          </w:pPr>
          <w:r>
            <w:rPr>
              <w:noProof/>
            </w:rPr>
            <w:drawing>
              <wp:inline distT="0" distB="0" distL="0" distR="0" wp14:anchorId="0687E2A8" wp14:editId="260F0825">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364872" w:rsidRPr="000C4CA6" w:rsidTr="00EC776F">
      <w:tc>
        <w:tcPr>
          <w:tcW w:w="5778" w:type="dxa"/>
          <w:vAlign w:val="center"/>
        </w:tcPr>
        <w:p w:rsidR="00364872" w:rsidRPr="000C4CA6" w:rsidRDefault="00364872" w:rsidP="009F3BFB">
          <w:pPr>
            <w:pStyle w:val="Header"/>
            <w:rPr>
              <w:i/>
            </w:rPr>
          </w:pPr>
          <w:r>
            <w:rPr>
              <w:i/>
            </w:rPr>
            <w:t>Practice</w:t>
          </w:r>
          <w:r w:rsidRPr="0033411F">
            <w:rPr>
              <w:i/>
            </w:rPr>
            <w:t xml:space="preserve"> reference</w:t>
          </w:r>
          <w:r w:rsidRPr="000C4CA6">
            <w:rPr>
              <w:i/>
            </w:rPr>
            <w:t>: MS-SETTL-FRANCO-0</w:t>
          </w:r>
          <w:r>
            <w:rPr>
              <w:i/>
            </w:rPr>
            <w:t>2</w:t>
          </w:r>
        </w:p>
      </w:tc>
      <w:tc>
        <w:tcPr>
          <w:tcW w:w="3798" w:type="dxa"/>
          <w:vAlign w:val="center"/>
        </w:tcPr>
        <w:p w:rsidR="00364872" w:rsidRPr="000C4CA6" w:rsidRDefault="00364872" w:rsidP="00EC776F">
          <w:pPr>
            <w:pStyle w:val="Header"/>
            <w:jc w:val="center"/>
            <w:rPr>
              <w:noProof/>
            </w:rPr>
          </w:pPr>
        </w:p>
      </w:tc>
    </w:tr>
  </w:tbl>
  <w:p w:rsidR="00364872" w:rsidRPr="000C4CA6" w:rsidRDefault="00364872">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43407C"/>
    <w:multiLevelType w:val="hybridMultilevel"/>
    <w:tmpl w:val="3E106C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8479E7"/>
    <w:multiLevelType w:val="hybridMultilevel"/>
    <w:tmpl w:val="E33E7428"/>
    <w:lvl w:ilvl="0" w:tplc="0C36E5B0">
      <w:start w:val="1"/>
      <w:numFmt w:val="bullet"/>
      <w:lvlText w:val=""/>
      <w:lvlJc w:val="left"/>
      <w:pPr>
        <w:ind w:left="720" w:hanging="360"/>
      </w:pPr>
      <w:rPr>
        <w:rFonts w:ascii="Symbol" w:hAnsi="Symbol" w:hint="default"/>
        <w:lang w:val="en-US"/>
      </w:rPr>
    </w:lvl>
    <w:lvl w:ilvl="1" w:tplc="95D23898">
      <w:start w:val="1"/>
      <w:numFmt w:val="bullet"/>
      <w:lvlText w:val="o"/>
      <w:lvlJc w:val="left"/>
      <w:pPr>
        <w:ind w:left="1440" w:hanging="360"/>
      </w:pPr>
      <w:rPr>
        <w:rFonts w:ascii="Courier New" w:hAnsi="Courier New" w:cs="Courier New" w:hint="default"/>
        <w:lang w:val="en-US"/>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1"/>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03B85"/>
    <w:rsid w:val="00020084"/>
    <w:rsid w:val="000706A3"/>
    <w:rsid w:val="000A6C94"/>
    <w:rsid w:val="000C1C9B"/>
    <w:rsid w:val="000C4CA6"/>
    <w:rsid w:val="000D6F4D"/>
    <w:rsid w:val="000F3C24"/>
    <w:rsid w:val="00122E6A"/>
    <w:rsid w:val="00140482"/>
    <w:rsid w:val="00145ADA"/>
    <w:rsid w:val="001522A5"/>
    <w:rsid w:val="00162BBA"/>
    <w:rsid w:val="00183F7A"/>
    <w:rsid w:val="001B0416"/>
    <w:rsid w:val="001B1E38"/>
    <w:rsid w:val="001B6897"/>
    <w:rsid w:val="001C4C4C"/>
    <w:rsid w:val="001C7BAF"/>
    <w:rsid w:val="001D7830"/>
    <w:rsid w:val="001E0D83"/>
    <w:rsid w:val="001F62C8"/>
    <w:rsid w:val="00211814"/>
    <w:rsid w:val="00217510"/>
    <w:rsid w:val="00283DDE"/>
    <w:rsid w:val="0028538B"/>
    <w:rsid w:val="002F6107"/>
    <w:rsid w:val="00343829"/>
    <w:rsid w:val="00343B9E"/>
    <w:rsid w:val="00345153"/>
    <w:rsid w:val="00352256"/>
    <w:rsid w:val="00361A2F"/>
    <w:rsid w:val="003631EA"/>
    <w:rsid w:val="00363E89"/>
    <w:rsid w:val="00364872"/>
    <w:rsid w:val="003929BA"/>
    <w:rsid w:val="003A4E76"/>
    <w:rsid w:val="003B3DA4"/>
    <w:rsid w:val="003D5E9F"/>
    <w:rsid w:val="003D7060"/>
    <w:rsid w:val="003F572A"/>
    <w:rsid w:val="004014B3"/>
    <w:rsid w:val="0041767E"/>
    <w:rsid w:val="00464015"/>
    <w:rsid w:val="00473591"/>
    <w:rsid w:val="004818D8"/>
    <w:rsid w:val="00482296"/>
    <w:rsid w:val="004A25D7"/>
    <w:rsid w:val="004A5D53"/>
    <w:rsid w:val="004F6025"/>
    <w:rsid w:val="005061BA"/>
    <w:rsid w:val="0051485E"/>
    <w:rsid w:val="00567B1D"/>
    <w:rsid w:val="00575F36"/>
    <w:rsid w:val="005C2ACA"/>
    <w:rsid w:val="005F6571"/>
    <w:rsid w:val="0062030C"/>
    <w:rsid w:val="00622AB7"/>
    <w:rsid w:val="00622E8A"/>
    <w:rsid w:val="00625541"/>
    <w:rsid w:val="00652C13"/>
    <w:rsid w:val="00664ACE"/>
    <w:rsid w:val="00664BD8"/>
    <w:rsid w:val="0069580E"/>
    <w:rsid w:val="006D6846"/>
    <w:rsid w:val="00701AE2"/>
    <w:rsid w:val="00714CE6"/>
    <w:rsid w:val="00727BF7"/>
    <w:rsid w:val="0074709E"/>
    <w:rsid w:val="007504C9"/>
    <w:rsid w:val="00765664"/>
    <w:rsid w:val="007B7B10"/>
    <w:rsid w:val="007C249B"/>
    <w:rsid w:val="007C7303"/>
    <w:rsid w:val="007F6CFC"/>
    <w:rsid w:val="0080446B"/>
    <w:rsid w:val="0080631E"/>
    <w:rsid w:val="0081511D"/>
    <w:rsid w:val="00830B7B"/>
    <w:rsid w:val="00841E84"/>
    <w:rsid w:val="008800A4"/>
    <w:rsid w:val="00886BC8"/>
    <w:rsid w:val="00893912"/>
    <w:rsid w:val="008A30A6"/>
    <w:rsid w:val="008B07F4"/>
    <w:rsid w:val="008C734C"/>
    <w:rsid w:val="0091257E"/>
    <w:rsid w:val="0092276F"/>
    <w:rsid w:val="00922A8E"/>
    <w:rsid w:val="00922B9C"/>
    <w:rsid w:val="00933237"/>
    <w:rsid w:val="009606C4"/>
    <w:rsid w:val="00982218"/>
    <w:rsid w:val="00995F65"/>
    <w:rsid w:val="009978DE"/>
    <w:rsid w:val="009A24A6"/>
    <w:rsid w:val="009A2F1A"/>
    <w:rsid w:val="009A64D1"/>
    <w:rsid w:val="009F3BFB"/>
    <w:rsid w:val="00A133A7"/>
    <w:rsid w:val="00A20577"/>
    <w:rsid w:val="00A21489"/>
    <w:rsid w:val="00A40ED4"/>
    <w:rsid w:val="00A45A45"/>
    <w:rsid w:val="00A678C0"/>
    <w:rsid w:val="00A746A0"/>
    <w:rsid w:val="00A90EEC"/>
    <w:rsid w:val="00AA1FDB"/>
    <w:rsid w:val="00AA62D7"/>
    <w:rsid w:val="00AC134F"/>
    <w:rsid w:val="00B057D8"/>
    <w:rsid w:val="00B078B8"/>
    <w:rsid w:val="00B23FB2"/>
    <w:rsid w:val="00B26098"/>
    <w:rsid w:val="00B31057"/>
    <w:rsid w:val="00B4121E"/>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8237A"/>
    <w:rsid w:val="00C82D3C"/>
    <w:rsid w:val="00CB0F41"/>
    <w:rsid w:val="00CC7462"/>
    <w:rsid w:val="00CE6DA3"/>
    <w:rsid w:val="00CF605A"/>
    <w:rsid w:val="00D01A0C"/>
    <w:rsid w:val="00D103DA"/>
    <w:rsid w:val="00D12DE8"/>
    <w:rsid w:val="00D252A7"/>
    <w:rsid w:val="00D50DB6"/>
    <w:rsid w:val="00D529B3"/>
    <w:rsid w:val="00D53037"/>
    <w:rsid w:val="00D5515F"/>
    <w:rsid w:val="00D841B6"/>
    <w:rsid w:val="00DB106F"/>
    <w:rsid w:val="00DD071C"/>
    <w:rsid w:val="00DF7C93"/>
    <w:rsid w:val="00E351C1"/>
    <w:rsid w:val="00E35B86"/>
    <w:rsid w:val="00E438E3"/>
    <w:rsid w:val="00E52109"/>
    <w:rsid w:val="00E62EAE"/>
    <w:rsid w:val="00E95B62"/>
    <w:rsid w:val="00EB44AB"/>
    <w:rsid w:val="00EC776F"/>
    <w:rsid w:val="00ED03B1"/>
    <w:rsid w:val="00F00BF4"/>
    <w:rsid w:val="00F358FF"/>
    <w:rsid w:val="00F35CCA"/>
    <w:rsid w:val="00F84B2D"/>
    <w:rsid w:val="00F904C9"/>
    <w:rsid w:val="00FB4AFE"/>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PowerPoint_97-2003_Presentation1.ppt"/></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9</Pages>
  <Words>2468</Words>
  <Characters>14074</Characters>
  <Application>Microsoft Office Word</Application>
  <DocSecurity>0</DocSecurity>
  <Lines>117</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9</cp:revision>
  <cp:lastPrinted>2015-10-09T10:36:00Z</cp:lastPrinted>
  <dcterms:created xsi:type="dcterms:W3CDTF">2016-10-03T03:36:00Z</dcterms:created>
  <dcterms:modified xsi:type="dcterms:W3CDTF">2016-10-06T11:54:00Z</dcterms:modified>
</cp:coreProperties>
</file>