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664" w:rsidRDefault="00765664" w:rsidP="006D6846">
      <w:pPr>
        <w:tabs>
          <w:tab w:val="left" w:pos="9356"/>
        </w:tabs>
        <w:ind w:right="-279"/>
        <w:jc w:val="center"/>
        <w:rPr>
          <w:sz w:val="36"/>
          <w:lang w:val="fr-FR"/>
        </w:rPr>
      </w:pPr>
      <w:bookmarkStart w:id="0" w:name="_GoBack"/>
    </w:p>
    <w:p w:rsidR="00575F36" w:rsidRPr="009377E1" w:rsidRDefault="009377E1" w:rsidP="00AA1FD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000000" w:fill="FFFFFF"/>
        <w:jc w:val="center"/>
        <w:rPr>
          <w:b/>
          <w:noProof/>
          <w:sz w:val="36"/>
        </w:rPr>
      </w:pPr>
      <w:r w:rsidRPr="009377E1">
        <w:rPr>
          <w:b/>
          <w:noProof/>
          <w:sz w:val="36"/>
        </w:rPr>
        <w:t>Post-T2S management of securities financing transactions</w:t>
      </w:r>
    </w:p>
    <w:p w:rsidR="001B1E38" w:rsidRPr="009377E1" w:rsidRDefault="001B1E38" w:rsidP="006D6846">
      <w:pPr>
        <w:tabs>
          <w:tab w:val="left" w:pos="9356"/>
        </w:tabs>
        <w:ind w:right="-279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4932"/>
      </w:tblGrid>
      <w:tr w:rsidR="004F6025" w:rsidTr="0091257E">
        <w:tc>
          <w:tcPr>
            <w:tcW w:w="2093" w:type="dxa"/>
            <w:vMerge w:val="restart"/>
            <w:shd w:val="clear" w:color="auto" w:fill="BFBFBF" w:themeFill="background1" w:themeFillShade="BF"/>
          </w:tcPr>
          <w:p w:rsidR="004F6025" w:rsidRPr="004F6025" w:rsidRDefault="004F6025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  <w:proofErr w:type="spellStart"/>
            <w:r w:rsidRPr="004F6025">
              <w:rPr>
                <w:b/>
                <w:lang w:val="fr-FR"/>
              </w:rPr>
              <w:t>Versioning</w:t>
            </w:r>
            <w:proofErr w:type="spellEnd"/>
          </w:p>
        </w:tc>
        <w:tc>
          <w:tcPr>
            <w:tcW w:w="2551" w:type="dxa"/>
            <w:shd w:val="clear" w:color="auto" w:fill="F2F2F2" w:themeFill="background1" w:themeFillShade="F2"/>
          </w:tcPr>
          <w:p w:rsidR="004F6025" w:rsidRDefault="004F6025" w:rsidP="006D6846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Version</w:t>
            </w:r>
          </w:p>
        </w:tc>
        <w:tc>
          <w:tcPr>
            <w:tcW w:w="4932" w:type="dxa"/>
          </w:tcPr>
          <w:p w:rsidR="004F6025" w:rsidRPr="00EB2870" w:rsidRDefault="00140482" w:rsidP="00F73EC6">
            <w:pPr>
              <w:tabs>
                <w:tab w:val="left" w:pos="9356"/>
              </w:tabs>
            </w:pPr>
            <w:r w:rsidRPr="00E85FCD">
              <w:t>1.</w:t>
            </w:r>
            <w:r w:rsidR="00F73EC6">
              <w:t>1</w:t>
            </w:r>
            <w:r w:rsidR="00F73EC6" w:rsidRPr="00766016">
              <w:t xml:space="preserve"> </w:t>
            </w:r>
            <w:r w:rsidR="00E85FCD" w:rsidRPr="00766016">
              <w:rPr>
                <w:i/>
              </w:rPr>
              <w:t>(after grouping</w:t>
            </w:r>
            <w:r w:rsidR="00E85FCD">
              <w:rPr>
                <w:i/>
              </w:rPr>
              <w:t xml:space="preserve"> with other practices. 1</w:t>
            </w:r>
            <w:r w:rsidR="00E85FCD" w:rsidRPr="00766016">
              <w:rPr>
                <w:i/>
                <w:vertAlign w:val="superscript"/>
              </w:rPr>
              <w:t>st</w:t>
            </w:r>
            <w:r w:rsidR="00E85FCD">
              <w:rPr>
                <w:i/>
              </w:rPr>
              <w:t xml:space="preserve"> publication: January 2016</w:t>
            </w:r>
            <w:r w:rsidR="00E85FCD" w:rsidRPr="00766016">
              <w:rPr>
                <w:i/>
              </w:rPr>
              <w:t>)</w:t>
            </w:r>
          </w:p>
        </w:tc>
      </w:tr>
      <w:tr w:rsidR="009377E1" w:rsidRPr="00AA1FDB" w:rsidTr="0091257E">
        <w:tc>
          <w:tcPr>
            <w:tcW w:w="2093" w:type="dxa"/>
            <w:vMerge/>
            <w:shd w:val="clear" w:color="auto" w:fill="BFBFBF" w:themeFill="background1" w:themeFillShade="BF"/>
          </w:tcPr>
          <w:p w:rsidR="009377E1" w:rsidRPr="00EB2870" w:rsidRDefault="009377E1" w:rsidP="006D6846">
            <w:pPr>
              <w:tabs>
                <w:tab w:val="left" w:pos="9356"/>
              </w:tabs>
              <w:ind w:right="-279"/>
              <w:rPr>
                <w:b/>
              </w:rPr>
            </w:pPr>
          </w:p>
        </w:tc>
        <w:tc>
          <w:tcPr>
            <w:tcW w:w="2551" w:type="dxa"/>
            <w:shd w:val="clear" w:color="auto" w:fill="F2F2F2" w:themeFill="background1" w:themeFillShade="F2"/>
          </w:tcPr>
          <w:p w:rsidR="009377E1" w:rsidRDefault="009377E1" w:rsidP="000E651B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Publication date</w:t>
            </w:r>
          </w:p>
        </w:tc>
        <w:tc>
          <w:tcPr>
            <w:tcW w:w="4932" w:type="dxa"/>
          </w:tcPr>
          <w:p w:rsidR="009377E1" w:rsidRDefault="00F73EC6" w:rsidP="000E651B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August 29th</w:t>
            </w:r>
            <w:r w:rsidR="009377E1">
              <w:rPr>
                <w:lang w:val="fr-FR"/>
              </w:rPr>
              <w:t>, 2016</w:t>
            </w:r>
          </w:p>
        </w:tc>
      </w:tr>
    </w:tbl>
    <w:p w:rsidR="00B26098" w:rsidRDefault="00B26098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EC776F" w:rsidRDefault="00EC776F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81511D" w:rsidRPr="009377E1" w:rsidRDefault="009377E1" w:rsidP="0081511D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</w:rPr>
      </w:pPr>
      <w:r w:rsidRPr="003348A6">
        <w:rPr>
          <w:rFonts w:eastAsia="MS Mincho" w:cs="Times New Roman"/>
          <w:b/>
          <w:caps/>
          <w:noProof/>
          <w:sz w:val="32"/>
          <w:szCs w:val="32"/>
        </w:rPr>
        <w:t>Description of the existing practice &amp; of the Impacts</w:t>
      </w:r>
    </w:p>
    <w:p w:rsidR="0081511D" w:rsidRPr="009377E1" w:rsidRDefault="0081511D" w:rsidP="00B26098">
      <w:pPr>
        <w:spacing w:after="0" w:line="240" w:lineRule="auto"/>
        <w:rPr>
          <w:rFonts w:eastAsia="MS Mincho" w:cs="Times New Roman"/>
          <w:noProof/>
          <w:szCs w:val="32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7513"/>
      </w:tblGrid>
      <w:tr w:rsidR="00D103DA" w:rsidRPr="00364250" w:rsidTr="0091257E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103DA" w:rsidRPr="009377E1" w:rsidRDefault="009377E1" w:rsidP="00893912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5B1C9D">
              <w:rPr>
                <w:rFonts w:eastAsia="MS Mincho" w:cs="Times New Roman"/>
                <w:b/>
                <w:noProof/>
                <w:szCs w:val="32"/>
              </w:rPr>
              <w:t>Description of the existing practice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364250" w:rsidRPr="00C06968" w:rsidRDefault="00364250" w:rsidP="00364250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C06968">
              <w:rPr>
                <w:rFonts w:eastAsia="MS Mincho" w:cs="Times New Roman"/>
                <w:noProof/>
                <w:szCs w:val="32"/>
              </w:rPr>
              <w:t xml:space="preserve">Euroclear </w:t>
            </w:r>
            <w:r w:rsidR="00D51D29">
              <w:rPr>
                <w:rFonts w:eastAsia="MS Mincho" w:cs="Times New Roman"/>
                <w:noProof/>
                <w:szCs w:val="32"/>
              </w:rPr>
              <w:t xml:space="preserve">France </w:t>
            </w:r>
            <w:r w:rsidRPr="00C06968">
              <w:rPr>
                <w:rFonts w:eastAsia="MS Mincho" w:cs="Times New Roman"/>
                <w:noProof/>
                <w:szCs w:val="32"/>
              </w:rPr>
              <w:t xml:space="preserve">today proposes a module ‘pension livrée’ to handle instructions on securities financing transactions, allowing its participants to instruct </w:t>
            </w:r>
            <w:r>
              <w:rPr>
                <w:rFonts w:eastAsia="MS Mincho" w:cs="Times New Roman"/>
                <w:noProof/>
                <w:szCs w:val="32"/>
              </w:rPr>
              <w:t>the contract, instead of instructing both legs of the transaction</w:t>
            </w:r>
            <w:r w:rsidRPr="00C06968">
              <w:rPr>
                <w:rFonts w:eastAsia="MS Mincho" w:cs="Times New Roman"/>
                <w:noProof/>
                <w:szCs w:val="32"/>
              </w:rPr>
              <w:t>.</w:t>
            </w:r>
          </w:p>
          <w:p w:rsidR="00364250" w:rsidRDefault="00364250" w:rsidP="00364250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This module notably allows:</w:t>
            </w:r>
          </w:p>
          <w:p w:rsidR="00364250" w:rsidRPr="00DC2686" w:rsidRDefault="00364250" w:rsidP="00364250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DC2686">
              <w:rPr>
                <w:rFonts w:eastAsia="MS Mincho" w:cs="Times New Roman"/>
                <w:noProof/>
                <w:szCs w:val="32"/>
              </w:rPr>
              <w:t>the generation of the far leg of securities financing transactions and the link with the near leg;</w:t>
            </w:r>
          </w:p>
          <w:p w:rsidR="00364250" w:rsidRPr="00DC2686" w:rsidRDefault="00364250" w:rsidP="00364250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DC2686">
              <w:rPr>
                <w:rFonts w:eastAsia="MS Mincho" w:cs="Times New Roman"/>
                <w:noProof/>
                <w:szCs w:val="32"/>
              </w:rPr>
              <w:t>the setting of all required data on the far leg, notably the trade date;</w:t>
            </w:r>
          </w:p>
          <w:p w:rsidR="00364250" w:rsidRPr="00DC2686" w:rsidRDefault="00364250" w:rsidP="00364250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DC2686">
              <w:rPr>
                <w:rFonts w:eastAsia="MS Mincho" w:cs="Times New Roman"/>
                <w:noProof/>
                <w:szCs w:val="32"/>
              </w:rPr>
              <w:t xml:space="preserve">for variable-rate repurchase agreements, the cristallisation </w:t>
            </w:r>
            <w:r w:rsidR="00543E13">
              <w:rPr>
                <w:rFonts w:eastAsia="MS Mincho" w:cs="Times New Roman"/>
                <w:noProof/>
                <w:szCs w:val="32"/>
              </w:rPr>
              <w:t xml:space="preserve">on </w:t>
            </w:r>
            <w:r w:rsidRPr="00DC2686">
              <w:rPr>
                <w:rFonts w:eastAsia="MS Mincho" w:cs="Times New Roman"/>
                <w:noProof/>
                <w:szCs w:val="32"/>
              </w:rPr>
              <w:t xml:space="preserve">D-1 of the intended settlement date, by Euroclear instead of the participants. It should be noted that instructions cleared </w:t>
            </w:r>
            <w:r>
              <w:rPr>
                <w:rFonts w:eastAsia="MS Mincho" w:cs="Times New Roman"/>
                <w:noProof/>
                <w:szCs w:val="32"/>
              </w:rPr>
              <w:t xml:space="preserve">by </w:t>
            </w:r>
            <w:r w:rsidRPr="00DC2686">
              <w:rPr>
                <w:rFonts w:eastAsia="MS Mincho" w:cs="Times New Roman"/>
                <w:noProof/>
                <w:szCs w:val="32"/>
              </w:rPr>
              <w:t xml:space="preserve">LCH.Clearnet </w:t>
            </w:r>
            <w:r>
              <w:rPr>
                <w:rFonts w:eastAsia="MS Mincho" w:cs="Times New Roman"/>
                <w:noProof/>
                <w:szCs w:val="32"/>
              </w:rPr>
              <w:t xml:space="preserve">are also subject to a cristallisation on ISD-1 by </w:t>
            </w:r>
            <w:r w:rsidRPr="00DC2686">
              <w:rPr>
                <w:rFonts w:eastAsia="MS Mincho" w:cs="Times New Roman"/>
                <w:noProof/>
                <w:szCs w:val="32"/>
              </w:rPr>
              <w:t>LCH.Clearnet.</w:t>
            </w:r>
          </w:p>
          <w:p w:rsidR="00140482" w:rsidRPr="00364250" w:rsidRDefault="00364250" w:rsidP="00543E13">
            <w:pPr>
              <w:spacing w:before="60" w:after="60"/>
              <w:jc w:val="both"/>
              <w:rPr>
                <w:rFonts w:eastAsia="MS Mincho" w:cs="Times New Roman"/>
                <w:noProof/>
                <w:szCs w:val="32"/>
              </w:rPr>
            </w:pPr>
            <w:r w:rsidRPr="007B68CB">
              <w:rPr>
                <w:rFonts w:eastAsia="MS Mincho" w:cs="Times New Roman"/>
                <w:i/>
                <w:noProof/>
                <w:szCs w:val="32"/>
              </w:rPr>
              <w:t xml:space="preserve">NB : In variable-rate repurchase agreements, the calculation of the interest payment is based on an arithmetic average of the daily rates over the contract period. </w:t>
            </w:r>
            <w:r w:rsidRPr="00DC2686">
              <w:rPr>
                <w:rFonts w:eastAsia="MS Mincho" w:cs="Times New Roman"/>
                <w:i/>
                <w:noProof/>
                <w:szCs w:val="32"/>
              </w:rPr>
              <w:t>The determination of the last applicable rate for the calculation of the average at the maturity of the contract, is called ‘cristallisation’.</w:t>
            </w:r>
          </w:p>
        </w:tc>
      </w:tr>
      <w:tr w:rsidR="00D103DA" w:rsidRPr="00364250" w:rsidTr="0091257E">
        <w:tc>
          <w:tcPr>
            <w:tcW w:w="2093" w:type="dxa"/>
            <w:tcBorders>
              <w:left w:val="nil"/>
              <w:right w:val="nil"/>
            </w:tcBorders>
          </w:tcPr>
          <w:p w:rsidR="00EC776F" w:rsidRPr="00364250" w:rsidRDefault="00EC776F" w:rsidP="00B26098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</w:tcPr>
          <w:p w:rsidR="00D103DA" w:rsidRPr="00364250" w:rsidRDefault="00D103DA" w:rsidP="00B26098">
            <w:pPr>
              <w:rPr>
                <w:rFonts w:eastAsia="MS Mincho" w:cs="Times New Roman"/>
                <w:noProof/>
                <w:szCs w:val="32"/>
              </w:rPr>
            </w:pPr>
          </w:p>
        </w:tc>
      </w:tr>
      <w:tr w:rsidR="00893912" w:rsidRPr="00364250" w:rsidTr="0081511D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93912" w:rsidRPr="009377E1" w:rsidRDefault="009377E1" w:rsidP="00EC776F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5B1C9D">
              <w:rPr>
                <w:rFonts w:eastAsia="MS Mincho" w:cs="Times New Roman"/>
                <w:b/>
                <w:noProof/>
                <w:szCs w:val="32"/>
              </w:rPr>
              <w:t xml:space="preserve">Description of the T2S </w:t>
            </w:r>
            <w:r>
              <w:rPr>
                <w:rFonts w:eastAsia="MS Mincho" w:cs="Times New Roman"/>
                <w:b/>
                <w:noProof/>
                <w:szCs w:val="32"/>
              </w:rPr>
              <w:t>impact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364250" w:rsidRPr="00DC2686" w:rsidRDefault="00543E13" w:rsidP="00364250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>
              <w:rPr>
                <w:rFonts w:eastAsia="MS Mincho" w:cs="Times New Roman"/>
                <w:noProof/>
                <w:szCs w:val="32"/>
              </w:rPr>
              <w:t xml:space="preserve">Euroclear France’s </w:t>
            </w:r>
            <w:r w:rsidR="00364250" w:rsidRPr="00DC2686">
              <w:rPr>
                <w:rFonts w:eastAsia="MS Mincho" w:cs="Times New Roman"/>
                <w:noProof/>
                <w:szCs w:val="32"/>
              </w:rPr>
              <w:t>module ‘Pension Livrée’ will be decommissionned, securities financing transactions in T2S being instructed in a buy/sell mode.</w:t>
            </w:r>
          </w:p>
          <w:p w:rsidR="00364250" w:rsidRDefault="00364250" w:rsidP="00364250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As such:</w:t>
            </w:r>
          </w:p>
          <w:p w:rsidR="00364250" w:rsidRPr="00DC2686" w:rsidRDefault="00364250" w:rsidP="00364250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DC2686">
              <w:rPr>
                <w:rFonts w:eastAsia="MS Mincho" w:cs="Times New Roman"/>
                <w:noProof/>
                <w:szCs w:val="32"/>
              </w:rPr>
              <w:t xml:space="preserve">The </w:t>
            </w:r>
            <w:r>
              <w:rPr>
                <w:rFonts w:eastAsia="MS Mincho" w:cs="Times New Roman"/>
                <w:noProof/>
                <w:szCs w:val="32"/>
              </w:rPr>
              <w:t>far leg of the contract will no</w:t>
            </w:r>
            <w:r w:rsidRPr="00DC2686">
              <w:rPr>
                <w:rFonts w:eastAsia="MS Mincho" w:cs="Times New Roman"/>
                <w:noProof/>
                <w:szCs w:val="32"/>
              </w:rPr>
              <w:t xml:space="preserve"> longer be automatically generated;</w:t>
            </w:r>
          </w:p>
          <w:p w:rsidR="00364250" w:rsidRDefault="00364250" w:rsidP="00364250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DC2686">
              <w:rPr>
                <w:rFonts w:eastAsia="MS Mincho" w:cs="Times New Roman"/>
                <w:noProof/>
                <w:szCs w:val="32"/>
              </w:rPr>
              <w:t xml:space="preserve">The trade date of the far leg </w:t>
            </w:r>
            <w:r>
              <w:rPr>
                <w:rFonts w:eastAsia="MS Mincho" w:cs="Times New Roman"/>
                <w:noProof/>
                <w:szCs w:val="32"/>
              </w:rPr>
              <w:t>will no</w:t>
            </w:r>
            <w:r w:rsidRPr="00DC2686">
              <w:rPr>
                <w:rFonts w:eastAsia="MS Mincho" w:cs="Times New Roman"/>
                <w:noProof/>
                <w:szCs w:val="32"/>
              </w:rPr>
              <w:t xml:space="preserve"> longer be </w:t>
            </w:r>
            <w:r>
              <w:rPr>
                <w:rFonts w:eastAsia="MS Mincho" w:cs="Times New Roman"/>
                <w:noProof/>
                <w:szCs w:val="32"/>
              </w:rPr>
              <w:t xml:space="preserve">generated by Euroclear </w:t>
            </w:r>
            <w:r w:rsidR="00543E13">
              <w:rPr>
                <w:rFonts w:eastAsia="MS Mincho" w:cs="Times New Roman"/>
                <w:noProof/>
                <w:szCs w:val="32"/>
              </w:rPr>
              <w:t>–</w:t>
            </w:r>
            <w:r>
              <w:rPr>
                <w:rFonts w:eastAsia="MS Mincho" w:cs="Times New Roman"/>
                <w:noProof/>
                <w:szCs w:val="32"/>
              </w:rPr>
              <w:t xml:space="preserve"> </w:t>
            </w:r>
            <w:r w:rsidR="00543E13">
              <w:rPr>
                <w:rFonts w:eastAsia="MS Mincho" w:cs="Times New Roman"/>
                <w:noProof/>
                <w:szCs w:val="32"/>
              </w:rPr>
              <w:t>trade date becoming a matching criterion in T2S</w:t>
            </w:r>
            <w:r w:rsidRPr="00DC2686">
              <w:rPr>
                <w:rFonts w:eastAsia="MS Mincho" w:cs="Times New Roman"/>
                <w:noProof/>
                <w:szCs w:val="32"/>
              </w:rPr>
              <w:t>;</w:t>
            </w:r>
          </w:p>
          <w:p w:rsidR="00140482" w:rsidRPr="00364250" w:rsidRDefault="00364250" w:rsidP="00364250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364250">
              <w:rPr>
                <w:rFonts w:eastAsia="MS Mincho" w:cs="Times New Roman"/>
                <w:noProof/>
                <w:szCs w:val="32"/>
              </w:rPr>
              <w:t>Cristallisation will no longer be operated by Euroclear.</w:t>
            </w:r>
          </w:p>
        </w:tc>
      </w:tr>
      <w:tr w:rsidR="0081511D" w:rsidRPr="00364250" w:rsidTr="0081511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Pr="00364250" w:rsidRDefault="0081511D" w:rsidP="00EC776F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81511D" w:rsidRPr="00364250" w:rsidRDefault="0081511D" w:rsidP="0081511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81511D" w:rsidRPr="002C321F" w:rsidTr="0081511D">
        <w:tc>
          <w:tcPr>
            <w:tcW w:w="2093" w:type="dxa"/>
            <w:shd w:val="clear" w:color="auto" w:fill="BFBFBF" w:themeFill="background1" w:themeFillShade="BF"/>
          </w:tcPr>
          <w:p w:rsidR="0081511D" w:rsidRPr="009377E1" w:rsidRDefault="009377E1" w:rsidP="00EC776F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lastRenderedPageBreak/>
              <w:t>Description of the major issue</w:t>
            </w:r>
          </w:p>
        </w:tc>
        <w:tc>
          <w:tcPr>
            <w:tcW w:w="7513" w:type="dxa"/>
          </w:tcPr>
          <w:p w:rsidR="00464015" w:rsidRPr="002C321F" w:rsidRDefault="002C321F" w:rsidP="00464015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2C321F">
              <w:rPr>
                <w:rFonts w:eastAsia="MS Mincho" w:cs="Times New Roman"/>
                <w:noProof/>
                <w:szCs w:val="32"/>
              </w:rPr>
              <w:t>The target instruction mode of securities financing transactions in a buy/sell mode, post-</w:t>
            </w:r>
            <w:r w:rsidR="00464015" w:rsidRPr="002C321F">
              <w:rPr>
                <w:rFonts w:eastAsia="MS Mincho" w:cs="Times New Roman"/>
                <w:noProof/>
                <w:szCs w:val="32"/>
              </w:rPr>
              <w:t xml:space="preserve">migration </w:t>
            </w:r>
            <w:r w:rsidRPr="002C321F">
              <w:rPr>
                <w:rFonts w:eastAsia="MS Mincho" w:cs="Times New Roman"/>
                <w:noProof/>
                <w:szCs w:val="32"/>
              </w:rPr>
              <w:t xml:space="preserve">to </w:t>
            </w:r>
            <w:r w:rsidR="00464015" w:rsidRPr="002C321F">
              <w:rPr>
                <w:rFonts w:eastAsia="MS Mincho" w:cs="Times New Roman"/>
                <w:noProof/>
                <w:szCs w:val="32"/>
              </w:rPr>
              <w:t xml:space="preserve">T2S, </w:t>
            </w:r>
            <w:r>
              <w:rPr>
                <w:rFonts w:eastAsia="MS Mincho" w:cs="Times New Roman"/>
                <w:noProof/>
                <w:szCs w:val="32"/>
              </w:rPr>
              <w:t>must be addressed</w:t>
            </w:r>
            <w:r w:rsidR="00464015" w:rsidRPr="002C321F">
              <w:rPr>
                <w:rFonts w:eastAsia="MS Mincho" w:cs="Times New Roman"/>
                <w:noProof/>
                <w:szCs w:val="32"/>
              </w:rPr>
              <w:t xml:space="preserve">, </w:t>
            </w:r>
            <w:r>
              <w:rPr>
                <w:rFonts w:eastAsia="MS Mincho" w:cs="Times New Roman"/>
                <w:noProof/>
                <w:szCs w:val="32"/>
              </w:rPr>
              <w:t>in order to specify</w:t>
            </w:r>
            <w:r w:rsidR="00464015" w:rsidRPr="002C321F">
              <w:rPr>
                <w:rFonts w:eastAsia="MS Mincho" w:cs="Times New Roman"/>
                <w:noProof/>
                <w:szCs w:val="32"/>
              </w:rPr>
              <w:t>:</w:t>
            </w:r>
          </w:p>
          <w:p w:rsidR="00464015" w:rsidRPr="002C321F" w:rsidRDefault="002C321F" w:rsidP="00464015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2C321F">
              <w:rPr>
                <w:rFonts w:eastAsia="MS Mincho" w:cs="Times New Roman"/>
                <w:noProof/>
                <w:szCs w:val="32"/>
              </w:rPr>
              <w:t>How to instruct</w:t>
            </w:r>
            <w:r w:rsidR="00464015" w:rsidRPr="002C321F">
              <w:rPr>
                <w:rFonts w:eastAsia="MS Mincho" w:cs="Times New Roman"/>
                <w:noProof/>
                <w:szCs w:val="32"/>
              </w:rPr>
              <w:t>;</w:t>
            </w:r>
          </w:p>
          <w:p w:rsidR="00464015" w:rsidRPr="00E85FCD" w:rsidRDefault="002C321F" w:rsidP="00464015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E85FCD">
              <w:rPr>
                <w:rFonts w:eastAsia="MS Mincho" w:cs="Times New Roman"/>
                <w:noProof/>
                <w:szCs w:val="32"/>
              </w:rPr>
              <w:t>The management of the cristallisation on variable-rate repurchase agreements.</w:t>
            </w:r>
          </w:p>
          <w:p w:rsidR="00464015" w:rsidRPr="002C321F" w:rsidRDefault="002C321F" w:rsidP="00464015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2C321F">
              <w:rPr>
                <w:rFonts w:eastAsia="MS Mincho" w:cs="Times New Roman"/>
                <w:noProof/>
                <w:szCs w:val="32"/>
              </w:rPr>
              <w:t>As regards the cristallisation on variable-rate repurchase agreements</w:t>
            </w:r>
            <w:r w:rsidR="00464015" w:rsidRPr="002C321F">
              <w:rPr>
                <w:rFonts w:eastAsia="MS Mincho" w:cs="Times New Roman"/>
                <w:noProof/>
                <w:szCs w:val="32"/>
              </w:rPr>
              <w:t>:</w:t>
            </w:r>
          </w:p>
          <w:p w:rsidR="002C321F" w:rsidRPr="00996BFD" w:rsidRDefault="002C321F" w:rsidP="002C321F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996BFD">
              <w:rPr>
                <w:rFonts w:eastAsia="MS Mincho" w:cs="Times New Roman"/>
                <w:noProof/>
                <w:szCs w:val="32"/>
              </w:rPr>
              <w:t xml:space="preserve">Instructions on the far leg of the transactions are delivery versus payment instructions, with a cash amount on the instruction integrating the </w:t>
            </w:r>
            <w:r>
              <w:rPr>
                <w:rFonts w:eastAsia="MS Mincho" w:cs="Times New Roman"/>
                <w:noProof/>
                <w:szCs w:val="32"/>
              </w:rPr>
              <w:t>interest</w:t>
            </w:r>
            <w:r w:rsidRPr="00996BFD">
              <w:rPr>
                <w:rFonts w:eastAsia="MS Mincho" w:cs="Times New Roman"/>
                <w:noProof/>
                <w:szCs w:val="32"/>
              </w:rPr>
              <w:t xml:space="preserve"> payment.</w:t>
            </w:r>
          </w:p>
          <w:p w:rsidR="0081511D" w:rsidRPr="002C321F" w:rsidRDefault="002C321F" w:rsidP="002C321F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996BFD">
              <w:rPr>
                <w:rFonts w:eastAsia="MS Mincho" w:cs="Times New Roman"/>
                <w:noProof/>
                <w:szCs w:val="32"/>
              </w:rPr>
              <w:t>The cash amount on a delivery versus payment instruction being a mandatory matching criterion, not having a common market practice involves the risk of having different values given by both counterparties, resulting in a mismatch and a potential settlement fail.</w:t>
            </w:r>
          </w:p>
        </w:tc>
      </w:tr>
      <w:tr w:rsidR="0081511D" w:rsidRPr="002C321F" w:rsidTr="006542E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Pr="002C321F" w:rsidRDefault="0081511D" w:rsidP="006542E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81511D" w:rsidRPr="002C321F" w:rsidRDefault="0081511D" w:rsidP="006542E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9377E1" w:rsidRPr="0081511D" w:rsidTr="0081511D">
        <w:tc>
          <w:tcPr>
            <w:tcW w:w="2093" w:type="dxa"/>
            <w:shd w:val="clear" w:color="auto" w:fill="BFBFBF" w:themeFill="background1" w:themeFillShade="BF"/>
          </w:tcPr>
          <w:p w:rsidR="009377E1" w:rsidRPr="003348A6" w:rsidRDefault="009377E1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Description of the roles and responsibilities of the ac</w:t>
            </w:r>
            <w:r>
              <w:rPr>
                <w:rFonts w:eastAsia="MS Mincho" w:cs="Times New Roman"/>
                <w:b/>
                <w:noProof/>
                <w:szCs w:val="32"/>
              </w:rPr>
              <w:t>to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rs involved </w:t>
            </w:r>
          </w:p>
          <w:p w:rsidR="009377E1" w:rsidRPr="00D103DA" w:rsidRDefault="009377E1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(OPTIONAL)</w:t>
            </w:r>
          </w:p>
        </w:tc>
        <w:tc>
          <w:tcPr>
            <w:tcW w:w="7513" w:type="dxa"/>
          </w:tcPr>
          <w:p w:rsidR="009377E1" w:rsidRDefault="009377E1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9377E1" w:rsidRDefault="009377E1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9377E1" w:rsidRDefault="009377E1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9377E1" w:rsidRDefault="009377E1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9377E1" w:rsidRDefault="009377E1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9377E1" w:rsidRPr="0081511D" w:rsidTr="006542E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9377E1" w:rsidRDefault="009377E1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9377E1" w:rsidRPr="0081511D" w:rsidRDefault="009377E1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9377E1" w:rsidRPr="0081511D" w:rsidTr="0081511D">
        <w:tc>
          <w:tcPr>
            <w:tcW w:w="2093" w:type="dxa"/>
            <w:shd w:val="clear" w:color="auto" w:fill="BFBFBF" w:themeFill="background1" w:themeFillShade="BF"/>
          </w:tcPr>
          <w:p w:rsidR="009377E1" w:rsidRDefault="009377E1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Workflows</w:t>
            </w:r>
          </w:p>
          <w:p w:rsidR="009377E1" w:rsidRDefault="009377E1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(OPTIONAL)</w:t>
            </w:r>
          </w:p>
        </w:tc>
        <w:tc>
          <w:tcPr>
            <w:tcW w:w="7513" w:type="dxa"/>
          </w:tcPr>
          <w:p w:rsidR="009377E1" w:rsidRPr="00FD2FD6" w:rsidRDefault="009377E1" w:rsidP="0081511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9377E1" w:rsidRPr="0081511D" w:rsidTr="006542E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9377E1" w:rsidRDefault="009377E1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9377E1" w:rsidRPr="0081511D" w:rsidRDefault="009377E1" w:rsidP="006542E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9377E1" w:rsidRPr="002C321F" w:rsidTr="0091257E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377E1" w:rsidRPr="003348A6" w:rsidRDefault="009377E1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Links with other market practices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9377E1" w:rsidRPr="002C321F" w:rsidRDefault="009377E1" w:rsidP="00464015">
            <w:pPr>
              <w:spacing w:before="60" w:after="60"/>
              <w:jc w:val="both"/>
              <w:rPr>
                <w:rFonts w:eastAsia="MS Mincho" w:cs="Times New Roman"/>
                <w:noProof/>
                <w:szCs w:val="32"/>
              </w:rPr>
            </w:pPr>
            <w:r w:rsidRPr="002C321F">
              <w:rPr>
                <w:rFonts w:eastAsia="MS Mincho" w:cs="Times New Roman"/>
                <w:noProof/>
                <w:szCs w:val="32"/>
              </w:rPr>
              <w:t xml:space="preserve">MS-SETTL-CESSIONSTEMP-01 : </w:t>
            </w:r>
            <w:r w:rsidR="002C321F" w:rsidRPr="002C321F">
              <w:rPr>
                <w:rFonts w:eastAsia="MS Mincho" w:cs="Times New Roman"/>
                <w:noProof/>
                <w:szCs w:val="32"/>
              </w:rPr>
              <w:t>Switch of the instruction mode of securities financing transactions into a Buy/Sell mode and management of the transition to T2S</w:t>
            </w:r>
          </w:p>
        </w:tc>
      </w:tr>
    </w:tbl>
    <w:p w:rsidR="001E0D83" w:rsidRPr="002C321F" w:rsidRDefault="001E0D83" w:rsidP="00D103DA">
      <w:pPr>
        <w:spacing w:after="0" w:line="240" w:lineRule="auto"/>
        <w:rPr>
          <w:rFonts w:eastAsia="MS Mincho" w:cs="Times New Roman"/>
          <w:noProof/>
          <w:szCs w:val="32"/>
        </w:rPr>
      </w:pPr>
    </w:p>
    <w:p w:rsidR="0081511D" w:rsidRPr="002C321F" w:rsidRDefault="0081511D" w:rsidP="00D103DA">
      <w:pPr>
        <w:spacing w:after="0" w:line="240" w:lineRule="auto"/>
        <w:rPr>
          <w:rFonts w:eastAsia="MS Mincho" w:cs="Times New Roman"/>
          <w:noProof/>
          <w:szCs w:val="32"/>
        </w:rPr>
      </w:pPr>
    </w:p>
    <w:p w:rsidR="0081511D" w:rsidRPr="004F6025" w:rsidRDefault="009377E1" w:rsidP="0081511D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Recommended market practice</w:t>
      </w:r>
    </w:p>
    <w:p w:rsidR="0081511D" w:rsidRDefault="0081511D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2093"/>
        <w:gridCol w:w="7483"/>
        <w:gridCol w:w="30"/>
      </w:tblGrid>
      <w:tr w:rsidR="001E0D83" w:rsidRPr="009F4CB9" w:rsidTr="0081511D">
        <w:trPr>
          <w:gridAfter w:val="1"/>
          <w:wAfter w:w="30" w:type="dxa"/>
        </w:trPr>
        <w:tc>
          <w:tcPr>
            <w:tcW w:w="2093" w:type="dxa"/>
            <w:shd w:val="clear" w:color="auto" w:fill="BFBFBF" w:themeFill="background1" w:themeFillShade="BF"/>
          </w:tcPr>
          <w:p w:rsidR="001E0D83" w:rsidRPr="00D103DA" w:rsidRDefault="009377E1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Recommended practice</w:t>
            </w:r>
          </w:p>
        </w:tc>
        <w:tc>
          <w:tcPr>
            <w:tcW w:w="7483" w:type="dxa"/>
          </w:tcPr>
          <w:p w:rsidR="00D170E5" w:rsidRPr="00D022CC" w:rsidRDefault="00D170E5" w:rsidP="00D170E5">
            <w:pPr>
              <w:spacing w:before="120"/>
              <w:jc w:val="both"/>
              <w:rPr>
                <w:rFonts w:eastAsia="MS Mincho" w:cs="Times New Roman"/>
                <w:i/>
                <w:noProof/>
                <w:szCs w:val="32"/>
              </w:rPr>
            </w:pPr>
            <w:r w:rsidRPr="00D022CC">
              <w:rPr>
                <w:rFonts w:eastAsia="MS Mincho" w:cs="Times New Roman"/>
                <w:i/>
                <w:noProof/>
                <w:szCs w:val="32"/>
              </w:rPr>
              <w:t xml:space="preserve">NB : </w:t>
            </w:r>
            <w:r w:rsidR="00D022CC">
              <w:rPr>
                <w:rFonts w:eastAsia="MS Mincho" w:cs="Times New Roman"/>
                <w:i/>
                <w:noProof/>
                <w:szCs w:val="32"/>
              </w:rPr>
              <w:t>The presen</w:t>
            </w:r>
            <w:r w:rsidR="00515B50" w:rsidRPr="00D022CC">
              <w:rPr>
                <w:rFonts w:eastAsia="MS Mincho" w:cs="Times New Roman"/>
                <w:i/>
                <w:noProof/>
                <w:szCs w:val="32"/>
              </w:rPr>
              <w:t>t version of the market practice does not consider contracts negotiated i</w:t>
            </w:r>
            <w:r w:rsidR="00D022CC">
              <w:rPr>
                <w:rFonts w:eastAsia="MS Mincho" w:cs="Times New Roman"/>
                <w:i/>
                <w:noProof/>
                <w:szCs w:val="32"/>
              </w:rPr>
              <w:t>n a Buy &amp; Sell-Back mode, curren</w:t>
            </w:r>
            <w:r w:rsidR="00515B50" w:rsidRPr="00D022CC">
              <w:rPr>
                <w:rFonts w:eastAsia="MS Mincho" w:cs="Times New Roman"/>
                <w:i/>
                <w:noProof/>
                <w:szCs w:val="32"/>
              </w:rPr>
              <w:t>t</w:t>
            </w:r>
            <w:r w:rsidR="00D022CC">
              <w:rPr>
                <w:rFonts w:eastAsia="MS Mincho" w:cs="Times New Roman"/>
                <w:i/>
                <w:noProof/>
                <w:szCs w:val="32"/>
              </w:rPr>
              <w:t>l</w:t>
            </w:r>
            <w:r w:rsidR="00515B50" w:rsidRPr="00D022CC">
              <w:rPr>
                <w:rFonts w:eastAsia="MS Mincho" w:cs="Times New Roman"/>
                <w:i/>
                <w:noProof/>
                <w:szCs w:val="32"/>
              </w:rPr>
              <w:t>y under review.</w:t>
            </w:r>
          </w:p>
          <w:p w:rsidR="00D170E5" w:rsidRPr="00D022CC" w:rsidRDefault="00D170E5" w:rsidP="00D170E5">
            <w:pPr>
              <w:spacing w:before="120"/>
              <w:jc w:val="both"/>
              <w:rPr>
                <w:rFonts w:eastAsia="MS Mincho" w:cs="Times New Roman"/>
                <w:i/>
                <w:noProof/>
                <w:szCs w:val="32"/>
              </w:rPr>
            </w:pPr>
          </w:p>
          <w:p w:rsidR="00464015" w:rsidRPr="00F93FF2" w:rsidRDefault="00F93FF2" w:rsidP="00464015">
            <w:pPr>
              <w:spacing w:before="120"/>
              <w:jc w:val="both"/>
              <w:rPr>
                <w:rFonts w:eastAsia="MS Mincho" w:cs="Times New Roman"/>
                <w:b/>
                <w:noProof/>
                <w:szCs w:val="32"/>
              </w:rPr>
            </w:pPr>
            <w:r w:rsidRPr="00F93FF2">
              <w:rPr>
                <w:rFonts w:eastAsia="MS Mincho" w:cs="Times New Roman"/>
                <w:b/>
                <w:noProof/>
                <w:szCs w:val="32"/>
              </w:rPr>
              <w:t xml:space="preserve">Management of instructions negotiated from the migration to T2S </w:t>
            </w:r>
            <w:r w:rsidR="00464015" w:rsidRPr="00F93FF2">
              <w:rPr>
                <w:rFonts w:eastAsia="MS Mincho" w:cs="Times New Roman"/>
                <w:b/>
                <w:noProof/>
                <w:szCs w:val="32"/>
              </w:rPr>
              <w:t>(</w:t>
            </w:r>
            <w:r>
              <w:rPr>
                <w:rFonts w:eastAsia="MS Mincho" w:cs="Times New Roman"/>
                <w:b/>
                <w:noProof/>
                <w:szCs w:val="32"/>
              </w:rPr>
              <w:t>client and market side</w:t>
            </w:r>
            <w:r w:rsidR="00464015" w:rsidRPr="00F93FF2">
              <w:rPr>
                <w:rFonts w:eastAsia="MS Mincho" w:cs="Times New Roman"/>
                <w:b/>
                <w:noProof/>
                <w:szCs w:val="32"/>
              </w:rPr>
              <w:t>) :</w:t>
            </w:r>
          </w:p>
          <w:p w:rsidR="00464015" w:rsidRPr="00F93FF2" w:rsidRDefault="00F93FF2" w:rsidP="00F93FF2">
            <w:pPr>
              <w:pStyle w:val="ListParagraph"/>
              <w:numPr>
                <w:ilvl w:val="0"/>
                <w:numId w:val="3"/>
              </w:numPr>
              <w:spacing w:before="120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F93FF2">
              <w:rPr>
                <w:rFonts w:eastAsia="MS Mincho" w:cs="Times New Roman"/>
                <w:noProof/>
                <w:szCs w:val="32"/>
              </w:rPr>
              <w:t xml:space="preserve">Both instructions, the near leg and the far leg, should be instructed as regular buy/sell instructions – no specificity, neither in terms of instruction type, </w:t>
            </w:r>
            <w:r w:rsidR="00543E13">
              <w:rPr>
                <w:rFonts w:eastAsia="MS Mincho" w:cs="Times New Roman"/>
                <w:noProof/>
                <w:szCs w:val="32"/>
              </w:rPr>
              <w:t>n</w:t>
            </w:r>
            <w:r w:rsidRPr="00F93FF2">
              <w:rPr>
                <w:rFonts w:eastAsia="MS Mincho" w:cs="Times New Roman"/>
                <w:noProof/>
                <w:szCs w:val="32"/>
              </w:rPr>
              <w:t>or</w:t>
            </w:r>
            <w:r w:rsidR="00543E13">
              <w:rPr>
                <w:rFonts w:eastAsia="MS Mincho" w:cs="Times New Roman"/>
                <w:noProof/>
                <w:szCs w:val="32"/>
              </w:rPr>
              <w:t xml:space="preserve"> in terms of</w:t>
            </w:r>
            <w:r w:rsidRPr="00F93FF2">
              <w:rPr>
                <w:rFonts w:eastAsia="MS Mincho" w:cs="Times New Roman"/>
                <w:noProof/>
                <w:szCs w:val="32"/>
              </w:rPr>
              <w:t xml:space="preserve"> field values</w:t>
            </w:r>
            <w:r w:rsidR="00464015" w:rsidRPr="00F93FF2">
              <w:rPr>
                <w:rFonts w:eastAsia="MS Mincho" w:cs="Times New Roman"/>
                <w:noProof/>
                <w:szCs w:val="32"/>
              </w:rPr>
              <w:t>.</w:t>
            </w:r>
          </w:p>
          <w:p w:rsidR="00464015" w:rsidRPr="00F93FF2" w:rsidRDefault="00F93FF2" w:rsidP="00464015">
            <w:pPr>
              <w:pStyle w:val="ListParagraph"/>
              <w:numPr>
                <w:ilvl w:val="0"/>
                <w:numId w:val="3"/>
              </w:numPr>
              <w:spacing w:before="120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F93FF2">
              <w:rPr>
                <w:rFonts w:eastAsia="MS Mincho" w:cs="Times New Roman"/>
                <w:noProof/>
                <w:szCs w:val="32"/>
              </w:rPr>
              <w:lastRenderedPageBreak/>
              <w:t>A</w:t>
            </w:r>
            <w:r w:rsidRPr="00380870">
              <w:rPr>
                <w:rFonts w:eastAsia="MS Mincho" w:cs="Times New Roman"/>
                <w:noProof/>
                <w:szCs w:val="32"/>
              </w:rPr>
              <w:t>s T2S impo</w:t>
            </w:r>
            <w:r>
              <w:rPr>
                <w:rFonts w:eastAsia="MS Mincho" w:cs="Times New Roman"/>
                <w:noProof/>
                <w:szCs w:val="32"/>
              </w:rPr>
              <w:t>ses no restriction on the anteriority of the trade date c</w:t>
            </w:r>
            <w:r w:rsidR="00543E13">
              <w:rPr>
                <w:rFonts w:eastAsia="MS Mincho" w:cs="Times New Roman"/>
                <w:noProof/>
                <w:szCs w:val="32"/>
              </w:rPr>
              <w:t>ompared to the intended settlem</w:t>
            </w:r>
            <w:r>
              <w:rPr>
                <w:rFonts w:eastAsia="MS Mincho" w:cs="Times New Roman"/>
                <w:noProof/>
                <w:szCs w:val="32"/>
              </w:rPr>
              <w:t>e</w:t>
            </w:r>
            <w:r w:rsidR="00543E13">
              <w:rPr>
                <w:rFonts w:eastAsia="MS Mincho" w:cs="Times New Roman"/>
                <w:noProof/>
                <w:szCs w:val="32"/>
              </w:rPr>
              <w:t>n</w:t>
            </w:r>
            <w:r>
              <w:rPr>
                <w:rFonts w:eastAsia="MS Mincho" w:cs="Times New Roman"/>
                <w:noProof/>
                <w:szCs w:val="32"/>
              </w:rPr>
              <w:t xml:space="preserve">t date, on the contrary to the rule in force at Euroclear France, it is desirable that the </w:t>
            </w:r>
            <w:r w:rsidRPr="006F3D3C">
              <w:rPr>
                <w:rFonts w:eastAsia="MS Mincho" w:cs="Times New Roman"/>
                <w:noProof/>
                <w:szCs w:val="32"/>
              </w:rPr>
              <w:t>trade date</w:t>
            </w:r>
            <w:r>
              <w:rPr>
                <w:rFonts w:eastAsia="MS Mincho" w:cs="Times New Roman"/>
                <w:noProof/>
                <w:szCs w:val="32"/>
              </w:rPr>
              <w:t xml:space="preserve"> of the far leg be set at the original trade date of the contract as initially negotiated</w:t>
            </w:r>
            <w:r w:rsidR="00464015" w:rsidRPr="00F93FF2">
              <w:rPr>
                <w:rFonts w:eastAsia="MS Mincho" w:cs="Times New Roman"/>
                <w:noProof/>
                <w:szCs w:val="32"/>
              </w:rPr>
              <w:t>.</w:t>
            </w:r>
          </w:p>
          <w:p w:rsidR="001A21C6" w:rsidRPr="00EB2870" w:rsidRDefault="001A21C6" w:rsidP="001A21C6">
            <w:pPr>
              <w:pStyle w:val="ListParagraph"/>
              <w:numPr>
                <w:ilvl w:val="0"/>
                <w:numId w:val="3"/>
              </w:numPr>
              <w:spacing w:before="120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EB2870">
              <w:rPr>
                <w:rFonts w:eastAsia="MS Mincho" w:cs="Times New Roman"/>
                <w:noProof/>
                <w:szCs w:val="32"/>
              </w:rPr>
              <w:t>Management fo market claims and use of the OPT-OUT indicator : the field should beet set at ‘Blank’, notably as its use may influence the transfer of ownership in certain securities financing contracts.</w:t>
            </w:r>
          </w:p>
          <w:p w:rsidR="00F93FF2" w:rsidRPr="004011F7" w:rsidRDefault="00F93FF2" w:rsidP="00F93FF2">
            <w:pPr>
              <w:pStyle w:val="ListParagraph"/>
              <w:numPr>
                <w:ilvl w:val="0"/>
                <w:numId w:val="3"/>
              </w:numPr>
              <w:spacing w:before="120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4011F7">
              <w:rPr>
                <w:rFonts w:eastAsia="MS Mincho" w:cs="Times New Roman"/>
                <w:noProof/>
                <w:szCs w:val="32"/>
              </w:rPr>
              <w:t xml:space="preserve">In case instructions are not matched, not settled or cannot be reconciled, CSD participants </w:t>
            </w:r>
            <w:r>
              <w:rPr>
                <w:rFonts w:eastAsia="MS Mincho" w:cs="Times New Roman"/>
                <w:noProof/>
                <w:szCs w:val="32"/>
              </w:rPr>
              <w:t>should proceed as for regular buy/sell instructions, and contact trading parties to reach an agreement.</w:t>
            </w:r>
          </w:p>
          <w:p w:rsidR="00F93FF2" w:rsidRPr="004011F7" w:rsidRDefault="00F93FF2" w:rsidP="00F93FF2">
            <w:pPr>
              <w:pStyle w:val="ListParagraph"/>
              <w:numPr>
                <w:ilvl w:val="0"/>
                <w:numId w:val="3"/>
              </w:numPr>
              <w:spacing w:before="120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4011F7">
              <w:rPr>
                <w:rFonts w:eastAsia="MS Mincho" w:cs="Times New Roman"/>
                <w:noProof/>
                <w:szCs w:val="32"/>
              </w:rPr>
              <w:t>The far legs must be instructed as soon as possible in order to ensure matching</w:t>
            </w:r>
            <w:r>
              <w:rPr>
                <w:rFonts w:eastAsia="MS Mincho" w:cs="Times New Roman"/>
                <w:noProof/>
                <w:szCs w:val="32"/>
              </w:rPr>
              <w:t xml:space="preserve"> as soon as possible</w:t>
            </w:r>
            <w:r w:rsidRPr="004011F7">
              <w:rPr>
                <w:rFonts w:eastAsia="MS Mincho" w:cs="Times New Roman"/>
                <w:noProof/>
                <w:szCs w:val="32"/>
              </w:rPr>
              <w:t>.</w:t>
            </w:r>
          </w:p>
          <w:p w:rsidR="00464015" w:rsidRPr="00F93FF2" w:rsidRDefault="00F93FF2" w:rsidP="00464015">
            <w:pPr>
              <w:pStyle w:val="ListParagraph"/>
              <w:numPr>
                <w:ilvl w:val="0"/>
                <w:numId w:val="3"/>
              </w:numPr>
              <w:spacing w:before="120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4011F7">
              <w:rPr>
                <w:rFonts w:eastAsia="MS Mincho" w:cs="Times New Roman"/>
                <w:noProof/>
                <w:szCs w:val="32"/>
              </w:rPr>
              <w:t>The calculation of the interests must be made by trading parties</w:t>
            </w:r>
            <w:r w:rsidR="00464015" w:rsidRPr="00F93FF2">
              <w:rPr>
                <w:rFonts w:eastAsia="MS Mincho" w:cs="Times New Roman"/>
                <w:noProof/>
                <w:szCs w:val="32"/>
              </w:rPr>
              <w:t xml:space="preserve"> </w:t>
            </w:r>
            <w:r w:rsidR="00464015" w:rsidRPr="00F93FF2">
              <w:rPr>
                <w:rFonts w:eastAsia="MS Mincho" w:cs="Times New Roman"/>
                <w:i/>
                <w:noProof/>
                <w:szCs w:val="32"/>
              </w:rPr>
              <w:t>[</w:t>
            </w:r>
            <w:r>
              <w:rPr>
                <w:rFonts w:eastAsia="MS Mincho" w:cs="Times New Roman"/>
                <w:i/>
                <w:noProof/>
                <w:szCs w:val="32"/>
              </w:rPr>
              <w:t>design of the t</w:t>
            </w:r>
            <w:r w:rsidRPr="00F93FF2">
              <w:rPr>
                <w:rFonts w:eastAsia="MS Mincho" w:cs="Times New Roman"/>
                <w:i/>
                <w:noProof/>
                <w:szCs w:val="32"/>
              </w:rPr>
              <w:t xml:space="preserve">arget market </w:t>
            </w:r>
            <w:r>
              <w:rPr>
                <w:rFonts w:eastAsia="MS Mincho" w:cs="Times New Roman"/>
                <w:i/>
                <w:noProof/>
                <w:szCs w:val="32"/>
              </w:rPr>
              <w:t>practice ongoing</w:t>
            </w:r>
            <w:r w:rsidR="00464015" w:rsidRPr="00F93FF2">
              <w:rPr>
                <w:rFonts w:eastAsia="MS Mincho" w:cs="Times New Roman"/>
                <w:i/>
                <w:noProof/>
                <w:szCs w:val="32"/>
              </w:rPr>
              <w:t xml:space="preserve">. NB : </w:t>
            </w:r>
            <w:r w:rsidRPr="00F93FF2">
              <w:rPr>
                <w:rFonts w:eastAsia="MS Mincho" w:cs="Times New Roman"/>
                <w:i/>
                <w:noProof/>
                <w:szCs w:val="32"/>
              </w:rPr>
              <w:t xml:space="preserve">on cleared transactions, </w:t>
            </w:r>
            <w:r w:rsidR="00464015" w:rsidRPr="00F93FF2">
              <w:rPr>
                <w:rFonts w:eastAsia="MS Mincho" w:cs="Times New Roman"/>
                <w:i/>
                <w:noProof/>
                <w:szCs w:val="32"/>
              </w:rPr>
              <w:t xml:space="preserve">LCH.Clearnet </w:t>
            </w:r>
            <w:r w:rsidR="00543E13">
              <w:rPr>
                <w:rFonts w:eastAsia="MS Mincho" w:cs="Times New Roman"/>
                <w:i/>
                <w:noProof/>
                <w:szCs w:val="32"/>
              </w:rPr>
              <w:t>will continue to op</w:t>
            </w:r>
            <w:r w:rsidRPr="00F93FF2">
              <w:rPr>
                <w:rFonts w:eastAsia="MS Mincho" w:cs="Times New Roman"/>
                <w:i/>
                <w:noProof/>
                <w:szCs w:val="32"/>
              </w:rPr>
              <w:t>erate a cristallisation on ISD-1 on behalf of its members</w:t>
            </w:r>
            <w:r w:rsidR="00464015" w:rsidRPr="00F93FF2">
              <w:rPr>
                <w:rFonts w:eastAsia="MS Mincho" w:cs="Times New Roman"/>
                <w:i/>
                <w:noProof/>
                <w:szCs w:val="32"/>
              </w:rPr>
              <w:t>]</w:t>
            </w:r>
            <w:r w:rsidR="00464015" w:rsidRPr="00F93FF2">
              <w:rPr>
                <w:rFonts w:eastAsia="MS Mincho" w:cs="Times New Roman"/>
                <w:noProof/>
                <w:szCs w:val="32"/>
              </w:rPr>
              <w:t>.</w:t>
            </w:r>
          </w:p>
          <w:p w:rsidR="009F4CB9" w:rsidRPr="004011F7" w:rsidRDefault="009F4CB9" w:rsidP="009F4CB9">
            <w:pPr>
              <w:pStyle w:val="ListParagraph"/>
              <w:numPr>
                <w:ilvl w:val="0"/>
                <w:numId w:val="3"/>
              </w:numPr>
              <w:spacing w:before="120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4011F7">
              <w:rPr>
                <w:rFonts w:eastAsia="MS Mincho" w:cs="Times New Roman"/>
                <w:noProof/>
                <w:szCs w:val="32"/>
              </w:rPr>
              <w:t xml:space="preserve">These instructions will need to be reported to Banque de France for the Protide reporting, yet no specific processing is required by Banque de France, this reporting already integrating today </w:t>
            </w:r>
            <w:r>
              <w:rPr>
                <w:rFonts w:eastAsia="MS Mincho" w:cs="Times New Roman"/>
                <w:noProof/>
                <w:szCs w:val="32"/>
              </w:rPr>
              <w:t>transactions instructed in buy/sell mode</w:t>
            </w:r>
            <w:r w:rsidRPr="004011F7">
              <w:rPr>
                <w:rFonts w:eastAsia="MS Mincho" w:cs="Times New Roman"/>
                <w:noProof/>
                <w:szCs w:val="32"/>
              </w:rPr>
              <w:t xml:space="preserve">, </w:t>
            </w:r>
            <w:r>
              <w:rPr>
                <w:rFonts w:eastAsia="MS Mincho" w:cs="Times New Roman"/>
                <w:noProof/>
                <w:szCs w:val="32"/>
              </w:rPr>
              <w:t>for  instance for securities financing transactions instructed at ICSDs</w:t>
            </w:r>
            <w:r w:rsidRPr="004011F7">
              <w:rPr>
                <w:rFonts w:eastAsia="MS Mincho" w:cs="Times New Roman"/>
                <w:noProof/>
                <w:szCs w:val="32"/>
              </w:rPr>
              <w:t>.</w:t>
            </w:r>
          </w:p>
          <w:p w:rsidR="009F4CB9" w:rsidRPr="00F04ED7" w:rsidRDefault="009F4CB9" w:rsidP="009F4CB9">
            <w:pPr>
              <w:pStyle w:val="ListParagraph"/>
              <w:numPr>
                <w:ilvl w:val="0"/>
                <w:numId w:val="3"/>
              </w:numPr>
              <w:spacing w:before="120"/>
              <w:contextualSpacing w:val="0"/>
              <w:jc w:val="both"/>
              <w:rPr>
                <w:rFonts w:eastAsia="MS Mincho" w:cs="Times New Roman"/>
                <w:noProof/>
                <w:szCs w:val="32"/>
              </w:rPr>
            </w:pPr>
            <w:r w:rsidRPr="00F04ED7">
              <w:rPr>
                <w:rFonts w:eastAsia="MS Mincho" w:cs="Times New Roman"/>
                <w:noProof/>
                <w:szCs w:val="32"/>
              </w:rPr>
              <w:t xml:space="preserve">In case coupons are wrongfully allocated with regards to the actual property of the securities, institutions </w:t>
            </w:r>
            <w:r>
              <w:rPr>
                <w:rFonts w:eastAsia="MS Mincho" w:cs="Times New Roman"/>
                <w:noProof/>
                <w:szCs w:val="32"/>
              </w:rPr>
              <w:t>should internally manage compensations on the approp</w:t>
            </w:r>
            <w:r w:rsidR="00543E13">
              <w:rPr>
                <w:rFonts w:eastAsia="MS Mincho" w:cs="Times New Roman"/>
                <w:noProof/>
                <w:szCs w:val="32"/>
              </w:rPr>
              <w:t>ria</w:t>
            </w:r>
            <w:r>
              <w:rPr>
                <w:rFonts w:eastAsia="MS Mincho" w:cs="Times New Roman"/>
                <w:noProof/>
                <w:szCs w:val="32"/>
              </w:rPr>
              <w:t xml:space="preserve">te payment date, and ensure that </w:t>
            </w:r>
            <w:r w:rsidR="00543E13">
              <w:rPr>
                <w:rFonts w:eastAsia="MS Mincho" w:cs="Times New Roman"/>
                <w:noProof/>
                <w:szCs w:val="32"/>
              </w:rPr>
              <w:t xml:space="preserve">no </w:t>
            </w:r>
            <w:r w:rsidRPr="00F04ED7">
              <w:rPr>
                <w:rFonts w:eastAsia="MS Mincho" w:cs="Times New Roman"/>
                <w:noProof/>
                <w:szCs w:val="32"/>
              </w:rPr>
              <w:t>compensatory amount is automatically generated by Euroclear France at the end of the contract (NB: if those amounts were generated at the end of the contract by Euroclear France, they would have to be neutralized).</w:t>
            </w:r>
            <w:r>
              <w:rPr>
                <w:rFonts w:eastAsia="MS Mincho" w:cs="Times New Roman"/>
                <w:noProof/>
                <w:szCs w:val="32"/>
              </w:rPr>
              <w:t xml:space="preserve"> This market practice is identical to that existing on international contracts. </w:t>
            </w:r>
          </w:p>
          <w:p w:rsidR="009F4CB9" w:rsidRPr="00E85FCD" w:rsidRDefault="009F4CB9" w:rsidP="009F4CB9">
            <w:pPr>
              <w:spacing w:before="120"/>
              <w:jc w:val="both"/>
              <w:rPr>
                <w:rFonts w:eastAsia="MS Mincho" w:cs="Times New Roman"/>
                <w:i/>
                <w:noProof/>
                <w:szCs w:val="32"/>
              </w:rPr>
            </w:pPr>
          </w:p>
          <w:p w:rsidR="009F4CB9" w:rsidRPr="009F4CB9" w:rsidRDefault="009F4CB9" w:rsidP="009F4CB9">
            <w:pPr>
              <w:spacing w:before="120"/>
              <w:jc w:val="both"/>
              <w:rPr>
                <w:rFonts w:eastAsia="MS Mincho" w:cs="Times New Roman"/>
                <w:i/>
                <w:noProof/>
                <w:szCs w:val="32"/>
              </w:rPr>
            </w:pPr>
            <w:r w:rsidRPr="009F4CB9">
              <w:rPr>
                <w:rFonts w:eastAsia="MS Mincho" w:cs="Times New Roman"/>
                <w:i/>
                <w:noProof/>
                <w:szCs w:val="32"/>
              </w:rPr>
              <w:t>[Management of market claims: ongoing design of the market practice]</w:t>
            </w:r>
          </w:p>
          <w:p w:rsidR="009F4CB9" w:rsidRPr="009F4CB9" w:rsidRDefault="009F4CB9" w:rsidP="009F4CB9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</w:p>
          <w:p w:rsidR="009F4CB9" w:rsidRPr="00BA2902" w:rsidRDefault="009F4CB9" w:rsidP="009F4CB9">
            <w:pPr>
              <w:spacing w:before="120"/>
              <w:rPr>
                <w:rFonts w:eastAsia="MS Mincho" w:cs="Times New Roman"/>
                <w:b/>
                <w:noProof/>
                <w:szCs w:val="32"/>
              </w:rPr>
            </w:pPr>
            <w:r w:rsidRPr="00BA2902">
              <w:rPr>
                <w:rFonts w:eastAsia="MS Mincho" w:cs="Times New Roman"/>
                <w:b/>
                <w:noProof/>
                <w:szCs w:val="32"/>
              </w:rPr>
              <w:t>Specific case of open-ended contracts</w:t>
            </w:r>
          </w:p>
          <w:p w:rsidR="00AA1FDB" w:rsidRPr="009F4CB9" w:rsidRDefault="009F4CB9" w:rsidP="00464015">
            <w:pPr>
              <w:spacing w:before="120"/>
              <w:jc w:val="both"/>
              <w:rPr>
                <w:rFonts w:eastAsia="MS Mincho" w:cs="Times New Roman"/>
                <w:noProof/>
                <w:szCs w:val="32"/>
              </w:rPr>
            </w:pPr>
            <w:r w:rsidRPr="00DE38D2">
              <w:rPr>
                <w:rFonts w:eastAsia="MS Mincho" w:cs="Times New Roman"/>
                <w:noProof/>
                <w:szCs w:val="32"/>
              </w:rPr>
              <w:t>The management of re-instructions of the far legs on open</w:t>
            </w:r>
            <w:r w:rsidR="00543E13">
              <w:rPr>
                <w:rFonts w:eastAsia="MS Mincho" w:cs="Times New Roman"/>
                <w:noProof/>
                <w:szCs w:val="32"/>
              </w:rPr>
              <w:t>-ended</w:t>
            </w:r>
            <w:r w:rsidRPr="00DE38D2">
              <w:rPr>
                <w:rFonts w:eastAsia="MS Mincho" w:cs="Times New Roman"/>
                <w:noProof/>
                <w:szCs w:val="32"/>
              </w:rPr>
              <w:t xml:space="preserve"> contracts is identical to that of variable-rate repurchase agreements: </w:t>
            </w:r>
            <w:r>
              <w:rPr>
                <w:rFonts w:eastAsia="MS Mincho" w:cs="Times New Roman"/>
                <w:noProof/>
                <w:szCs w:val="32"/>
              </w:rPr>
              <w:t xml:space="preserve">as long as </w:t>
            </w:r>
            <w:r w:rsidRPr="00DE38D2">
              <w:rPr>
                <w:rFonts w:eastAsia="MS Mincho" w:cs="Times New Roman"/>
                <w:noProof/>
                <w:szCs w:val="32"/>
              </w:rPr>
              <w:t xml:space="preserve">the maturity date </w:t>
            </w:r>
            <w:r>
              <w:rPr>
                <w:rFonts w:eastAsia="MS Mincho" w:cs="Times New Roman"/>
                <w:noProof/>
                <w:szCs w:val="32"/>
              </w:rPr>
              <w:t xml:space="preserve">is </w:t>
            </w:r>
            <w:r w:rsidRPr="00DE38D2">
              <w:rPr>
                <w:rFonts w:eastAsia="MS Mincho" w:cs="Times New Roman"/>
                <w:noProof/>
                <w:szCs w:val="32"/>
              </w:rPr>
              <w:t xml:space="preserve">not </w:t>
            </w:r>
            <w:r>
              <w:rPr>
                <w:rFonts w:eastAsia="MS Mincho" w:cs="Times New Roman"/>
                <w:noProof/>
                <w:szCs w:val="32"/>
              </w:rPr>
              <w:t xml:space="preserve">known, participants cannot instruct the far legs. </w:t>
            </w:r>
            <w:r w:rsidRPr="00DE38D2">
              <w:rPr>
                <w:rFonts w:eastAsia="MS Mincho" w:cs="Times New Roman"/>
                <w:noProof/>
                <w:szCs w:val="32"/>
              </w:rPr>
              <w:t xml:space="preserve">Once the ‘Pensions Livrées’ module will be </w:t>
            </w:r>
            <w:r w:rsidR="00543E13">
              <w:rPr>
                <w:rFonts w:eastAsia="MS Mincho" w:cs="Times New Roman"/>
                <w:noProof/>
                <w:szCs w:val="32"/>
              </w:rPr>
              <w:t>deactivated, the far legs on op</w:t>
            </w:r>
            <w:r w:rsidRPr="00DE38D2">
              <w:rPr>
                <w:rFonts w:eastAsia="MS Mincho" w:cs="Times New Roman"/>
                <w:noProof/>
                <w:szCs w:val="32"/>
              </w:rPr>
              <w:t>e</w:t>
            </w:r>
            <w:r w:rsidR="00543E13">
              <w:rPr>
                <w:rFonts w:eastAsia="MS Mincho" w:cs="Times New Roman"/>
                <w:noProof/>
                <w:szCs w:val="32"/>
              </w:rPr>
              <w:t>n</w:t>
            </w:r>
            <w:r w:rsidRPr="00DE38D2">
              <w:rPr>
                <w:rFonts w:eastAsia="MS Mincho" w:cs="Times New Roman"/>
                <w:noProof/>
                <w:szCs w:val="32"/>
              </w:rPr>
              <w:t>-ended contracts will not be visible by other participants.</w:t>
            </w:r>
          </w:p>
        </w:tc>
      </w:tr>
      <w:tr w:rsidR="0081511D" w:rsidRPr="009F4CB9" w:rsidTr="0081511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Pr="009F4CB9" w:rsidRDefault="0081511D" w:rsidP="006542E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7513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1511D" w:rsidRPr="009F4CB9" w:rsidRDefault="0081511D" w:rsidP="006542ED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</w:tr>
      <w:tr w:rsidR="009377E1" w:rsidTr="0081511D">
        <w:trPr>
          <w:gridAfter w:val="1"/>
          <w:wAfter w:w="30" w:type="dxa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377E1" w:rsidRPr="003348A6" w:rsidRDefault="009377E1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lastRenderedPageBreak/>
              <w:t>Description of the roles and responsibilities of the ac</w:t>
            </w:r>
            <w:r>
              <w:rPr>
                <w:rFonts w:eastAsia="MS Mincho" w:cs="Times New Roman"/>
                <w:b/>
                <w:noProof/>
                <w:szCs w:val="32"/>
              </w:rPr>
              <w:t>to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rs involved </w:t>
            </w:r>
          </w:p>
          <w:p w:rsidR="009377E1" w:rsidRPr="00D103DA" w:rsidRDefault="009377E1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(OPTIONAL)</w:t>
            </w:r>
          </w:p>
        </w:tc>
        <w:tc>
          <w:tcPr>
            <w:tcW w:w="7483" w:type="dxa"/>
            <w:tcBorders>
              <w:bottom w:val="single" w:sz="4" w:space="0" w:color="auto"/>
            </w:tcBorders>
          </w:tcPr>
          <w:p w:rsidR="009377E1" w:rsidRDefault="009377E1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9377E1" w:rsidRDefault="009377E1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9377E1" w:rsidRDefault="009377E1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9377E1" w:rsidRDefault="009377E1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9377E1" w:rsidTr="0081511D">
        <w:trPr>
          <w:gridAfter w:val="1"/>
          <w:wAfter w:w="30" w:type="dxa"/>
        </w:trPr>
        <w:tc>
          <w:tcPr>
            <w:tcW w:w="2093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9377E1" w:rsidRDefault="009377E1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483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9377E1" w:rsidRDefault="009377E1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9377E1" w:rsidTr="0081511D">
        <w:trPr>
          <w:gridAfter w:val="1"/>
          <w:wAfter w:w="30" w:type="dxa"/>
        </w:trPr>
        <w:tc>
          <w:tcPr>
            <w:tcW w:w="2093" w:type="dxa"/>
            <w:shd w:val="clear" w:color="auto" w:fill="BFBFBF" w:themeFill="background1" w:themeFillShade="BF"/>
          </w:tcPr>
          <w:p w:rsidR="009377E1" w:rsidRDefault="009377E1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Workflows</w:t>
            </w:r>
          </w:p>
          <w:p w:rsidR="009377E1" w:rsidRDefault="009377E1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(OPTIONAL)</w:t>
            </w:r>
          </w:p>
        </w:tc>
        <w:tc>
          <w:tcPr>
            <w:tcW w:w="7483" w:type="dxa"/>
            <w:tcBorders>
              <w:bottom w:val="single" w:sz="4" w:space="0" w:color="auto"/>
            </w:tcBorders>
          </w:tcPr>
          <w:p w:rsidR="009377E1" w:rsidRDefault="009377E1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9377E1" w:rsidRDefault="009377E1" w:rsidP="006542ED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</w:tbl>
    <w:p w:rsidR="00363E89" w:rsidRDefault="00363E89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BA6B0A" w:rsidRDefault="00BA6B0A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140482" w:rsidRDefault="00140482">
      <w:pPr>
        <w:rPr>
          <w:rFonts w:eastAsia="MS Mincho" w:cs="Times New Roman"/>
          <w:b/>
          <w:caps/>
          <w:noProof/>
          <w:sz w:val="32"/>
          <w:szCs w:val="32"/>
          <w:lang w:val="fr-FR"/>
        </w:rPr>
      </w:pPr>
    </w:p>
    <w:p w:rsidR="00465093" w:rsidRPr="004F6025" w:rsidRDefault="009377E1" w:rsidP="00465093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implementation</w:t>
      </w:r>
    </w:p>
    <w:p w:rsidR="00465093" w:rsidRDefault="00465093" w:rsidP="0046509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TableGrid"/>
        <w:tblW w:w="9616" w:type="dxa"/>
        <w:tblLook w:val="04A0" w:firstRow="1" w:lastRow="0" w:firstColumn="1" w:lastColumn="0" w:noHBand="0" w:noVBand="1"/>
      </w:tblPr>
      <w:tblGrid>
        <w:gridCol w:w="2302"/>
        <w:gridCol w:w="2166"/>
        <w:gridCol w:w="272"/>
        <w:gridCol w:w="1599"/>
        <w:gridCol w:w="839"/>
        <w:gridCol w:w="842"/>
        <w:gridCol w:w="1556"/>
        <w:gridCol w:w="40"/>
      </w:tblGrid>
      <w:tr w:rsidR="009377E1" w:rsidRPr="009377E1" w:rsidTr="000E651B">
        <w:trPr>
          <w:trHeight w:val="338"/>
        </w:trPr>
        <w:tc>
          <w:tcPr>
            <w:tcW w:w="2302" w:type="dxa"/>
            <w:vMerge w:val="restart"/>
            <w:shd w:val="clear" w:color="auto" w:fill="BFBFBF" w:themeFill="background1" w:themeFillShade="BF"/>
          </w:tcPr>
          <w:p w:rsidR="009377E1" w:rsidRPr="00D103DA" w:rsidRDefault="009377E1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Implementation timeline</w:t>
            </w:r>
          </w:p>
        </w:tc>
        <w:tc>
          <w:tcPr>
            <w:tcW w:w="2438" w:type="dxa"/>
            <w:gridSpan w:val="2"/>
          </w:tcPr>
          <w:p w:rsidR="009377E1" w:rsidRPr="003348A6" w:rsidRDefault="009377E1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Before the migration </w:t>
            </w:r>
            <w:r>
              <w:rPr>
                <w:rFonts w:eastAsia="MS Mincho" w:cs="Times New Roman"/>
                <w:b/>
                <w:noProof/>
                <w:szCs w:val="32"/>
              </w:rPr>
              <w:t xml:space="preserve">to 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>T2S</w:t>
            </w:r>
          </w:p>
        </w:tc>
        <w:tc>
          <w:tcPr>
            <w:tcW w:w="2438" w:type="dxa"/>
            <w:gridSpan w:val="2"/>
          </w:tcPr>
          <w:p w:rsidR="009377E1" w:rsidRPr="003348A6" w:rsidRDefault="009377E1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>Upon go live on T2S</w:t>
            </w:r>
          </w:p>
        </w:tc>
        <w:tc>
          <w:tcPr>
            <w:tcW w:w="2438" w:type="dxa"/>
            <w:gridSpan w:val="3"/>
          </w:tcPr>
          <w:p w:rsidR="009377E1" w:rsidRPr="003348A6" w:rsidRDefault="009377E1" w:rsidP="000E651B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3348A6">
              <w:rPr>
                <w:rFonts w:eastAsia="MS Mincho" w:cs="Times New Roman"/>
                <w:b/>
                <w:noProof/>
                <w:szCs w:val="32"/>
              </w:rPr>
              <w:t xml:space="preserve">After the migration </w:t>
            </w:r>
            <w:r>
              <w:rPr>
                <w:rFonts w:eastAsia="MS Mincho" w:cs="Times New Roman"/>
                <w:b/>
                <w:noProof/>
                <w:szCs w:val="32"/>
              </w:rPr>
              <w:t xml:space="preserve">to </w:t>
            </w:r>
            <w:r w:rsidRPr="003348A6">
              <w:rPr>
                <w:rFonts w:eastAsia="MS Mincho" w:cs="Times New Roman"/>
                <w:b/>
                <w:noProof/>
                <w:szCs w:val="32"/>
              </w:rPr>
              <w:t>T2S</w:t>
            </w:r>
          </w:p>
        </w:tc>
      </w:tr>
      <w:tr w:rsidR="00465093" w:rsidTr="000E651B">
        <w:trPr>
          <w:trHeight w:val="337"/>
        </w:trPr>
        <w:tc>
          <w:tcPr>
            <w:tcW w:w="2302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65093" w:rsidRPr="009377E1" w:rsidRDefault="00465093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65093" w:rsidRDefault="00465093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465093" w:rsidRPr="00785264" w:rsidRDefault="00465093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  <w:p w:rsidR="00465093" w:rsidRDefault="00465093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</w:tcPr>
          <w:p w:rsidR="00465093" w:rsidRDefault="00465093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</w:t>
            </w:r>
          </w:p>
          <w:p w:rsidR="00465093" w:rsidRPr="00785264" w:rsidRDefault="00465093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12/09/2016</w:t>
            </w: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465093" w:rsidRDefault="00465093" w:rsidP="000E651B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465093" w:rsidRPr="00785264" w:rsidRDefault="00465093" w:rsidP="000E651B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</w:tc>
      </w:tr>
      <w:tr w:rsidR="00465093" w:rsidTr="000E651B">
        <w:trPr>
          <w:gridAfter w:val="1"/>
          <w:wAfter w:w="40" w:type="dxa"/>
          <w:trHeight w:val="337"/>
        </w:trPr>
        <w:tc>
          <w:tcPr>
            <w:tcW w:w="230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465093" w:rsidRDefault="00465093" w:rsidP="000E651B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216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465093" w:rsidRDefault="00465093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87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465093" w:rsidRDefault="00465093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68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465093" w:rsidRDefault="00465093" w:rsidP="000E651B">
            <w:pPr>
              <w:jc w:val="center"/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55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465093" w:rsidRDefault="00465093" w:rsidP="000E651B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465093" w:rsidTr="000E651B">
        <w:trPr>
          <w:gridAfter w:val="1"/>
          <w:wAfter w:w="40" w:type="dxa"/>
        </w:trPr>
        <w:tc>
          <w:tcPr>
            <w:tcW w:w="230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65093" w:rsidRPr="009377E1" w:rsidRDefault="009377E1" w:rsidP="000E651B">
            <w:pPr>
              <w:rPr>
                <w:rFonts w:eastAsia="MS Mincho" w:cs="Times New Roman"/>
                <w:b/>
                <w:noProof/>
                <w:szCs w:val="32"/>
              </w:rPr>
            </w:pPr>
            <w:r w:rsidRPr="000D33A6">
              <w:rPr>
                <w:rFonts w:eastAsia="MS Mincho" w:cs="Times New Roman"/>
                <w:b/>
                <w:noProof/>
                <w:szCs w:val="32"/>
              </w:rPr>
              <w:t>Requirement for a specific test set</w:t>
            </w:r>
          </w:p>
        </w:tc>
        <w:tc>
          <w:tcPr>
            <w:tcW w:w="4037" w:type="dxa"/>
            <w:gridSpan w:val="3"/>
            <w:tcBorders>
              <w:bottom w:val="single" w:sz="4" w:space="0" w:color="auto"/>
            </w:tcBorders>
          </w:tcPr>
          <w:p w:rsidR="00465093" w:rsidRPr="00D7031E" w:rsidRDefault="009377E1" w:rsidP="000E651B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  <w:proofErr w:type="spellStart"/>
            <w:r>
              <w:rPr>
                <w:lang w:val="fr-FR"/>
              </w:rPr>
              <w:t>Yes</w:t>
            </w:r>
            <w:proofErr w:type="spellEnd"/>
            <w:r w:rsidR="00465093">
              <w:rPr>
                <w:lang w:val="fr-FR"/>
              </w:rPr>
              <w:t xml:space="preserve">  </w:t>
            </w:r>
            <w:r w:rsidR="00465093"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465093" w:rsidRPr="00E35B86" w:rsidRDefault="00465093" w:rsidP="000E651B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</w:p>
        </w:tc>
        <w:tc>
          <w:tcPr>
            <w:tcW w:w="3237" w:type="dxa"/>
            <w:gridSpan w:val="3"/>
            <w:tcBorders>
              <w:bottom w:val="single" w:sz="4" w:space="0" w:color="auto"/>
            </w:tcBorders>
          </w:tcPr>
          <w:p w:rsidR="00465093" w:rsidRDefault="00465093" w:rsidP="009377E1">
            <w:pPr>
              <w:tabs>
                <w:tab w:val="left" w:pos="9356"/>
              </w:tabs>
              <w:ind w:right="-279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No  </w:t>
            </w: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</w:tc>
      </w:tr>
    </w:tbl>
    <w:p w:rsidR="00465093" w:rsidRDefault="00465093" w:rsidP="0046509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bookmarkEnd w:id="0"/>
    <w:p w:rsidR="00BA6B0A" w:rsidRPr="00465093" w:rsidRDefault="00BA6B0A" w:rsidP="0046509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sectPr w:rsidR="00BA6B0A" w:rsidRPr="00465093" w:rsidSect="006D68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C4D" w:rsidRDefault="00461C4D" w:rsidP="006D6846">
      <w:pPr>
        <w:spacing w:after="0" w:line="240" w:lineRule="auto"/>
      </w:pPr>
      <w:r>
        <w:separator/>
      </w:r>
    </w:p>
  </w:endnote>
  <w:endnote w:type="continuationSeparator" w:id="0">
    <w:p w:rsidR="00461C4D" w:rsidRDefault="00461C4D" w:rsidP="006D6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DE3" w:rsidRDefault="008A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96976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A06BD" w:rsidRDefault="00BA06BD">
            <w:pPr>
              <w:pStyle w:val="Footer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287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287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C776F" w:rsidRDefault="00EC776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DE3" w:rsidRDefault="008A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C4D" w:rsidRDefault="00461C4D" w:rsidP="006D6846">
      <w:pPr>
        <w:spacing w:after="0" w:line="240" w:lineRule="auto"/>
      </w:pPr>
      <w:r>
        <w:separator/>
      </w:r>
    </w:p>
  </w:footnote>
  <w:footnote w:type="continuationSeparator" w:id="0">
    <w:p w:rsidR="00461C4D" w:rsidRDefault="00461C4D" w:rsidP="006D6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DE3" w:rsidRDefault="008A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49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7"/>
      <w:gridCol w:w="3261"/>
      <w:gridCol w:w="2694"/>
    </w:tblGrid>
    <w:tr w:rsidR="00BA06BD" w:rsidTr="008A0DE3">
      <w:tc>
        <w:tcPr>
          <w:tcW w:w="4537" w:type="dxa"/>
          <w:vAlign w:val="center"/>
        </w:tcPr>
        <w:p w:rsidR="00BA06BD" w:rsidRPr="005B1C9D" w:rsidRDefault="00BA06BD" w:rsidP="009377E1">
          <w:pPr>
            <w:pStyle w:val="Header"/>
            <w:jc w:val="center"/>
            <w:rPr>
              <w:b/>
            </w:rPr>
          </w:pPr>
          <w:r w:rsidRPr="005B1C9D">
            <w:rPr>
              <w:b/>
            </w:rPr>
            <w:t>T2S Market Practice Adaptation Workgroup</w:t>
          </w:r>
        </w:p>
        <w:p w:rsidR="00BA06BD" w:rsidRPr="009377E1" w:rsidRDefault="00BA06BD" w:rsidP="009377E1">
          <w:pPr>
            <w:pStyle w:val="Header"/>
            <w:jc w:val="center"/>
            <w:rPr>
              <w:b/>
            </w:rPr>
          </w:pPr>
          <w:r w:rsidRPr="005B1C9D">
            <w:rPr>
              <w:b/>
            </w:rPr>
            <w:t xml:space="preserve">Market Practice </w:t>
          </w:r>
          <w:r>
            <w:rPr>
              <w:b/>
            </w:rPr>
            <w:t>Sheet</w:t>
          </w:r>
        </w:p>
      </w:tc>
      <w:tc>
        <w:tcPr>
          <w:tcW w:w="3261" w:type="dxa"/>
          <w:vAlign w:val="center"/>
        </w:tcPr>
        <w:p w:rsidR="00BA06BD" w:rsidRDefault="00BA06BD" w:rsidP="00EC776F">
          <w:pPr>
            <w:pStyle w:val="Header"/>
            <w:jc w:val="center"/>
            <w:rPr>
              <w:b/>
              <w:lang w:val="fr-FR"/>
            </w:rPr>
          </w:pPr>
          <w:r>
            <w:rPr>
              <w:noProof/>
            </w:rPr>
            <w:drawing>
              <wp:inline distT="0" distB="0" distL="0" distR="0" wp14:anchorId="0112F66A" wp14:editId="4F83F34F">
                <wp:extent cx="1032931" cy="516467"/>
                <wp:effectExtent l="0" t="0" r="0" b="0"/>
                <wp:docPr id="8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4228" cy="5171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</w:tcPr>
        <w:p w:rsidR="00BA06BD" w:rsidRDefault="00BA06BD" w:rsidP="00EC776F">
          <w:pPr>
            <w:pStyle w:val="Header"/>
            <w:jc w:val="center"/>
            <w:rPr>
              <w:noProof/>
              <w:lang w:val="fr-FR" w:eastAsia="fr-FR"/>
            </w:rPr>
          </w:pPr>
          <w:r>
            <w:object w:dxaOrig="7200" w:dyaOrig="46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5.55pt;height:54pt" o:ole="">
                <v:imagedata r:id="rId2" o:title=""/>
              </v:shape>
              <o:OLEObject Type="Embed" ProgID="PBrush" ShapeID="_x0000_i1025" DrawAspect="Content" ObjectID="_1533956247" r:id="rId3"/>
            </w:object>
          </w:r>
        </w:p>
      </w:tc>
    </w:tr>
    <w:tr w:rsidR="00BA06BD" w:rsidRPr="00FF4717" w:rsidTr="008A0DE3">
      <w:tc>
        <w:tcPr>
          <w:tcW w:w="4537" w:type="dxa"/>
          <w:vAlign w:val="center"/>
        </w:tcPr>
        <w:p w:rsidR="00BA06BD" w:rsidRPr="009377E1" w:rsidRDefault="00BA06BD" w:rsidP="0081511D">
          <w:pPr>
            <w:pStyle w:val="Header"/>
            <w:rPr>
              <w:i/>
            </w:rPr>
          </w:pPr>
          <w:r>
            <w:rPr>
              <w:i/>
            </w:rPr>
            <w:t>Practice</w:t>
          </w:r>
          <w:r w:rsidRPr="0033411F">
            <w:rPr>
              <w:i/>
            </w:rPr>
            <w:t xml:space="preserve"> reference</w:t>
          </w:r>
          <w:r w:rsidRPr="009377E1">
            <w:rPr>
              <w:i/>
            </w:rPr>
            <w:t>: MS-SETTL-CESSIONSTEMP-02</w:t>
          </w:r>
        </w:p>
      </w:tc>
      <w:tc>
        <w:tcPr>
          <w:tcW w:w="3261" w:type="dxa"/>
          <w:vAlign w:val="center"/>
        </w:tcPr>
        <w:p w:rsidR="00BA06BD" w:rsidRPr="009377E1" w:rsidRDefault="00BA06BD" w:rsidP="00EC776F">
          <w:pPr>
            <w:pStyle w:val="Header"/>
            <w:jc w:val="center"/>
            <w:rPr>
              <w:noProof/>
            </w:rPr>
          </w:pPr>
        </w:p>
      </w:tc>
      <w:tc>
        <w:tcPr>
          <w:tcW w:w="2694" w:type="dxa"/>
        </w:tcPr>
        <w:p w:rsidR="00BA06BD" w:rsidRPr="009377E1" w:rsidRDefault="00BA06BD" w:rsidP="00EC776F">
          <w:pPr>
            <w:pStyle w:val="Header"/>
            <w:jc w:val="center"/>
            <w:rPr>
              <w:noProof/>
            </w:rPr>
          </w:pPr>
        </w:p>
      </w:tc>
    </w:tr>
  </w:tbl>
  <w:p w:rsidR="00EC776F" w:rsidRPr="009377E1" w:rsidRDefault="00EC776F">
    <w:pPr>
      <w:pStyle w:val="Header"/>
      <w:rPr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DE3" w:rsidRDefault="008A0D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BC6"/>
    <w:multiLevelType w:val="hybridMultilevel"/>
    <w:tmpl w:val="2C0049D2"/>
    <w:lvl w:ilvl="0" w:tplc="A162A862">
      <w:start w:val="1"/>
      <w:numFmt w:val="bullet"/>
      <w:lvlText w:val=""/>
      <w:lvlJc w:val="left"/>
      <w:pPr>
        <w:ind w:left="114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049741B3"/>
    <w:multiLevelType w:val="hybridMultilevel"/>
    <w:tmpl w:val="1B20EB06"/>
    <w:lvl w:ilvl="0" w:tplc="437E9AEE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A7E25"/>
    <w:multiLevelType w:val="hybridMultilevel"/>
    <w:tmpl w:val="B692A802"/>
    <w:lvl w:ilvl="0" w:tplc="0C880406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7B0E1E"/>
    <w:multiLevelType w:val="hybridMultilevel"/>
    <w:tmpl w:val="43EAEF10"/>
    <w:lvl w:ilvl="0" w:tplc="93466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5323E3"/>
    <w:multiLevelType w:val="hybridMultilevel"/>
    <w:tmpl w:val="92625E74"/>
    <w:lvl w:ilvl="0" w:tplc="1A349598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8479E7"/>
    <w:multiLevelType w:val="hybridMultilevel"/>
    <w:tmpl w:val="C9320524"/>
    <w:lvl w:ilvl="0" w:tplc="9454D1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2F2BC6"/>
    <w:multiLevelType w:val="hybridMultilevel"/>
    <w:tmpl w:val="1C8C7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 Sousa, Maria">
    <w15:presenceInfo w15:providerId="AD" w15:userId="S-1-5-21-3942990428-588001494-4079709122-109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46"/>
    <w:rsid w:val="00020084"/>
    <w:rsid w:val="000706A3"/>
    <w:rsid w:val="000A6C94"/>
    <w:rsid w:val="000C1C9B"/>
    <w:rsid w:val="000D6F4D"/>
    <w:rsid w:val="000F3C24"/>
    <w:rsid w:val="00140482"/>
    <w:rsid w:val="00145ADA"/>
    <w:rsid w:val="001522A5"/>
    <w:rsid w:val="00162BBA"/>
    <w:rsid w:val="00172FFF"/>
    <w:rsid w:val="00183F7A"/>
    <w:rsid w:val="001A21C6"/>
    <w:rsid w:val="001B0416"/>
    <w:rsid w:val="001B1E38"/>
    <w:rsid w:val="001C4C4C"/>
    <w:rsid w:val="001C7BAF"/>
    <w:rsid w:val="001D7830"/>
    <w:rsid w:val="001E0D83"/>
    <w:rsid w:val="00211814"/>
    <w:rsid w:val="00217510"/>
    <w:rsid w:val="00283DDE"/>
    <w:rsid w:val="0028538B"/>
    <w:rsid w:val="002C321F"/>
    <w:rsid w:val="002D0720"/>
    <w:rsid w:val="00311129"/>
    <w:rsid w:val="00343829"/>
    <w:rsid w:val="00343B9E"/>
    <w:rsid w:val="003631EA"/>
    <w:rsid w:val="00363E89"/>
    <w:rsid w:val="00364250"/>
    <w:rsid w:val="003929BA"/>
    <w:rsid w:val="003A4E76"/>
    <w:rsid w:val="003B3DA4"/>
    <w:rsid w:val="003D5E9F"/>
    <w:rsid w:val="003D7060"/>
    <w:rsid w:val="00461C4D"/>
    <w:rsid w:val="00464015"/>
    <w:rsid w:val="00465093"/>
    <w:rsid w:val="004818D8"/>
    <w:rsid w:val="00482296"/>
    <w:rsid w:val="004F6025"/>
    <w:rsid w:val="005061BA"/>
    <w:rsid w:val="0051485E"/>
    <w:rsid w:val="00515B50"/>
    <w:rsid w:val="00543E13"/>
    <w:rsid w:val="00567B1D"/>
    <w:rsid w:val="00575F36"/>
    <w:rsid w:val="005C2ACA"/>
    <w:rsid w:val="00622E8A"/>
    <w:rsid w:val="00625541"/>
    <w:rsid w:val="00652C13"/>
    <w:rsid w:val="0069580E"/>
    <w:rsid w:val="006D6846"/>
    <w:rsid w:val="00701AE2"/>
    <w:rsid w:val="00714CE6"/>
    <w:rsid w:val="00727BF7"/>
    <w:rsid w:val="0074709E"/>
    <w:rsid w:val="00765664"/>
    <w:rsid w:val="007C7303"/>
    <w:rsid w:val="007F6CFC"/>
    <w:rsid w:val="0080446B"/>
    <w:rsid w:val="0081511D"/>
    <w:rsid w:val="00830B7B"/>
    <w:rsid w:val="008417A1"/>
    <w:rsid w:val="00841E84"/>
    <w:rsid w:val="008800A4"/>
    <w:rsid w:val="00893912"/>
    <w:rsid w:val="008A0DE3"/>
    <w:rsid w:val="008A30A6"/>
    <w:rsid w:val="008A5820"/>
    <w:rsid w:val="008C734C"/>
    <w:rsid w:val="0091257E"/>
    <w:rsid w:val="0092276F"/>
    <w:rsid w:val="00922A8E"/>
    <w:rsid w:val="00933237"/>
    <w:rsid w:val="009377E1"/>
    <w:rsid w:val="00951138"/>
    <w:rsid w:val="009606C4"/>
    <w:rsid w:val="00982218"/>
    <w:rsid w:val="00995F65"/>
    <w:rsid w:val="009978DE"/>
    <w:rsid w:val="009A24A6"/>
    <w:rsid w:val="009A2F1A"/>
    <w:rsid w:val="009A64D1"/>
    <w:rsid w:val="009D0064"/>
    <w:rsid w:val="009F4CB9"/>
    <w:rsid w:val="00A133A7"/>
    <w:rsid w:val="00A20577"/>
    <w:rsid w:val="00A21489"/>
    <w:rsid w:val="00A40ED4"/>
    <w:rsid w:val="00A45A45"/>
    <w:rsid w:val="00A678C0"/>
    <w:rsid w:val="00A746A0"/>
    <w:rsid w:val="00A90EEC"/>
    <w:rsid w:val="00AA1FDB"/>
    <w:rsid w:val="00AA62D7"/>
    <w:rsid w:val="00AC134F"/>
    <w:rsid w:val="00B26098"/>
    <w:rsid w:val="00B31057"/>
    <w:rsid w:val="00B416B3"/>
    <w:rsid w:val="00B44E11"/>
    <w:rsid w:val="00B540C8"/>
    <w:rsid w:val="00B62B1E"/>
    <w:rsid w:val="00B727D8"/>
    <w:rsid w:val="00B9491F"/>
    <w:rsid w:val="00BA06BD"/>
    <w:rsid w:val="00BA66D3"/>
    <w:rsid w:val="00BA6B0A"/>
    <w:rsid w:val="00BC7577"/>
    <w:rsid w:val="00BE4C60"/>
    <w:rsid w:val="00C070B0"/>
    <w:rsid w:val="00C1000A"/>
    <w:rsid w:val="00C221EA"/>
    <w:rsid w:val="00C33595"/>
    <w:rsid w:val="00C3423B"/>
    <w:rsid w:val="00C43D15"/>
    <w:rsid w:val="00C57689"/>
    <w:rsid w:val="00C60EC8"/>
    <w:rsid w:val="00C65EB2"/>
    <w:rsid w:val="00C77C0A"/>
    <w:rsid w:val="00CB0F41"/>
    <w:rsid w:val="00CB345B"/>
    <w:rsid w:val="00CC7462"/>
    <w:rsid w:val="00CE6DA3"/>
    <w:rsid w:val="00CF605A"/>
    <w:rsid w:val="00D022CC"/>
    <w:rsid w:val="00D103DA"/>
    <w:rsid w:val="00D12DE8"/>
    <w:rsid w:val="00D170E5"/>
    <w:rsid w:val="00D252A7"/>
    <w:rsid w:val="00D47F87"/>
    <w:rsid w:val="00D50DB6"/>
    <w:rsid w:val="00D51D29"/>
    <w:rsid w:val="00D529B3"/>
    <w:rsid w:val="00D53037"/>
    <w:rsid w:val="00D5515F"/>
    <w:rsid w:val="00DB106F"/>
    <w:rsid w:val="00DD071C"/>
    <w:rsid w:val="00DE1443"/>
    <w:rsid w:val="00E351C1"/>
    <w:rsid w:val="00E35B86"/>
    <w:rsid w:val="00E438E3"/>
    <w:rsid w:val="00E52109"/>
    <w:rsid w:val="00E62EAE"/>
    <w:rsid w:val="00E85FCD"/>
    <w:rsid w:val="00EB2870"/>
    <w:rsid w:val="00EB44AB"/>
    <w:rsid w:val="00EC776F"/>
    <w:rsid w:val="00F00BF4"/>
    <w:rsid w:val="00F358FF"/>
    <w:rsid w:val="00F35CCA"/>
    <w:rsid w:val="00F73EC6"/>
    <w:rsid w:val="00F84B2D"/>
    <w:rsid w:val="00F904C9"/>
    <w:rsid w:val="00F93FF2"/>
    <w:rsid w:val="00FC06B7"/>
    <w:rsid w:val="00FC4F18"/>
    <w:rsid w:val="00FE1975"/>
    <w:rsid w:val="00FF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846"/>
  </w:style>
  <w:style w:type="paragraph" w:styleId="Footer">
    <w:name w:val="footer"/>
    <w:basedOn w:val="Normal"/>
    <w:link w:val="Foot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846"/>
  </w:style>
  <w:style w:type="paragraph" w:styleId="BalloonText">
    <w:name w:val="Balloon Text"/>
    <w:basedOn w:val="Normal"/>
    <w:link w:val="BalloonTextChar"/>
    <w:uiPriority w:val="99"/>
    <w:semiHidden/>
    <w:unhideWhenUsed/>
    <w:rsid w:val="006D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846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99"/>
    <w:rsid w:val="00DB106F"/>
    <w:pPr>
      <w:tabs>
        <w:tab w:val="right" w:leader="dot" w:pos="9771"/>
      </w:tabs>
      <w:spacing w:before="120" w:after="120" w:line="240" w:lineRule="auto"/>
      <w:jc w:val="both"/>
    </w:pPr>
    <w:rPr>
      <w:rFonts w:ascii="Times New Roman" w:eastAsia="MS Mincho" w:hAnsi="Times New Roman" w:cs="Times New Roman"/>
      <w:b/>
      <w:caps/>
      <w:noProof/>
      <w:sz w:val="32"/>
      <w:szCs w:val="32"/>
      <w:u w:val="single"/>
      <w:lang w:val="en-GB"/>
    </w:rPr>
  </w:style>
  <w:style w:type="paragraph" w:styleId="ListParagraph">
    <w:name w:val="List Paragraph"/>
    <w:basedOn w:val="Normal"/>
    <w:uiPriority w:val="34"/>
    <w:qFormat/>
    <w:rsid w:val="00B26098"/>
    <w:pPr>
      <w:ind w:left="720"/>
      <w:contextualSpacing/>
    </w:pPr>
  </w:style>
  <w:style w:type="table" w:styleId="TableGrid">
    <w:name w:val="Table Grid"/>
    <w:basedOn w:val="TableNormal"/>
    <w:uiPriority w:val="59"/>
    <w:rsid w:val="001B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Normal"/>
    <w:link w:val="normChar"/>
    <w:uiPriority w:val="99"/>
    <w:rsid w:val="00CE6DA3"/>
    <w:pPr>
      <w:tabs>
        <w:tab w:val="left" w:pos="851"/>
        <w:tab w:val="right" w:pos="9356"/>
      </w:tabs>
      <w:spacing w:before="60" w:after="60" w:line="360" w:lineRule="atLeas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ormChar">
    <w:name w:val="norm Char"/>
    <w:link w:val="norm"/>
    <w:uiPriority w:val="99"/>
    <w:locked/>
    <w:rsid w:val="00CE6DA3"/>
    <w:rPr>
      <w:rFonts w:ascii="Times New Roman" w:eastAsia="Times New Roman" w:hAnsi="Times New Roman" w:cs="Times New Roman"/>
      <w:szCs w:val="20"/>
    </w:rPr>
  </w:style>
  <w:style w:type="paragraph" w:customStyle="1" w:styleId="CM1">
    <w:name w:val="CM1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3">
    <w:name w:val="CM3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4">
    <w:name w:val="CM4"/>
    <w:basedOn w:val="Normal"/>
    <w:next w:val="Normal"/>
    <w:uiPriority w:val="99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Default">
    <w:name w:val="Default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846"/>
  </w:style>
  <w:style w:type="paragraph" w:styleId="Footer">
    <w:name w:val="footer"/>
    <w:basedOn w:val="Normal"/>
    <w:link w:val="Foot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846"/>
  </w:style>
  <w:style w:type="paragraph" w:styleId="BalloonText">
    <w:name w:val="Balloon Text"/>
    <w:basedOn w:val="Normal"/>
    <w:link w:val="BalloonTextChar"/>
    <w:uiPriority w:val="99"/>
    <w:semiHidden/>
    <w:unhideWhenUsed/>
    <w:rsid w:val="006D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846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99"/>
    <w:rsid w:val="00DB106F"/>
    <w:pPr>
      <w:tabs>
        <w:tab w:val="right" w:leader="dot" w:pos="9771"/>
      </w:tabs>
      <w:spacing w:before="120" w:after="120" w:line="240" w:lineRule="auto"/>
      <w:jc w:val="both"/>
    </w:pPr>
    <w:rPr>
      <w:rFonts w:ascii="Times New Roman" w:eastAsia="MS Mincho" w:hAnsi="Times New Roman" w:cs="Times New Roman"/>
      <w:b/>
      <w:caps/>
      <w:noProof/>
      <w:sz w:val="32"/>
      <w:szCs w:val="32"/>
      <w:u w:val="single"/>
      <w:lang w:val="en-GB"/>
    </w:rPr>
  </w:style>
  <w:style w:type="paragraph" w:styleId="ListParagraph">
    <w:name w:val="List Paragraph"/>
    <w:basedOn w:val="Normal"/>
    <w:uiPriority w:val="34"/>
    <w:qFormat/>
    <w:rsid w:val="00B26098"/>
    <w:pPr>
      <w:ind w:left="720"/>
      <w:contextualSpacing/>
    </w:pPr>
  </w:style>
  <w:style w:type="table" w:styleId="TableGrid">
    <w:name w:val="Table Grid"/>
    <w:basedOn w:val="TableNormal"/>
    <w:uiPriority w:val="59"/>
    <w:rsid w:val="001B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Normal"/>
    <w:link w:val="normChar"/>
    <w:uiPriority w:val="99"/>
    <w:rsid w:val="00CE6DA3"/>
    <w:pPr>
      <w:tabs>
        <w:tab w:val="left" w:pos="851"/>
        <w:tab w:val="right" w:pos="9356"/>
      </w:tabs>
      <w:spacing w:before="60" w:after="60" w:line="360" w:lineRule="atLeas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ormChar">
    <w:name w:val="norm Char"/>
    <w:link w:val="norm"/>
    <w:uiPriority w:val="99"/>
    <w:locked/>
    <w:rsid w:val="00CE6DA3"/>
    <w:rPr>
      <w:rFonts w:ascii="Times New Roman" w:eastAsia="Times New Roman" w:hAnsi="Times New Roman" w:cs="Times New Roman"/>
      <w:szCs w:val="20"/>
    </w:rPr>
  </w:style>
  <w:style w:type="paragraph" w:customStyle="1" w:styleId="CM1">
    <w:name w:val="CM1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3">
    <w:name w:val="CM3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4">
    <w:name w:val="CM4"/>
    <w:basedOn w:val="Normal"/>
    <w:next w:val="Normal"/>
    <w:uiPriority w:val="99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Default">
    <w:name w:val="Default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884</Words>
  <Characters>5039</Characters>
  <Application>Microsoft Office Word</Application>
  <DocSecurity>0</DocSecurity>
  <Lines>41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Cognizant Technology Solutions</Company>
  <LinksUpToDate>false</LinksUpToDate>
  <CharactersWithSpaces>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Cognizant Technology Solutions</dc:creator>
  <cp:lastModifiedBy>François DUBRAU</cp:lastModifiedBy>
  <cp:revision>6</cp:revision>
  <cp:lastPrinted>2015-10-09T10:36:00Z</cp:lastPrinted>
  <dcterms:created xsi:type="dcterms:W3CDTF">2016-05-16T15:40:00Z</dcterms:created>
  <dcterms:modified xsi:type="dcterms:W3CDTF">2016-08-29T04:11:00Z</dcterms:modified>
</cp:coreProperties>
</file>