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64" w:rsidRDefault="00765664" w:rsidP="006D6846">
      <w:pPr>
        <w:tabs>
          <w:tab w:val="left" w:pos="9356"/>
        </w:tabs>
        <w:ind w:right="-279"/>
        <w:jc w:val="center"/>
        <w:rPr>
          <w:sz w:val="36"/>
          <w:lang w:val="fr-FR"/>
        </w:rPr>
      </w:pPr>
    </w:p>
    <w:p w:rsidR="00575F36" w:rsidRPr="000666A9" w:rsidRDefault="000666A9"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rPr>
      </w:pPr>
      <w:r w:rsidRPr="000666A9">
        <w:rPr>
          <w:b/>
          <w:noProof/>
          <w:sz w:val="36"/>
        </w:rPr>
        <w:t>Settlement instruction parties – Mandatory matching criteria</w:t>
      </w:r>
    </w:p>
    <w:p w:rsidR="001B1E38" w:rsidRPr="000666A9" w:rsidRDefault="001B1E38" w:rsidP="006D6846">
      <w:pPr>
        <w:tabs>
          <w:tab w:val="left" w:pos="9356"/>
        </w:tabs>
        <w:ind w:right="-279"/>
      </w:pPr>
    </w:p>
    <w:tbl>
      <w:tblPr>
        <w:tblStyle w:val="Grilledutableau"/>
        <w:tblW w:w="0" w:type="auto"/>
        <w:tblLook w:val="04A0" w:firstRow="1" w:lastRow="0" w:firstColumn="1" w:lastColumn="0" w:noHBand="0" w:noVBand="1"/>
      </w:tblPr>
      <w:tblGrid>
        <w:gridCol w:w="2061"/>
        <w:gridCol w:w="2505"/>
        <w:gridCol w:w="4784"/>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922B9C" w:rsidP="009515B1">
            <w:pPr>
              <w:tabs>
                <w:tab w:val="left" w:pos="9356"/>
              </w:tabs>
              <w:ind w:right="-279"/>
              <w:rPr>
                <w:lang w:val="fr-FR"/>
              </w:rPr>
            </w:pPr>
            <w:proofErr w:type="gramStart"/>
            <w:r>
              <w:rPr>
                <w:lang w:val="fr-FR"/>
              </w:rPr>
              <w:t>2</w:t>
            </w:r>
            <w:r w:rsidR="00140482">
              <w:rPr>
                <w:lang w:val="fr-FR"/>
              </w:rPr>
              <w:t>.</w:t>
            </w:r>
            <w:proofErr w:type="gramEnd"/>
            <w:del w:id="0" w:author="de Sousa, Maria" w:date="2016-05-04T12:21:00Z">
              <w:r w:rsidDel="009515B1">
                <w:rPr>
                  <w:lang w:val="fr-FR"/>
                </w:rPr>
                <w:delText>1</w:delText>
              </w:r>
            </w:del>
            <w:ins w:id="1" w:author="de Sousa, Maria" w:date="2016-05-04T12:21:00Z">
              <w:r w:rsidR="009515B1">
                <w:rPr>
                  <w:lang w:val="fr-FR"/>
                </w:rPr>
                <w:t>2</w:t>
              </w:r>
            </w:ins>
          </w:p>
        </w:tc>
      </w:tr>
      <w:tr w:rsidR="000666A9" w:rsidRPr="00AA1FDB" w:rsidTr="0091257E">
        <w:tc>
          <w:tcPr>
            <w:tcW w:w="2093" w:type="dxa"/>
            <w:vMerge/>
            <w:shd w:val="clear" w:color="auto" w:fill="BFBFBF" w:themeFill="background1" w:themeFillShade="BF"/>
          </w:tcPr>
          <w:p w:rsidR="000666A9" w:rsidRPr="004F6025" w:rsidRDefault="000666A9" w:rsidP="006D6846">
            <w:pPr>
              <w:tabs>
                <w:tab w:val="left" w:pos="9356"/>
              </w:tabs>
              <w:ind w:right="-279"/>
              <w:rPr>
                <w:b/>
                <w:lang w:val="fr-FR"/>
              </w:rPr>
            </w:pPr>
          </w:p>
        </w:tc>
        <w:tc>
          <w:tcPr>
            <w:tcW w:w="2551" w:type="dxa"/>
            <w:shd w:val="clear" w:color="auto" w:fill="F2F2F2" w:themeFill="background1" w:themeFillShade="F2"/>
          </w:tcPr>
          <w:p w:rsidR="000666A9" w:rsidRDefault="000666A9" w:rsidP="000E651B">
            <w:pPr>
              <w:tabs>
                <w:tab w:val="left" w:pos="9356"/>
              </w:tabs>
              <w:ind w:right="-279"/>
              <w:rPr>
                <w:lang w:val="fr-FR"/>
              </w:rPr>
            </w:pPr>
            <w:r>
              <w:rPr>
                <w:lang w:val="fr-FR"/>
              </w:rPr>
              <w:t>Publication date</w:t>
            </w:r>
          </w:p>
        </w:tc>
        <w:tc>
          <w:tcPr>
            <w:tcW w:w="4932" w:type="dxa"/>
          </w:tcPr>
          <w:p w:rsidR="000666A9" w:rsidRDefault="000666A9" w:rsidP="000E651B">
            <w:pPr>
              <w:tabs>
                <w:tab w:val="left" w:pos="9356"/>
              </w:tabs>
              <w:ind w:right="-279"/>
              <w:rPr>
                <w:lang w:val="fr-FR"/>
              </w:rPr>
            </w:pPr>
            <w:r>
              <w:rPr>
                <w:lang w:val="fr-FR"/>
              </w:rPr>
              <w:t>April 6th,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0666A9" w:rsidRDefault="000666A9" w:rsidP="0081511D">
      <w:pPr>
        <w:pStyle w:val="Paragraphedeliste"/>
        <w:numPr>
          <w:ilvl w:val="0"/>
          <w:numId w:val="1"/>
        </w:numPr>
        <w:spacing w:after="0" w:line="240" w:lineRule="auto"/>
        <w:ind w:left="284" w:hanging="284"/>
        <w:rPr>
          <w:rFonts w:eastAsia="MS Mincho" w:cs="Times New Roman"/>
          <w:b/>
          <w:caps/>
          <w:noProof/>
          <w:sz w:val="32"/>
          <w:szCs w:val="32"/>
        </w:rPr>
      </w:pPr>
      <w:r w:rsidRPr="003348A6">
        <w:rPr>
          <w:rFonts w:eastAsia="MS Mincho" w:cs="Times New Roman"/>
          <w:b/>
          <w:caps/>
          <w:noProof/>
          <w:sz w:val="32"/>
          <w:szCs w:val="32"/>
        </w:rPr>
        <w:t>Description of the existing practice &amp; of the Impacts</w:t>
      </w:r>
    </w:p>
    <w:p w:rsidR="0081511D" w:rsidRPr="000666A9" w:rsidRDefault="0081511D" w:rsidP="00B26098">
      <w:pPr>
        <w:spacing w:after="0" w:line="240" w:lineRule="auto"/>
        <w:rPr>
          <w:rFonts w:eastAsia="MS Mincho" w:cs="Times New Roman"/>
          <w:noProof/>
          <w:szCs w:val="32"/>
        </w:rPr>
      </w:pPr>
    </w:p>
    <w:tbl>
      <w:tblPr>
        <w:tblStyle w:val="Grilledutableau"/>
        <w:tblW w:w="9606" w:type="dxa"/>
        <w:tblLayout w:type="fixed"/>
        <w:tblLook w:val="04A0" w:firstRow="1" w:lastRow="0" w:firstColumn="1" w:lastColumn="0" w:noHBand="0" w:noVBand="1"/>
      </w:tblPr>
      <w:tblGrid>
        <w:gridCol w:w="2093"/>
        <w:gridCol w:w="7513"/>
      </w:tblGrid>
      <w:tr w:rsidR="00D103DA" w:rsidRPr="000666A9" w:rsidTr="0091257E">
        <w:tc>
          <w:tcPr>
            <w:tcW w:w="2093" w:type="dxa"/>
            <w:tcBorders>
              <w:bottom w:val="single" w:sz="4" w:space="0" w:color="auto"/>
            </w:tcBorders>
            <w:shd w:val="clear" w:color="auto" w:fill="BFBFBF" w:themeFill="background1" w:themeFillShade="BF"/>
          </w:tcPr>
          <w:p w:rsidR="00D103DA" w:rsidRPr="000666A9" w:rsidRDefault="000666A9" w:rsidP="00893912">
            <w:pPr>
              <w:rPr>
                <w:rFonts w:eastAsia="MS Mincho" w:cs="Times New Roman"/>
                <w:b/>
                <w:noProof/>
                <w:szCs w:val="32"/>
              </w:rPr>
            </w:pPr>
            <w:r w:rsidRPr="005B1C9D">
              <w:rPr>
                <w:rFonts w:eastAsia="MS Mincho" w:cs="Times New Roman"/>
                <w:b/>
                <w:noProof/>
                <w:szCs w:val="32"/>
              </w:rPr>
              <w:t>Description of the existing practice</w:t>
            </w:r>
          </w:p>
        </w:tc>
        <w:tc>
          <w:tcPr>
            <w:tcW w:w="7513" w:type="dxa"/>
            <w:tcBorders>
              <w:bottom w:val="single" w:sz="4" w:space="0" w:color="auto"/>
            </w:tcBorders>
          </w:tcPr>
          <w:p w:rsidR="00922B9C" w:rsidRPr="00876DC2" w:rsidRDefault="00876DC2" w:rsidP="00922B9C">
            <w:pPr>
              <w:spacing w:before="120"/>
              <w:jc w:val="both"/>
              <w:rPr>
                <w:rFonts w:eastAsia="MS Mincho" w:cs="Times New Roman"/>
                <w:noProof/>
                <w:szCs w:val="32"/>
              </w:rPr>
            </w:pPr>
            <w:r w:rsidRPr="00876DC2">
              <w:rPr>
                <w:rFonts w:eastAsia="MS Mincho" w:cs="Times New Roman"/>
                <w:noProof/>
                <w:szCs w:val="32"/>
              </w:rPr>
              <w:t>A settlement instruction requires the mention of the identification of settlement parties</w:t>
            </w:r>
            <w:r w:rsidR="00922B9C" w:rsidRPr="00876DC2">
              <w:rPr>
                <w:rFonts w:eastAsia="MS Mincho" w:cs="Times New Roman"/>
                <w:noProof/>
                <w:szCs w:val="32"/>
              </w:rPr>
              <w:t>.</w:t>
            </w:r>
          </w:p>
          <w:p w:rsidR="00140482" w:rsidRPr="00CF3F1C" w:rsidRDefault="00876DC2" w:rsidP="00876DC2">
            <w:pPr>
              <w:spacing w:before="120"/>
              <w:jc w:val="both"/>
              <w:rPr>
                <w:rFonts w:eastAsia="MS Mincho" w:cs="Times New Roman"/>
                <w:noProof/>
                <w:szCs w:val="32"/>
              </w:rPr>
            </w:pPr>
            <w:r w:rsidRPr="00CF3F1C">
              <w:rPr>
                <w:rFonts w:eastAsia="MS Mincho" w:cs="Times New Roman"/>
                <w:noProof/>
                <w:szCs w:val="32"/>
              </w:rPr>
              <w:t>From a domestic perspective, Euroclear’s institution code (‘code affilié’) is sufficient to identify the counterparty, the C</w:t>
            </w:r>
            <w:ins w:id="2" w:author="de Sousa, Maria" w:date="2016-05-16T14:27:00Z">
              <w:r w:rsidR="00FC4D23">
                <w:rPr>
                  <w:rFonts w:eastAsia="MS Mincho" w:cs="Times New Roman"/>
                  <w:noProof/>
                  <w:szCs w:val="32"/>
                </w:rPr>
                <w:t xml:space="preserve">entral </w:t>
              </w:r>
            </w:ins>
            <w:r w:rsidRPr="00CF3F1C">
              <w:rPr>
                <w:rFonts w:eastAsia="MS Mincho" w:cs="Times New Roman"/>
                <w:noProof/>
                <w:szCs w:val="32"/>
              </w:rPr>
              <w:t>S</w:t>
            </w:r>
            <w:ins w:id="3" w:author="de Sousa, Maria" w:date="2016-05-16T14:27:00Z">
              <w:r w:rsidR="00FC4D23">
                <w:rPr>
                  <w:rFonts w:eastAsia="MS Mincho" w:cs="Times New Roman"/>
                  <w:noProof/>
                  <w:szCs w:val="32"/>
                </w:rPr>
                <w:t xml:space="preserve">ecuriries </w:t>
              </w:r>
            </w:ins>
            <w:r w:rsidRPr="00CF3F1C">
              <w:rPr>
                <w:rFonts w:eastAsia="MS Mincho" w:cs="Times New Roman"/>
                <w:noProof/>
                <w:szCs w:val="32"/>
              </w:rPr>
              <w:t>D</w:t>
            </w:r>
            <w:ins w:id="4" w:author="de Sousa, Maria" w:date="2016-05-16T14:28:00Z">
              <w:r w:rsidR="00FC4D23">
                <w:rPr>
                  <w:rFonts w:eastAsia="MS Mincho" w:cs="Times New Roman"/>
                  <w:noProof/>
                  <w:szCs w:val="32"/>
                </w:rPr>
                <w:t>epository)</w:t>
              </w:r>
            </w:ins>
            <w:r w:rsidRPr="00CF3F1C">
              <w:rPr>
                <w:rFonts w:eastAsia="MS Mincho" w:cs="Times New Roman"/>
                <w:noProof/>
                <w:szCs w:val="32"/>
              </w:rPr>
              <w:t xml:space="preserve"> being by nature Euroclear</w:t>
            </w:r>
            <w:ins w:id="5" w:author="de Sousa, Maria" w:date="2016-05-16T14:28:00Z">
              <w:r w:rsidR="00FC4D23">
                <w:rPr>
                  <w:rFonts w:eastAsia="MS Mincho" w:cs="Times New Roman"/>
                  <w:noProof/>
                  <w:szCs w:val="32"/>
                </w:rPr>
                <w:t xml:space="preserve"> France</w:t>
              </w:r>
            </w:ins>
            <w:r w:rsidRPr="00CF3F1C">
              <w:rPr>
                <w:rFonts w:eastAsia="MS Mincho" w:cs="Times New Roman"/>
                <w:noProof/>
                <w:szCs w:val="32"/>
              </w:rPr>
              <w:t>.</w:t>
            </w:r>
          </w:p>
        </w:tc>
      </w:tr>
      <w:tr w:rsidR="00D103DA" w:rsidRPr="000666A9" w:rsidTr="0091257E">
        <w:tc>
          <w:tcPr>
            <w:tcW w:w="2093" w:type="dxa"/>
            <w:tcBorders>
              <w:left w:val="nil"/>
              <w:right w:val="nil"/>
            </w:tcBorders>
          </w:tcPr>
          <w:p w:rsidR="00EC776F" w:rsidRPr="00CF3F1C" w:rsidRDefault="00EC776F" w:rsidP="00B26098">
            <w:pPr>
              <w:rPr>
                <w:rFonts w:eastAsia="MS Mincho" w:cs="Times New Roman"/>
                <w:b/>
                <w:noProof/>
                <w:szCs w:val="32"/>
              </w:rPr>
            </w:pPr>
          </w:p>
        </w:tc>
        <w:tc>
          <w:tcPr>
            <w:tcW w:w="7513" w:type="dxa"/>
            <w:tcBorders>
              <w:left w:val="nil"/>
              <w:right w:val="nil"/>
            </w:tcBorders>
          </w:tcPr>
          <w:p w:rsidR="00D103DA" w:rsidRPr="00CF3F1C" w:rsidRDefault="00D103DA" w:rsidP="00B26098">
            <w:pPr>
              <w:rPr>
                <w:rFonts w:eastAsia="MS Mincho" w:cs="Times New Roman"/>
                <w:noProof/>
                <w:szCs w:val="32"/>
              </w:rPr>
            </w:pPr>
          </w:p>
        </w:tc>
      </w:tr>
      <w:tr w:rsidR="00893912" w:rsidRPr="00876DC2" w:rsidTr="0081511D">
        <w:tc>
          <w:tcPr>
            <w:tcW w:w="2093" w:type="dxa"/>
            <w:tcBorders>
              <w:bottom w:val="single" w:sz="4" w:space="0" w:color="auto"/>
            </w:tcBorders>
            <w:shd w:val="clear" w:color="auto" w:fill="BFBFBF" w:themeFill="background1" w:themeFillShade="BF"/>
          </w:tcPr>
          <w:p w:rsidR="00893912" w:rsidRPr="000666A9" w:rsidRDefault="000666A9" w:rsidP="00EC776F">
            <w:pPr>
              <w:rPr>
                <w:rFonts w:eastAsia="MS Mincho" w:cs="Times New Roman"/>
                <w:b/>
                <w:noProof/>
                <w:szCs w:val="32"/>
              </w:rPr>
            </w:pPr>
            <w:r w:rsidRPr="005B1C9D">
              <w:rPr>
                <w:rFonts w:eastAsia="MS Mincho" w:cs="Times New Roman"/>
                <w:b/>
                <w:noProof/>
                <w:szCs w:val="32"/>
              </w:rPr>
              <w:t xml:space="preserve">Description of the T2S </w:t>
            </w:r>
            <w:r>
              <w:rPr>
                <w:rFonts w:eastAsia="MS Mincho" w:cs="Times New Roman"/>
                <w:b/>
                <w:noProof/>
                <w:szCs w:val="32"/>
              </w:rPr>
              <w:t>impact</w:t>
            </w:r>
          </w:p>
        </w:tc>
        <w:tc>
          <w:tcPr>
            <w:tcW w:w="7513" w:type="dxa"/>
            <w:tcBorders>
              <w:bottom w:val="single" w:sz="4" w:space="0" w:color="auto"/>
            </w:tcBorders>
          </w:tcPr>
          <w:p w:rsidR="00922B9C" w:rsidRPr="00876DC2" w:rsidRDefault="00876DC2" w:rsidP="00922B9C">
            <w:pPr>
              <w:spacing w:before="120"/>
              <w:jc w:val="both"/>
              <w:rPr>
                <w:rFonts w:eastAsia="MS Mincho" w:cs="Times New Roman"/>
                <w:noProof/>
                <w:szCs w:val="32"/>
              </w:rPr>
            </w:pPr>
            <w:r w:rsidRPr="00876DC2">
              <w:rPr>
                <w:rFonts w:eastAsia="MS Mincho" w:cs="Times New Roman"/>
                <w:noProof/>
                <w:szCs w:val="32"/>
              </w:rPr>
              <w:t>In the context of T2S</w:t>
            </w:r>
            <w:r w:rsidR="00922B9C" w:rsidRPr="00876DC2">
              <w:rPr>
                <w:rFonts w:eastAsia="MS Mincho" w:cs="Times New Roman"/>
                <w:noProof/>
                <w:szCs w:val="32"/>
              </w:rPr>
              <w:t>:</w:t>
            </w:r>
          </w:p>
          <w:p w:rsidR="00922B9C" w:rsidRPr="00876DC2" w:rsidRDefault="00876DC2" w:rsidP="00922B9C">
            <w:pPr>
              <w:pStyle w:val="Paragraphedeliste"/>
              <w:numPr>
                <w:ilvl w:val="0"/>
                <w:numId w:val="3"/>
              </w:numPr>
              <w:spacing w:before="120"/>
              <w:ind w:left="318" w:hanging="284"/>
              <w:contextualSpacing w:val="0"/>
              <w:jc w:val="both"/>
              <w:rPr>
                <w:rFonts w:eastAsia="MS Mincho" w:cs="Times New Roman"/>
                <w:noProof/>
                <w:szCs w:val="32"/>
              </w:rPr>
            </w:pPr>
            <w:r w:rsidRPr="00876DC2">
              <w:rPr>
                <w:rFonts w:eastAsia="MS Mincho" w:cs="Times New Roman"/>
                <w:noProof/>
                <w:szCs w:val="32"/>
              </w:rPr>
              <w:t xml:space="preserve">On </w:t>
            </w:r>
            <w:r>
              <w:rPr>
                <w:rFonts w:eastAsia="MS Mincho" w:cs="Times New Roman"/>
                <w:noProof/>
                <w:szCs w:val="32"/>
              </w:rPr>
              <w:t xml:space="preserve">one </w:t>
            </w:r>
            <w:r w:rsidRPr="00876DC2">
              <w:rPr>
                <w:rFonts w:eastAsia="MS Mincho" w:cs="Times New Roman"/>
                <w:noProof/>
                <w:szCs w:val="32"/>
              </w:rPr>
              <w:t>hand, a security can be safekept in any CSD that makes it eli</w:t>
            </w:r>
            <w:r w:rsidR="00CF3F1C">
              <w:rPr>
                <w:rFonts w:eastAsia="MS Mincho" w:cs="Times New Roman"/>
                <w:noProof/>
                <w:szCs w:val="32"/>
              </w:rPr>
              <w:t>gible, requiring the identifica</w:t>
            </w:r>
            <w:r w:rsidRPr="00876DC2">
              <w:rPr>
                <w:rFonts w:eastAsia="MS Mincho" w:cs="Times New Roman"/>
                <w:noProof/>
                <w:szCs w:val="32"/>
              </w:rPr>
              <w:t>t</w:t>
            </w:r>
            <w:r w:rsidR="00CF3F1C">
              <w:rPr>
                <w:rFonts w:eastAsia="MS Mincho" w:cs="Times New Roman"/>
                <w:noProof/>
                <w:szCs w:val="32"/>
              </w:rPr>
              <w:t>i</w:t>
            </w:r>
            <w:r w:rsidRPr="00876DC2">
              <w:rPr>
                <w:rFonts w:eastAsia="MS Mincho" w:cs="Times New Roman"/>
                <w:noProof/>
                <w:szCs w:val="32"/>
              </w:rPr>
              <w:t>on of the CSD and elevating it to a mandatory matching criterion.</w:t>
            </w:r>
            <w:r w:rsidR="00922B9C" w:rsidRPr="00876DC2">
              <w:rPr>
                <w:rFonts w:eastAsia="MS Mincho" w:cs="Times New Roman"/>
                <w:noProof/>
                <w:szCs w:val="32"/>
              </w:rPr>
              <w:t xml:space="preserve"> </w:t>
            </w:r>
          </w:p>
          <w:p w:rsidR="00876DC2" w:rsidRPr="00876DC2" w:rsidRDefault="00876DC2" w:rsidP="00922B9C">
            <w:pPr>
              <w:pStyle w:val="Paragraphedeliste"/>
              <w:numPr>
                <w:ilvl w:val="0"/>
                <w:numId w:val="3"/>
              </w:numPr>
              <w:spacing w:before="120"/>
              <w:ind w:left="318" w:hanging="284"/>
              <w:contextualSpacing w:val="0"/>
              <w:jc w:val="both"/>
              <w:rPr>
                <w:rFonts w:eastAsia="MS Mincho" w:cs="Times New Roman"/>
                <w:noProof/>
                <w:szCs w:val="32"/>
              </w:rPr>
            </w:pPr>
            <w:r w:rsidRPr="00876DC2">
              <w:rPr>
                <w:rFonts w:eastAsia="MS Mincho" w:cs="Times New Roman"/>
                <w:noProof/>
                <w:szCs w:val="32"/>
              </w:rPr>
              <w:t xml:space="preserve">On the other hand, the institution code (‘code affilié’) is a local notion to be replaced </w:t>
            </w:r>
            <w:r>
              <w:rPr>
                <w:rFonts w:eastAsia="MS Mincho" w:cs="Times New Roman"/>
                <w:noProof/>
                <w:szCs w:val="32"/>
              </w:rPr>
              <w:t>in settlement instructions in T2S by the BIC-11 which is mandatory. In a cross-CSD context, a counterparty will thus be identified through its BIC-11, which is also evelated to a mandatory matching criterion.</w:t>
            </w:r>
          </w:p>
          <w:p w:rsidR="00140482" w:rsidRPr="00876DC2" w:rsidRDefault="00876DC2" w:rsidP="00CF3F1C">
            <w:pPr>
              <w:pStyle w:val="Paragraphedeliste"/>
              <w:numPr>
                <w:ilvl w:val="0"/>
                <w:numId w:val="3"/>
              </w:numPr>
              <w:spacing w:before="120"/>
              <w:ind w:left="318" w:hanging="284"/>
              <w:contextualSpacing w:val="0"/>
              <w:jc w:val="both"/>
              <w:rPr>
                <w:rFonts w:eastAsia="MS Mincho" w:cs="Times New Roman"/>
                <w:noProof/>
                <w:szCs w:val="32"/>
              </w:rPr>
            </w:pPr>
            <w:r w:rsidRPr="00876DC2">
              <w:rPr>
                <w:rFonts w:eastAsia="MS Mincho" w:cs="Times New Roman"/>
                <w:noProof/>
                <w:szCs w:val="32"/>
              </w:rPr>
              <w:t xml:space="preserve">FInally, a third level of matching is proposed as an option, in order </w:t>
            </w:r>
            <w:r>
              <w:rPr>
                <w:rFonts w:eastAsia="MS Mincho" w:cs="Times New Roman"/>
                <w:noProof/>
                <w:szCs w:val="32"/>
              </w:rPr>
              <w:t xml:space="preserve">to reduce confusion between two instructions with the same characteristics and the same CSD participants, but for different end clients. This level of matching is made through the identification of the client of the CSD participant, provided that both counterparties </w:t>
            </w:r>
            <w:r w:rsidR="00CF3F1C">
              <w:rPr>
                <w:rFonts w:eastAsia="MS Mincho" w:cs="Times New Roman"/>
                <w:noProof/>
                <w:szCs w:val="32"/>
              </w:rPr>
              <w:t xml:space="preserve">communicate </w:t>
            </w:r>
            <w:r>
              <w:rPr>
                <w:rFonts w:eastAsia="MS Mincho" w:cs="Times New Roman"/>
                <w:noProof/>
                <w:szCs w:val="32"/>
              </w:rPr>
              <w:t>the information. This level of matching is the object of a separate market practice (</w:t>
            </w:r>
            <w:r w:rsidRPr="00876DC2">
              <w:rPr>
                <w:rFonts w:eastAsia="MS Mincho" w:cs="Times New Roman"/>
                <w:noProof/>
                <w:szCs w:val="32"/>
              </w:rPr>
              <w:t>MS-MATCH-CRITE-02)</w:t>
            </w:r>
          </w:p>
        </w:tc>
      </w:tr>
      <w:tr w:rsidR="0081511D" w:rsidRPr="00876DC2" w:rsidTr="0081511D">
        <w:tc>
          <w:tcPr>
            <w:tcW w:w="2093" w:type="dxa"/>
            <w:tcBorders>
              <w:left w:val="nil"/>
              <w:right w:val="nil"/>
            </w:tcBorders>
            <w:shd w:val="clear" w:color="auto" w:fill="auto"/>
          </w:tcPr>
          <w:p w:rsidR="0081511D" w:rsidRPr="00876DC2" w:rsidRDefault="0081511D" w:rsidP="00EC776F">
            <w:pPr>
              <w:rPr>
                <w:rFonts w:eastAsia="MS Mincho" w:cs="Times New Roman"/>
                <w:b/>
                <w:noProof/>
                <w:szCs w:val="32"/>
              </w:rPr>
            </w:pPr>
          </w:p>
        </w:tc>
        <w:tc>
          <w:tcPr>
            <w:tcW w:w="7513" w:type="dxa"/>
            <w:tcBorders>
              <w:left w:val="nil"/>
              <w:right w:val="nil"/>
            </w:tcBorders>
            <w:shd w:val="clear" w:color="auto" w:fill="auto"/>
          </w:tcPr>
          <w:p w:rsidR="0081511D" w:rsidRPr="00876DC2" w:rsidRDefault="0081511D" w:rsidP="0081511D">
            <w:pPr>
              <w:rPr>
                <w:rFonts w:eastAsia="MS Mincho" w:cs="Times New Roman"/>
                <w:b/>
                <w:noProof/>
                <w:szCs w:val="32"/>
              </w:rPr>
            </w:pPr>
          </w:p>
        </w:tc>
      </w:tr>
      <w:tr w:rsidR="0081511D" w:rsidRPr="0035448C" w:rsidTr="0081511D">
        <w:tc>
          <w:tcPr>
            <w:tcW w:w="2093" w:type="dxa"/>
            <w:shd w:val="clear" w:color="auto" w:fill="BFBFBF" w:themeFill="background1" w:themeFillShade="BF"/>
          </w:tcPr>
          <w:p w:rsidR="0081511D" w:rsidRPr="000666A9" w:rsidRDefault="000666A9" w:rsidP="00EC776F">
            <w:pPr>
              <w:rPr>
                <w:rFonts w:eastAsia="MS Mincho" w:cs="Times New Roman"/>
                <w:b/>
                <w:noProof/>
                <w:szCs w:val="32"/>
              </w:rPr>
            </w:pPr>
            <w:r w:rsidRPr="003348A6">
              <w:rPr>
                <w:rFonts w:eastAsia="MS Mincho" w:cs="Times New Roman"/>
                <w:b/>
                <w:noProof/>
                <w:szCs w:val="32"/>
              </w:rPr>
              <w:t>Description of the major issue</w:t>
            </w:r>
          </w:p>
        </w:tc>
        <w:tc>
          <w:tcPr>
            <w:tcW w:w="7513" w:type="dxa"/>
          </w:tcPr>
          <w:p w:rsidR="00922B9C" w:rsidRPr="00A872CE" w:rsidRDefault="00A872CE" w:rsidP="00922B9C">
            <w:pPr>
              <w:spacing w:before="120"/>
              <w:jc w:val="both"/>
              <w:rPr>
                <w:rFonts w:eastAsia="MS Mincho" w:cs="Times New Roman"/>
                <w:noProof/>
                <w:szCs w:val="32"/>
              </w:rPr>
            </w:pPr>
            <w:r w:rsidRPr="00A872CE">
              <w:rPr>
                <w:rFonts w:eastAsia="MS Mincho" w:cs="Times New Roman"/>
                <w:noProof/>
                <w:szCs w:val="32"/>
              </w:rPr>
              <w:t>The indication of settlement parties ensur</w:t>
            </w:r>
            <w:r w:rsidR="00CF3F1C">
              <w:rPr>
                <w:rFonts w:eastAsia="MS Mincho" w:cs="Times New Roman"/>
                <w:noProof/>
                <w:szCs w:val="32"/>
              </w:rPr>
              <w:t>es proper settlement in the appr</w:t>
            </w:r>
            <w:r w:rsidRPr="00A872CE">
              <w:rPr>
                <w:rFonts w:eastAsia="MS Mincho" w:cs="Times New Roman"/>
                <w:noProof/>
                <w:szCs w:val="32"/>
              </w:rPr>
              <w:t xml:space="preserve">opriate </w:t>
            </w:r>
            <w:r w:rsidR="00CF3F1C">
              <w:rPr>
                <w:rFonts w:eastAsia="MS Mincho" w:cs="Times New Roman"/>
                <w:noProof/>
                <w:szCs w:val="32"/>
              </w:rPr>
              <w:t>safekeeping place</w:t>
            </w:r>
            <w:r w:rsidR="0035448C">
              <w:rPr>
                <w:rFonts w:eastAsia="MS Mincho" w:cs="Times New Roman"/>
                <w:noProof/>
                <w:szCs w:val="32"/>
              </w:rPr>
              <w:t xml:space="preserve"> </w:t>
            </w:r>
            <w:r w:rsidRPr="00A872CE">
              <w:rPr>
                <w:rFonts w:eastAsia="MS Mincho" w:cs="Times New Roman"/>
                <w:noProof/>
                <w:szCs w:val="32"/>
              </w:rPr>
              <w:t>(CSD, mandatory</w:t>
            </w:r>
            <w:ins w:id="6" w:author="de Sousa, Maria" w:date="2016-05-16T14:30:00Z">
              <w:r w:rsidR="00FC4D23">
                <w:rPr>
                  <w:rFonts w:eastAsia="MS Mincho" w:cs="Times New Roman"/>
                  <w:noProof/>
                  <w:szCs w:val="32"/>
                </w:rPr>
                <w:t xml:space="preserve"> field</w:t>
              </w:r>
            </w:ins>
            <w:r w:rsidRPr="00A872CE">
              <w:rPr>
                <w:rFonts w:eastAsia="MS Mincho" w:cs="Times New Roman"/>
                <w:noProof/>
                <w:szCs w:val="32"/>
              </w:rPr>
              <w:t>) at the appropriate counterparty (CSD participant, mandatory</w:t>
            </w:r>
            <w:ins w:id="7" w:author="de Sousa, Maria" w:date="2016-05-16T14:30:00Z">
              <w:r w:rsidR="00FC4D23">
                <w:rPr>
                  <w:rFonts w:eastAsia="MS Mincho" w:cs="Times New Roman"/>
                  <w:noProof/>
                  <w:szCs w:val="32"/>
                </w:rPr>
                <w:t xml:space="preserve"> field</w:t>
              </w:r>
            </w:ins>
            <w:r w:rsidRPr="00A872CE">
              <w:rPr>
                <w:rFonts w:eastAsia="MS Mincho" w:cs="Times New Roman"/>
                <w:noProof/>
                <w:szCs w:val="32"/>
              </w:rPr>
              <w:t>)</w:t>
            </w:r>
            <w:r w:rsidR="00CF3F1C">
              <w:rPr>
                <w:rFonts w:eastAsia="MS Mincho" w:cs="Times New Roman"/>
                <w:noProof/>
                <w:szCs w:val="32"/>
              </w:rPr>
              <w:t xml:space="preserve"> </w:t>
            </w:r>
            <w:r w:rsidRPr="00A872CE">
              <w:rPr>
                <w:rFonts w:eastAsia="MS Mincho" w:cs="Times New Roman"/>
                <w:noProof/>
                <w:szCs w:val="32"/>
              </w:rPr>
              <w:t>and potentially for the appropriate client of the latter (client of the CSD participant, optional field)</w:t>
            </w:r>
            <w:r w:rsidR="00922B9C" w:rsidRPr="00A872CE">
              <w:rPr>
                <w:rFonts w:eastAsia="MS Mincho" w:cs="Times New Roman"/>
                <w:noProof/>
                <w:szCs w:val="32"/>
              </w:rPr>
              <w:t>.</w:t>
            </w:r>
          </w:p>
          <w:p w:rsidR="00A872CE" w:rsidRPr="00A872CE" w:rsidRDefault="00A872CE" w:rsidP="00922B9C">
            <w:pPr>
              <w:spacing w:before="120"/>
              <w:jc w:val="both"/>
              <w:rPr>
                <w:rFonts w:eastAsia="MS Mincho" w:cs="Times New Roman"/>
                <w:noProof/>
                <w:szCs w:val="32"/>
              </w:rPr>
            </w:pPr>
            <w:r w:rsidRPr="00A872CE">
              <w:rPr>
                <w:rFonts w:eastAsia="MS Mincho" w:cs="Times New Roman"/>
                <w:noProof/>
                <w:szCs w:val="32"/>
              </w:rPr>
              <w:t>The gathering by the custodian of the information therefore depends of the ability of the client to provide relevant and exhaustive data :</w:t>
            </w:r>
          </w:p>
          <w:p w:rsidR="00922B9C" w:rsidRPr="00FC4D23" w:rsidRDefault="00922B9C" w:rsidP="00922B9C">
            <w:pPr>
              <w:pStyle w:val="Paragraphedeliste"/>
              <w:numPr>
                <w:ilvl w:val="0"/>
                <w:numId w:val="3"/>
              </w:numPr>
              <w:spacing w:before="120"/>
              <w:ind w:left="318" w:hanging="284"/>
              <w:contextualSpacing w:val="0"/>
              <w:jc w:val="both"/>
              <w:rPr>
                <w:rFonts w:eastAsia="MS Mincho" w:cs="Times New Roman"/>
                <w:noProof/>
                <w:szCs w:val="32"/>
              </w:rPr>
            </w:pPr>
            <w:r w:rsidRPr="00A872CE">
              <w:rPr>
                <w:rFonts w:eastAsia="MS Mincho" w:cs="Times New Roman"/>
                <w:noProof/>
                <w:szCs w:val="32"/>
              </w:rPr>
              <w:lastRenderedPageBreak/>
              <w:t xml:space="preserve">ad minima </w:t>
            </w:r>
            <w:r w:rsidR="00A872CE" w:rsidRPr="00A872CE">
              <w:rPr>
                <w:rFonts w:eastAsia="MS Mincho" w:cs="Times New Roman"/>
                <w:noProof/>
                <w:szCs w:val="32"/>
              </w:rPr>
              <w:t xml:space="preserve">for the </w:t>
            </w:r>
            <w:r w:rsidR="00CF3F1C">
              <w:rPr>
                <w:rFonts w:eastAsia="MS Mincho" w:cs="Times New Roman"/>
                <w:noProof/>
                <w:szCs w:val="32"/>
              </w:rPr>
              <w:t>safekeeping place</w:t>
            </w:r>
            <w:r w:rsidR="0035448C">
              <w:rPr>
                <w:rFonts w:eastAsia="MS Mincho" w:cs="Times New Roman"/>
                <w:noProof/>
                <w:szCs w:val="32"/>
              </w:rPr>
              <w:t xml:space="preserve"> </w:t>
            </w:r>
            <w:r w:rsidRPr="00A872CE">
              <w:rPr>
                <w:rFonts w:eastAsia="MS Mincho" w:cs="Times New Roman"/>
                <w:noProof/>
                <w:szCs w:val="32"/>
              </w:rPr>
              <w:t xml:space="preserve">(CSD) </w:t>
            </w:r>
            <w:r w:rsidR="00A872CE" w:rsidRPr="00A872CE">
              <w:rPr>
                <w:rFonts w:eastAsia="MS Mincho" w:cs="Times New Roman"/>
                <w:noProof/>
                <w:szCs w:val="32"/>
              </w:rPr>
              <w:t xml:space="preserve">and the CSD participant to </w:t>
            </w:r>
            <w:r w:rsidR="00A05458">
              <w:rPr>
                <w:rFonts w:eastAsia="MS Mincho" w:cs="Times New Roman"/>
                <w:noProof/>
                <w:szCs w:val="32"/>
              </w:rPr>
              <w:t xml:space="preserve">whom </w:t>
            </w:r>
            <w:r w:rsidR="00A872CE" w:rsidRPr="00A872CE">
              <w:rPr>
                <w:rFonts w:eastAsia="MS Mincho" w:cs="Times New Roman"/>
                <w:noProof/>
                <w:szCs w:val="32"/>
              </w:rPr>
              <w:t xml:space="preserve">the </w:t>
            </w:r>
            <w:r w:rsidR="00A05458">
              <w:rPr>
                <w:rFonts w:eastAsia="MS Mincho" w:cs="Times New Roman"/>
                <w:noProof/>
                <w:szCs w:val="32"/>
              </w:rPr>
              <w:t xml:space="preserve">securities should be delivered, </w:t>
            </w:r>
            <w:r w:rsidR="00A872CE" w:rsidRPr="00A872CE">
              <w:rPr>
                <w:rFonts w:eastAsia="MS Mincho" w:cs="Times New Roman"/>
                <w:noProof/>
                <w:szCs w:val="32"/>
              </w:rPr>
              <w:t xml:space="preserve">or </w:t>
            </w:r>
            <w:r w:rsidR="00A05458">
              <w:rPr>
                <w:rFonts w:eastAsia="MS Mincho" w:cs="Times New Roman"/>
                <w:noProof/>
                <w:szCs w:val="32"/>
              </w:rPr>
              <w:t>from whom the securities should be received.</w:t>
            </w:r>
          </w:p>
          <w:p w:rsidR="00A05458" w:rsidRPr="00A05458" w:rsidRDefault="00A05458" w:rsidP="00922B9C">
            <w:pPr>
              <w:spacing w:before="120"/>
              <w:jc w:val="both"/>
              <w:rPr>
                <w:rFonts w:eastAsia="MS Mincho" w:cs="Times New Roman"/>
                <w:noProof/>
                <w:szCs w:val="32"/>
              </w:rPr>
            </w:pPr>
            <w:r>
              <w:rPr>
                <w:rFonts w:eastAsia="MS Mincho" w:cs="Times New Roman"/>
                <w:noProof/>
                <w:szCs w:val="32"/>
              </w:rPr>
              <w:t>I</w:t>
            </w:r>
            <w:r w:rsidRPr="00A05458">
              <w:rPr>
                <w:rFonts w:eastAsia="MS Mincho" w:cs="Times New Roman"/>
                <w:noProof/>
                <w:szCs w:val="32"/>
              </w:rPr>
              <w:t xml:space="preserve">nformation </w:t>
            </w:r>
            <w:r>
              <w:rPr>
                <w:rFonts w:eastAsia="MS Mincho" w:cs="Times New Roman"/>
                <w:noProof/>
                <w:szCs w:val="32"/>
              </w:rPr>
              <w:t xml:space="preserve">on settlement parties </w:t>
            </w:r>
            <w:r w:rsidRPr="00A05458">
              <w:rPr>
                <w:rFonts w:eastAsia="MS Mincho" w:cs="Times New Roman"/>
                <w:noProof/>
                <w:szCs w:val="32"/>
              </w:rPr>
              <w:t>must be provided by both parties in their respective instructions</w:t>
            </w:r>
            <w:r>
              <w:rPr>
                <w:rFonts w:eastAsia="MS Mincho" w:cs="Times New Roman"/>
                <w:noProof/>
                <w:szCs w:val="32"/>
              </w:rPr>
              <w:t>, for themselves as well as for their counterparty (delivering participant of the CSD, CSD of the delivering party – CSD of the receiving party, receiving party of the CSD).</w:t>
            </w:r>
          </w:p>
          <w:p w:rsidR="00922B9C" w:rsidRPr="00A05458" w:rsidRDefault="00A05458" w:rsidP="00922B9C">
            <w:pPr>
              <w:spacing w:before="120"/>
              <w:jc w:val="both"/>
              <w:rPr>
                <w:rFonts w:eastAsia="MS Mincho" w:cs="Times New Roman"/>
                <w:noProof/>
                <w:szCs w:val="32"/>
              </w:rPr>
            </w:pPr>
            <w:r w:rsidRPr="00A05458">
              <w:rPr>
                <w:rFonts w:eastAsia="MS Mincho" w:cs="Times New Roman"/>
                <w:noProof/>
                <w:szCs w:val="32"/>
              </w:rPr>
              <w:t xml:space="preserve">In </w:t>
            </w:r>
            <w:r w:rsidR="00922B9C" w:rsidRPr="00A05458">
              <w:rPr>
                <w:rFonts w:eastAsia="MS Mincho" w:cs="Times New Roman"/>
                <w:noProof/>
                <w:szCs w:val="32"/>
              </w:rPr>
              <w:t xml:space="preserve">T2S, </w:t>
            </w:r>
            <w:r w:rsidRPr="00A05458">
              <w:rPr>
                <w:rFonts w:eastAsia="MS Mincho" w:cs="Times New Roman"/>
                <w:noProof/>
                <w:szCs w:val="32"/>
              </w:rPr>
              <w:t>both</w:t>
            </w:r>
            <w:r w:rsidR="0035448C">
              <w:rPr>
                <w:rFonts w:eastAsia="MS Mincho" w:cs="Times New Roman"/>
                <w:noProof/>
                <w:szCs w:val="32"/>
              </w:rPr>
              <w:t xml:space="preserve"> </w:t>
            </w:r>
            <w:r w:rsidRPr="00A05458">
              <w:rPr>
                <w:rFonts w:eastAsia="MS Mincho" w:cs="Times New Roman"/>
                <w:noProof/>
                <w:szCs w:val="32"/>
              </w:rPr>
              <w:t xml:space="preserve">the CSD and the CSD participant are </w:t>
            </w:r>
            <w:r w:rsidRPr="00A05458">
              <w:rPr>
                <w:rFonts w:eastAsia="MS Mincho" w:cs="Times New Roman"/>
                <w:b/>
                <w:noProof/>
                <w:szCs w:val="32"/>
              </w:rPr>
              <w:t>mandatory data</w:t>
            </w:r>
            <w:r w:rsidRPr="00A05458">
              <w:rPr>
                <w:rFonts w:eastAsia="MS Mincho" w:cs="Times New Roman"/>
                <w:noProof/>
                <w:szCs w:val="32"/>
              </w:rPr>
              <w:t xml:space="preserve"> required for matching</w:t>
            </w:r>
            <w:r w:rsidR="00922B9C" w:rsidRPr="00A05458">
              <w:rPr>
                <w:rFonts w:eastAsia="MS Mincho" w:cs="Times New Roman"/>
                <w:noProof/>
                <w:szCs w:val="32"/>
              </w:rPr>
              <w:t>.</w:t>
            </w:r>
          </w:p>
          <w:p w:rsidR="00867C04" w:rsidRPr="00867C04" w:rsidRDefault="00A05458" w:rsidP="00922B9C">
            <w:pPr>
              <w:spacing w:before="120"/>
              <w:jc w:val="both"/>
              <w:rPr>
                <w:rFonts w:eastAsia="MS Mincho" w:cs="Times New Roman"/>
                <w:noProof/>
                <w:szCs w:val="32"/>
              </w:rPr>
            </w:pPr>
            <w:r w:rsidRPr="00867C04">
              <w:rPr>
                <w:rFonts w:eastAsia="MS Mincho" w:cs="Times New Roman"/>
                <w:noProof/>
                <w:szCs w:val="32"/>
              </w:rPr>
              <w:t>If the data ‘CSD’</w:t>
            </w:r>
            <w:r w:rsidR="00867C04" w:rsidRPr="00867C04">
              <w:rPr>
                <w:rFonts w:eastAsia="MS Mincho" w:cs="Times New Roman"/>
                <w:noProof/>
                <w:szCs w:val="32"/>
              </w:rPr>
              <w:t xml:space="preserve">, provided by the client of a participant to a CSD, </w:t>
            </w:r>
            <w:r w:rsidR="00867C04">
              <w:rPr>
                <w:rFonts w:eastAsia="MS Mincho" w:cs="Times New Roman"/>
                <w:noProof/>
                <w:szCs w:val="32"/>
              </w:rPr>
              <w:t>is not present in the instruction, it should be inferred by the participant to the CSD or asked for to its client.</w:t>
            </w:r>
          </w:p>
          <w:p w:rsidR="00867C04" w:rsidRPr="00867C04" w:rsidRDefault="00867C04" w:rsidP="00922B9C">
            <w:pPr>
              <w:spacing w:before="120"/>
              <w:jc w:val="both"/>
              <w:rPr>
                <w:rFonts w:eastAsia="MS Mincho" w:cs="Times New Roman"/>
                <w:noProof/>
                <w:szCs w:val="32"/>
              </w:rPr>
            </w:pPr>
            <w:r w:rsidRPr="00867C04">
              <w:rPr>
                <w:rFonts w:eastAsia="MS Mincho" w:cs="Times New Roman"/>
                <w:noProof/>
                <w:szCs w:val="32"/>
              </w:rPr>
              <w:t>As re</w:t>
            </w:r>
            <w:r w:rsidR="00CF3F1C">
              <w:rPr>
                <w:rFonts w:eastAsia="MS Mincho" w:cs="Times New Roman"/>
                <w:noProof/>
                <w:szCs w:val="32"/>
              </w:rPr>
              <w:t>gards the identification of the</w:t>
            </w:r>
            <w:r w:rsidRPr="00867C04">
              <w:rPr>
                <w:rFonts w:eastAsia="MS Mincho" w:cs="Times New Roman"/>
                <w:noProof/>
                <w:szCs w:val="32"/>
              </w:rPr>
              <w:t xml:space="preserve"> participant to the CSD, an </w:t>
            </w:r>
            <w:r>
              <w:rPr>
                <w:rFonts w:eastAsia="MS Mincho" w:cs="Times New Roman"/>
                <w:noProof/>
                <w:szCs w:val="32"/>
              </w:rPr>
              <w:t>Indirect</w:t>
            </w:r>
            <w:r w:rsidRPr="00867C04">
              <w:rPr>
                <w:rFonts w:eastAsia="MS Mincho" w:cs="Times New Roman"/>
                <w:noProof/>
                <w:szCs w:val="32"/>
              </w:rPr>
              <w:t xml:space="preserve"> </w:t>
            </w:r>
            <w:r>
              <w:rPr>
                <w:rFonts w:eastAsia="MS Mincho" w:cs="Times New Roman"/>
                <w:noProof/>
                <w:szCs w:val="32"/>
              </w:rPr>
              <w:t>C</w:t>
            </w:r>
            <w:r w:rsidRPr="00867C04">
              <w:rPr>
                <w:rFonts w:eastAsia="MS Mincho" w:cs="Times New Roman"/>
                <w:noProof/>
                <w:szCs w:val="32"/>
              </w:rPr>
              <w:t xml:space="preserve">onnected </w:t>
            </w:r>
            <w:r>
              <w:rPr>
                <w:rFonts w:eastAsia="MS Mincho" w:cs="Times New Roman"/>
                <w:noProof/>
                <w:szCs w:val="32"/>
              </w:rPr>
              <w:t xml:space="preserve">Participant to T2S (ICP) can provide the institution code (‘code affilié’) as an identifier, Euroclear </w:t>
            </w:r>
            <w:ins w:id="8" w:author="de Sousa, Maria" w:date="2016-05-16T14:32:00Z">
              <w:r w:rsidR="00FC4D23">
                <w:rPr>
                  <w:rFonts w:eastAsia="MS Mincho" w:cs="Times New Roman"/>
                  <w:noProof/>
                  <w:szCs w:val="32"/>
                </w:rPr>
                <w:t xml:space="preserve">France </w:t>
              </w:r>
            </w:ins>
            <w:r>
              <w:rPr>
                <w:rFonts w:eastAsia="MS Mincho" w:cs="Times New Roman"/>
                <w:noProof/>
                <w:szCs w:val="32"/>
              </w:rPr>
              <w:t>ensuring the transcodification with the relevant BIC-11 for settlement between its participants. More specifically, both codes will be presented on Euroclear</w:t>
            </w:r>
            <w:ins w:id="9" w:author="de Sousa, Maria" w:date="2016-05-16T14:32:00Z">
              <w:r w:rsidR="00FC4D23">
                <w:rPr>
                  <w:rFonts w:eastAsia="MS Mincho" w:cs="Times New Roman"/>
                  <w:noProof/>
                  <w:szCs w:val="32"/>
                </w:rPr>
                <w:t xml:space="preserve"> France</w:t>
              </w:r>
            </w:ins>
            <w:r>
              <w:rPr>
                <w:rFonts w:eastAsia="MS Mincho" w:cs="Times New Roman"/>
                <w:noProof/>
                <w:szCs w:val="32"/>
              </w:rPr>
              <w:t>’ GUI available from the launch of T2S.</w:t>
            </w:r>
          </w:p>
          <w:p w:rsidR="00867C04" w:rsidRPr="00867C04" w:rsidRDefault="00867C04" w:rsidP="00922B9C">
            <w:pPr>
              <w:spacing w:before="120"/>
              <w:jc w:val="both"/>
              <w:rPr>
                <w:rFonts w:eastAsia="MS Mincho" w:cs="Times New Roman"/>
                <w:noProof/>
                <w:szCs w:val="32"/>
              </w:rPr>
            </w:pPr>
            <w:r w:rsidRPr="00867C04">
              <w:rPr>
                <w:rFonts w:eastAsia="MS Mincho" w:cs="Times New Roman"/>
                <w:noProof/>
                <w:szCs w:val="32"/>
              </w:rPr>
              <w:t xml:space="preserve">This identification involves a settlement place at the Euroclear France CSD, and </w:t>
            </w:r>
            <w:r>
              <w:rPr>
                <w:rFonts w:eastAsia="MS Mincho" w:cs="Times New Roman"/>
                <w:noProof/>
                <w:szCs w:val="32"/>
              </w:rPr>
              <w:t xml:space="preserve">is </w:t>
            </w:r>
            <w:r w:rsidRPr="00867C04">
              <w:rPr>
                <w:rFonts w:eastAsia="MS Mincho" w:cs="Times New Roman"/>
                <w:noProof/>
                <w:szCs w:val="32"/>
              </w:rPr>
              <w:t xml:space="preserve">thus </w:t>
            </w:r>
            <w:r>
              <w:rPr>
                <w:rFonts w:eastAsia="MS Mincho" w:cs="Times New Roman"/>
                <w:noProof/>
                <w:szCs w:val="32"/>
              </w:rPr>
              <w:t>not required for pure domestic settlement.</w:t>
            </w:r>
          </w:p>
          <w:p w:rsidR="00922B9C" w:rsidRPr="00867C04" w:rsidRDefault="00867C04" w:rsidP="00922B9C">
            <w:pPr>
              <w:spacing w:before="120"/>
              <w:jc w:val="both"/>
              <w:rPr>
                <w:rFonts w:eastAsia="MS Mincho" w:cs="Times New Roman"/>
                <w:noProof/>
                <w:szCs w:val="32"/>
              </w:rPr>
            </w:pPr>
            <w:r w:rsidRPr="00867C04">
              <w:rPr>
                <w:rFonts w:eastAsia="MS Mincho" w:cs="Times New Roman"/>
                <w:noProof/>
                <w:szCs w:val="32"/>
              </w:rPr>
              <w:t xml:space="preserve">A Direct Connected Participant (DCP) will be required to </w:t>
            </w:r>
            <w:r>
              <w:rPr>
                <w:rFonts w:eastAsia="MS Mincho" w:cs="Times New Roman"/>
                <w:noProof/>
                <w:szCs w:val="32"/>
              </w:rPr>
              <w:t>provide the BIC-11 of the participant of the CSD of its counterparty.</w:t>
            </w:r>
          </w:p>
          <w:p w:rsidR="00922B9C" w:rsidRPr="00CF3F1C" w:rsidRDefault="00922B9C" w:rsidP="00922B9C">
            <w:pPr>
              <w:rPr>
                <w:rFonts w:eastAsia="MS Mincho" w:cs="Times New Roman"/>
                <w:noProof/>
                <w:szCs w:val="32"/>
              </w:rPr>
            </w:pPr>
          </w:p>
          <w:p w:rsidR="00922B9C" w:rsidRPr="00867C04" w:rsidRDefault="00867C04" w:rsidP="00922B9C">
            <w:pPr>
              <w:spacing w:before="120"/>
              <w:jc w:val="both"/>
              <w:rPr>
                <w:rFonts w:eastAsia="MS Mincho" w:cs="Times New Roman"/>
                <w:noProof/>
                <w:szCs w:val="32"/>
              </w:rPr>
            </w:pPr>
            <w:r w:rsidRPr="00867C04">
              <w:rPr>
                <w:rFonts w:eastAsia="MS Mincho" w:cs="Times New Roman"/>
                <w:noProof/>
                <w:szCs w:val="32"/>
              </w:rPr>
              <w:t xml:space="preserve">The main issue is </w:t>
            </w:r>
            <w:r w:rsidR="00CF3F1C">
              <w:rPr>
                <w:rFonts w:eastAsia="MS Mincho" w:cs="Times New Roman"/>
                <w:noProof/>
                <w:szCs w:val="32"/>
              </w:rPr>
              <w:t>a change in staff habits, to en</w:t>
            </w:r>
            <w:r w:rsidRPr="00867C04">
              <w:rPr>
                <w:rFonts w:eastAsia="MS Mincho" w:cs="Times New Roman"/>
                <w:noProof/>
                <w:szCs w:val="32"/>
              </w:rPr>
              <w:t xml:space="preserve">sure the transition </w:t>
            </w:r>
            <w:r>
              <w:rPr>
                <w:rFonts w:eastAsia="MS Mincho" w:cs="Times New Roman"/>
                <w:noProof/>
                <w:szCs w:val="32"/>
              </w:rPr>
              <w:t>to</w:t>
            </w:r>
            <w:r w:rsidRPr="00867C04">
              <w:rPr>
                <w:rFonts w:eastAsia="MS Mincho" w:cs="Times New Roman"/>
                <w:noProof/>
                <w:szCs w:val="32"/>
              </w:rPr>
              <w:t>:</w:t>
            </w:r>
            <w:r w:rsidR="00922B9C" w:rsidRPr="00867C04">
              <w:rPr>
                <w:rFonts w:eastAsia="MS Mincho" w:cs="Times New Roman"/>
                <w:noProof/>
                <w:szCs w:val="32"/>
              </w:rPr>
              <w:t xml:space="preserve"> </w:t>
            </w:r>
          </w:p>
          <w:p w:rsidR="00867C04" w:rsidRDefault="00867C04" w:rsidP="00922B9C">
            <w:pPr>
              <w:pStyle w:val="Paragraphedeliste"/>
              <w:numPr>
                <w:ilvl w:val="0"/>
                <w:numId w:val="3"/>
              </w:numPr>
              <w:spacing w:before="120"/>
              <w:ind w:left="318" w:hanging="284"/>
              <w:contextualSpacing w:val="0"/>
              <w:jc w:val="both"/>
              <w:rPr>
                <w:rFonts w:eastAsia="MS Mincho" w:cs="Times New Roman"/>
                <w:noProof/>
                <w:szCs w:val="32"/>
              </w:rPr>
            </w:pPr>
            <w:r>
              <w:rPr>
                <w:rFonts w:eastAsia="MS Mincho" w:cs="Times New Roman"/>
                <w:noProof/>
                <w:szCs w:val="32"/>
              </w:rPr>
              <w:t xml:space="preserve">the provision of the </w:t>
            </w:r>
            <w:r w:rsidR="0035448C">
              <w:rPr>
                <w:rFonts w:eastAsia="MS Mincho" w:cs="Times New Roman"/>
                <w:noProof/>
                <w:szCs w:val="32"/>
              </w:rPr>
              <w:t>identification of the CSD in order to ide</w:t>
            </w:r>
            <w:r w:rsidR="00CF3F1C">
              <w:rPr>
                <w:rFonts w:eastAsia="MS Mincho" w:cs="Times New Roman"/>
                <w:noProof/>
                <w:szCs w:val="32"/>
              </w:rPr>
              <w:t>ntify the appropriate safekeeping place</w:t>
            </w:r>
            <w:r w:rsidR="0035448C">
              <w:rPr>
                <w:rFonts w:eastAsia="MS Mincho" w:cs="Times New Roman"/>
                <w:noProof/>
                <w:szCs w:val="32"/>
              </w:rPr>
              <w:t xml:space="preserve"> in T2S, a given participant possibly having several safekeepers (several CSDs), by </w:t>
            </w:r>
            <w:r w:rsidR="00CF3F1C">
              <w:rPr>
                <w:rFonts w:eastAsia="MS Mincho" w:cs="Times New Roman"/>
                <w:noProof/>
                <w:szCs w:val="32"/>
              </w:rPr>
              <w:t>instrument</w:t>
            </w:r>
            <w:r w:rsidR="0035448C">
              <w:rPr>
                <w:rFonts w:eastAsia="MS Mincho" w:cs="Times New Roman"/>
                <w:noProof/>
                <w:szCs w:val="32"/>
              </w:rPr>
              <w:t xml:space="preserve">, or even for the same </w:t>
            </w:r>
            <w:r w:rsidR="00CF3F1C">
              <w:rPr>
                <w:rFonts w:eastAsia="MS Mincho" w:cs="Times New Roman"/>
                <w:noProof/>
                <w:szCs w:val="32"/>
              </w:rPr>
              <w:t>instrument</w:t>
            </w:r>
            <w:r w:rsidR="0035448C">
              <w:rPr>
                <w:rFonts w:eastAsia="MS Mincho" w:cs="Times New Roman"/>
                <w:noProof/>
                <w:szCs w:val="32"/>
              </w:rPr>
              <w:t>,</w:t>
            </w:r>
          </w:p>
          <w:p w:rsidR="0081511D" w:rsidRPr="0035448C" w:rsidRDefault="0035448C" w:rsidP="0035448C">
            <w:pPr>
              <w:pStyle w:val="Paragraphedeliste"/>
              <w:numPr>
                <w:ilvl w:val="0"/>
                <w:numId w:val="3"/>
              </w:numPr>
              <w:spacing w:before="120"/>
              <w:ind w:left="318" w:hanging="284"/>
              <w:contextualSpacing w:val="0"/>
              <w:jc w:val="both"/>
              <w:rPr>
                <w:rFonts w:eastAsia="MS Mincho" w:cs="Times New Roman"/>
                <w:noProof/>
                <w:szCs w:val="32"/>
              </w:rPr>
            </w:pPr>
            <w:r>
              <w:rPr>
                <w:rFonts w:eastAsia="MS Mincho" w:cs="Times New Roman"/>
                <w:noProof/>
                <w:szCs w:val="32"/>
              </w:rPr>
              <w:t>the use of the BIC-11 (new information) instead of the institution code (generally known to him). As a reminder, the institution code will still be of use for ancillary services provided by Euroclear, such as SBI, TPI, BRN or the management of French money-market instruments (‘TCN’).</w:t>
            </w:r>
          </w:p>
        </w:tc>
      </w:tr>
      <w:tr w:rsidR="0081511D" w:rsidRPr="0035448C" w:rsidTr="006542ED">
        <w:tc>
          <w:tcPr>
            <w:tcW w:w="2093" w:type="dxa"/>
            <w:tcBorders>
              <w:left w:val="nil"/>
              <w:right w:val="nil"/>
            </w:tcBorders>
            <w:shd w:val="clear" w:color="auto" w:fill="auto"/>
          </w:tcPr>
          <w:p w:rsidR="0081511D" w:rsidRPr="0035448C" w:rsidRDefault="0081511D" w:rsidP="006542ED">
            <w:pPr>
              <w:rPr>
                <w:rFonts w:eastAsia="MS Mincho" w:cs="Times New Roman"/>
                <w:b/>
                <w:noProof/>
                <w:szCs w:val="32"/>
              </w:rPr>
            </w:pPr>
          </w:p>
        </w:tc>
        <w:tc>
          <w:tcPr>
            <w:tcW w:w="7513" w:type="dxa"/>
            <w:tcBorders>
              <w:left w:val="nil"/>
              <w:right w:val="nil"/>
            </w:tcBorders>
            <w:shd w:val="clear" w:color="auto" w:fill="auto"/>
          </w:tcPr>
          <w:p w:rsidR="0081511D" w:rsidRPr="0035448C" w:rsidRDefault="0081511D" w:rsidP="006542ED">
            <w:pPr>
              <w:rPr>
                <w:rFonts w:eastAsia="MS Mincho" w:cs="Times New Roman"/>
                <w:b/>
                <w:noProof/>
                <w:szCs w:val="32"/>
              </w:rPr>
            </w:pPr>
          </w:p>
        </w:tc>
      </w:tr>
      <w:tr w:rsidR="000666A9" w:rsidRPr="0081511D" w:rsidTr="0081511D">
        <w:tc>
          <w:tcPr>
            <w:tcW w:w="2093" w:type="dxa"/>
            <w:shd w:val="clear" w:color="auto" w:fill="BFBFBF" w:themeFill="background1" w:themeFillShade="BF"/>
          </w:tcPr>
          <w:p w:rsidR="000666A9" w:rsidRPr="003348A6" w:rsidRDefault="000666A9"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666A9" w:rsidRPr="00D103DA" w:rsidRDefault="000666A9"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tc>
      </w:tr>
      <w:tr w:rsidR="000666A9" w:rsidRPr="0081511D" w:rsidTr="006542ED">
        <w:tc>
          <w:tcPr>
            <w:tcW w:w="2093" w:type="dxa"/>
            <w:tcBorders>
              <w:left w:val="nil"/>
              <w:right w:val="nil"/>
            </w:tcBorders>
            <w:shd w:val="clear" w:color="auto" w:fill="auto"/>
          </w:tcPr>
          <w:p w:rsidR="000666A9" w:rsidRDefault="000666A9" w:rsidP="000E651B">
            <w:pPr>
              <w:rPr>
                <w:rFonts w:eastAsia="MS Mincho" w:cs="Times New Roman"/>
                <w:b/>
                <w:noProof/>
                <w:szCs w:val="32"/>
                <w:lang w:val="fr-FR"/>
              </w:rPr>
            </w:pPr>
          </w:p>
        </w:tc>
        <w:tc>
          <w:tcPr>
            <w:tcW w:w="7513" w:type="dxa"/>
            <w:tcBorders>
              <w:left w:val="nil"/>
              <w:right w:val="nil"/>
            </w:tcBorders>
            <w:shd w:val="clear" w:color="auto" w:fill="auto"/>
          </w:tcPr>
          <w:p w:rsidR="000666A9" w:rsidRPr="0081511D" w:rsidRDefault="000666A9" w:rsidP="006542ED">
            <w:pPr>
              <w:rPr>
                <w:rFonts w:eastAsia="MS Mincho" w:cs="Times New Roman"/>
                <w:b/>
                <w:noProof/>
                <w:szCs w:val="32"/>
                <w:lang w:val="fr-FR"/>
              </w:rPr>
            </w:pPr>
          </w:p>
        </w:tc>
      </w:tr>
      <w:tr w:rsidR="000666A9" w:rsidRPr="0081511D" w:rsidTr="0081511D">
        <w:tc>
          <w:tcPr>
            <w:tcW w:w="2093" w:type="dxa"/>
            <w:shd w:val="clear" w:color="auto" w:fill="BFBFBF" w:themeFill="background1" w:themeFillShade="BF"/>
          </w:tcPr>
          <w:p w:rsidR="000666A9" w:rsidRDefault="000666A9" w:rsidP="000E651B">
            <w:pPr>
              <w:rPr>
                <w:rFonts w:eastAsia="MS Mincho" w:cs="Times New Roman"/>
                <w:b/>
                <w:noProof/>
                <w:szCs w:val="32"/>
                <w:lang w:val="fr-FR"/>
              </w:rPr>
            </w:pPr>
            <w:r>
              <w:rPr>
                <w:rFonts w:eastAsia="MS Mincho" w:cs="Times New Roman"/>
                <w:b/>
                <w:noProof/>
                <w:szCs w:val="32"/>
                <w:lang w:val="fr-FR"/>
              </w:rPr>
              <w:t>Workflows</w:t>
            </w:r>
          </w:p>
          <w:p w:rsidR="000666A9" w:rsidRDefault="000666A9" w:rsidP="000E651B">
            <w:pPr>
              <w:rPr>
                <w:rFonts w:eastAsia="MS Mincho" w:cs="Times New Roman"/>
                <w:b/>
                <w:noProof/>
                <w:szCs w:val="32"/>
                <w:lang w:val="fr-FR"/>
              </w:rPr>
            </w:pPr>
            <w:r>
              <w:rPr>
                <w:rFonts w:eastAsia="MS Mincho" w:cs="Times New Roman"/>
                <w:b/>
                <w:noProof/>
                <w:szCs w:val="32"/>
                <w:lang w:val="fr-FR"/>
              </w:rPr>
              <w:t>(OPTIONAL)</w:t>
            </w:r>
          </w:p>
        </w:tc>
        <w:tc>
          <w:tcPr>
            <w:tcW w:w="7513" w:type="dxa"/>
          </w:tcPr>
          <w:p w:rsidR="000666A9" w:rsidRPr="00FD2FD6" w:rsidRDefault="000666A9" w:rsidP="0081511D">
            <w:pPr>
              <w:rPr>
                <w:rFonts w:eastAsia="MS Mincho" w:cs="Times New Roman"/>
                <w:noProof/>
                <w:szCs w:val="32"/>
                <w:lang w:val="fr-FR"/>
              </w:rPr>
            </w:pPr>
          </w:p>
        </w:tc>
      </w:tr>
      <w:tr w:rsidR="000666A9" w:rsidRPr="0081511D" w:rsidTr="006542ED">
        <w:tc>
          <w:tcPr>
            <w:tcW w:w="2093" w:type="dxa"/>
            <w:tcBorders>
              <w:left w:val="nil"/>
              <w:right w:val="nil"/>
            </w:tcBorders>
            <w:shd w:val="clear" w:color="auto" w:fill="auto"/>
          </w:tcPr>
          <w:p w:rsidR="000666A9" w:rsidRDefault="000666A9" w:rsidP="000E651B">
            <w:pPr>
              <w:rPr>
                <w:rFonts w:eastAsia="MS Mincho" w:cs="Times New Roman"/>
                <w:b/>
                <w:noProof/>
                <w:szCs w:val="32"/>
                <w:lang w:val="fr-FR"/>
              </w:rPr>
            </w:pPr>
          </w:p>
        </w:tc>
        <w:tc>
          <w:tcPr>
            <w:tcW w:w="7513" w:type="dxa"/>
            <w:tcBorders>
              <w:left w:val="nil"/>
              <w:right w:val="nil"/>
            </w:tcBorders>
            <w:shd w:val="clear" w:color="auto" w:fill="auto"/>
          </w:tcPr>
          <w:p w:rsidR="000666A9" w:rsidRPr="0081511D" w:rsidRDefault="000666A9" w:rsidP="006542ED">
            <w:pPr>
              <w:rPr>
                <w:rFonts w:eastAsia="MS Mincho" w:cs="Times New Roman"/>
                <w:b/>
                <w:noProof/>
                <w:szCs w:val="32"/>
                <w:lang w:val="fr-FR"/>
              </w:rPr>
            </w:pPr>
          </w:p>
        </w:tc>
      </w:tr>
      <w:tr w:rsidR="000666A9" w:rsidRPr="000339EA" w:rsidTr="0091257E">
        <w:tc>
          <w:tcPr>
            <w:tcW w:w="2093" w:type="dxa"/>
            <w:tcBorders>
              <w:bottom w:val="single" w:sz="4" w:space="0" w:color="auto"/>
            </w:tcBorders>
            <w:shd w:val="clear" w:color="auto" w:fill="BFBFBF" w:themeFill="background1" w:themeFillShade="BF"/>
          </w:tcPr>
          <w:p w:rsidR="000666A9" w:rsidRPr="003348A6" w:rsidRDefault="000666A9" w:rsidP="000E651B">
            <w:pPr>
              <w:rPr>
                <w:rFonts w:eastAsia="MS Mincho" w:cs="Times New Roman"/>
                <w:b/>
                <w:noProof/>
                <w:szCs w:val="32"/>
              </w:rPr>
            </w:pPr>
            <w:r w:rsidRPr="003348A6">
              <w:rPr>
                <w:rFonts w:eastAsia="MS Mincho" w:cs="Times New Roman"/>
                <w:b/>
                <w:noProof/>
                <w:szCs w:val="32"/>
              </w:rPr>
              <w:t>Links with other market practices</w:t>
            </w:r>
          </w:p>
        </w:tc>
        <w:tc>
          <w:tcPr>
            <w:tcW w:w="7513" w:type="dxa"/>
            <w:tcBorders>
              <w:bottom w:val="single" w:sz="4" w:space="0" w:color="auto"/>
            </w:tcBorders>
          </w:tcPr>
          <w:p w:rsidR="000339EA" w:rsidRPr="000339EA" w:rsidRDefault="000339EA" w:rsidP="000339EA">
            <w:pPr>
              <w:pStyle w:val="Paragraphedeliste"/>
              <w:numPr>
                <w:ilvl w:val="0"/>
                <w:numId w:val="8"/>
              </w:numPr>
              <w:spacing w:after="200" w:line="276" w:lineRule="auto"/>
              <w:ind w:left="317" w:hanging="284"/>
              <w:rPr>
                <w:rFonts w:eastAsia="MS Mincho" w:cs="Times New Roman"/>
                <w:noProof/>
              </w:rPr>
            </w:pPr>
            <w:r w:rsidRPr="000339EA">
              <w:rPr>
                <w:rFonts w:eastAsia="MS Mincho" w:cs="Times New Roman"/>
                <w:noProof/>
              </w:rPr>
              <w:t xml:space="preserve">MS-MATCH-CRITE-02 : Use of the optional matching field: Client of the CSD participant </w:t>
            </w:r>
            <w:r w:rsidRPr="000339EA">
              <w:rPr>
                <w:rFonts w:eastAsia="MS Mincho" w:cs="Times New Roman"/>
                <w:i/>
                <w:noProof/>
              </w:rPr>
              <w:t>(Ongoing)</w:t>
            </w:r>
          </w:p>
          <w:p w:rsidR="000339EA" w:rsidRPr="000339EA" w:rsidRDefault="000339EA" w:rsidP="000339EA">
            <w:pPr>
              <w:pStyle w:val="Paragraphedeliste"/>
              <w:numPr>
                <w:ilvl w:val="0"/>
                <w:numId w:val="8"/>
              </w:numPr>
              <w:spacing w:after="200" w:line="276" w:lineRule="auto"/>
              <w:ind w:left="317" w:hanging="284"/>
              <w:rPr>
                <w:rFonts w:eastAsia="MS Mincho" w:cs="Times New Roman"/>
                <w:noProof/>
              </w:rPr>
            </w:pPr>
            <w:r w:rsidRPr="000339EA">
              <w:rPr>
                <w:rFonts w:eastAsia="MS Mincho" w:cs="Times New Roman"/>
                <w:noProof/>
              </w:rPr>
              <w:t>MS-MATCH-CRITE-03 : Use of additional matching fields</w:t>
            </w:r>
          </w:p>
          <w:p w:rsidR="000666A9" w:rsidRPr="000339EA" w:rsidRDefault="000339EA" w:rsidP="000339EA">
            <w:pPr>
              <w:pStyle w:val="Paragraphedeliste"/>
              <w:numPr>
                <w:ilvl w:val="0"/>
                <w:numId w:val="8"/>
              </w:numPr>
              <w:spacing w:after="200" w:line="276" w:lineRule="auto"/>
              <w:ind w:left="317" w:hanging="284"/>
              <w:rPr>
                <w:rFonts w:eastAsia="MS Mincho" w:cs="Times New Roman"/>
                <w:noProof/>
              </w:rPr>
            </w:pPr>
            <w:r w:rsidRPr="000339EA">
              <w:rPr>
                <w:rFonts w:eastAsia="MS Mincho" w:cs="Times New Roman"/>
                <w:noProof/>
              </w:rPr>
              <w:t>RE-CPTY-AGENT-01 : Identification of the agent in confirmations to clients</w:t>
            </w:r>
          </w:p>
        </w:tc>
      </w:tr>
    </w:tbl>
    <w:p w:rsidR="001E0D83" w:rsidRPr="000339EA" w:rsidRDefault="001E0D83" w:rsidP="00D103DA">
      <w:pPr>
        <w:spacing w:after="0" w:line="240" w:lineRule="auto"/>
        <w:rPr>
          <w:rFonts w:eastAsia="MS Mincho" w:cs="Times New Roman"/>
          <w:noProof/>
          <w:szCs w:val="32"/>
        </w:rPr>
      </w:pPr>
    </w:p>
    <w:p w:rsidR="0081511D" w:rsidRPr="000339EA" w:rsidRDefault="0081511D" w:rsidP="00D103DA">
      <w:pPr>
        <w:spacing w:after="0" w:line="240" w:lineRule="auto"/>
        <w:rPr>
          <w:rFonts w:eastAsia="MS Mincho" w:cs="Times New Roman"/>
          <w:noProof/>
          <w:szCs w:val="32"/>
        </w:rPr>
      </w:pPr>
    </w:p>
    <w:p w:rsidR="0081511D" w:rsidRPr="004F6025" w:rsidRDefault="000666A9" w:rsidP="0081511D">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Recommended market practice</w:t>
      </w:r>
    </w:p>
    <w:p w:rsidR="0081511D" w:rsidRDefault="0081511D" w:rsidP="00D103DA">
      <w:pPr>
        <w:spacing w:after="0" w:line="240" w:lineRule="auto"/>
        <w:rPr>
          <w:rFonts w:eastAsia="MS Mincho" w:cs="Times New Roman"/>
          <w:noProof/>
          <w:szCs w:val="32"/>
          <w:lang w:val="fr-FR"/>
        </w:rPr>
      </w:pPr>
    </w:p>
    <w:tbl>
      <w:tblPr>
        <w:tblStyle w:val="Grilledutableau"/>
        <w:tblW w:w="9606" w:type="dxa"/>
        <w:tblLook w:val="04A0" w:firstRow="1" w:lastRow="0" w:firstColumn="1" w:lastColumn="0" w:noHBand="0" w:noVBand="1"/>
      </w:tblPr>
      <w:tblGrid>
        <w:gridCol w:w="2093"/>
        <w:gridCol w:w="7483"/>
        <w:gridCol w:w="30"/>
      </w:tblGrid>
      <w:tr w:rsidR="001E0D83" w:rsidRPr="00962087" w:rsidTr="0081511D">
        <w:trPr>
          <w:gridAfter w:val="1"/>
          <w:wAfter w:w="30" w:type="dxa"/>
        </w:trPr>
        <w:tc>
          <w:tcPr>
            <w:tcW w:w="2093" w:type="dxa"/>
            <w:shd w:val="clear" w:color="auto" w:fill="BFBFBF" w:themeFill="background1" w:themeFillShade="BF"/>
          </w:tcPr>
          <w:p w:rsidR="001E0D83" w:rsidRPr="00D103DA" w:rsidRDefault="000666A9" w:rsidP="00EC776F">
            <w:pPr>
              <w:rPr>
                <w:rFonts w:eastAsia="MS Mincho" w:cs="Times New Roman"/>
                <w:b/>
                <w:noProof/>
                <w:szCs w:val="32"/>
                <w:lang w:val="fr-FR"/>
              </w:rPr>
            </w:pPr>
            <w:r>
              <w:rPr>
                <w:rFonts w:eastAsia="MS Mincho" w:cs="Times New Roman"/>
                <w:b/>
                <w:noProof/>
                <w:szCs w:val="32"/>
                <w:lang w:val="fr-FR"/>
              </w:rPr>
              <w:t>Recommended practice</w:t>
            </w:r>
          </w:p>
        </w:tc>
        <w:tc>
          <w:tcPr>
            <w:tcW w:w="7483" w:type="dxa"/>
          </w:tcPr>
          <w:p w:rsidR="0035448C" w:rsidRPr="0035448C" w:rsidRDefault="0035448C" w:rsidP="00922B9C">
            <w:pPr>
              <w:spacing w:before="120"/>
              <w:jc w:val="both"/>
              <w:rPr>
                <w:rFonts w:eastAsia="MS Mincho" w:cs="Times New Roman"/>
                <w:noProof/>
                <w:szCs w:val="32"/>
              </w:rPr>
            </w:pPr>
            <w:r w:rsidRPr="0035448C">
              <w:rPr>
                <w:rFonts w:eastAsia="MS Mincho" w:cs="Times New Roman"/>
                <w:noProof/>
                <w:szCs w:val="32"/>
              </w:rPr>
              <w:t>The information ‘CSD of the counterparty’ must be input by default i</w:t>
            </w:r>
            <w:r>
              <w:rPr>
                <w:rFonts w:eastAsia="MS Mincho" w:cs="Times New Roman"/>
                <w:noProof/>
                <w:szCs w:val="32"/>
              </w:rPr>
              <w:t>n the settlement instructions.</w:t>
            </w:r>
          </w:p>
          <w:p w:rsidR="00922B9C" w:rsidRPr="0035448C" w:rsidRDefault="0035448C" w:rsidP="00922B9C">
            <w:pPr>
              <w:spacing w:before="120"/>
              <w:jc w:val="both"/>
              <w:rPr>
                <w:rFonts w:eastAsia="MS Mincho" w:cs="Times New Roman"/>
                <w:noProof/>
                <w:szCs w:val="32"/>
              </w:rPr>
            </w:pPr>
            <w:r w:rsidRPr="0035448C">
              <w:rPr>
                <w:rFonts w:eastAsia="MS Mincho" w:cs="Times New Roman"/>
                <w:noProof/>
                <w:szCs w:val="32"/>
              </w:rPr>
              <w:t xml:space="preserve">This requirement clearely relies on the participant to CSD who is required to </w:t>
            </w:r>
            <w:r>
              <w:rPr>
                <w:rFonts w:eastAsia="MS Mincho" w:cs="Times New Roman"/>
                <w:noProof/>
                <w:szCs w:val="32"/>
              </w:rPr>
              <w:t xml:space="preserve">systematically </w:t>
            </w:r>
            <w:r w:rsidRPr="0035448C">
              <w:rPr>
                <w:rFonts w:eastAsia="MS Mincho" w:cs="Times New Roman"/>
                <w:noProof/>
                <w:szCs w:val="32"/>
              </w:rPr>
              <w:t xml:space="preserve">provide </w:t>
            </w:r>
            <w:r>
              <w:rPr>
                <w:rFonts w:eastAsia="MS Mincho" w:cs="Times New Roman"/>
                <w:noProof/>
                <w:szCs w:val="32"/>
              </w:rPr>
              <w:t>the information in its instructions.</w:t>
            </w:r>
          </w:p>
          <w:p w:rsidR="00922B9C" w:rsidRPr="0035448C" w:rsidRDefault="0035448C" w:rsidP="00922B9C">
            <w:pPr>
              <w:spacing w:before="120"/>
              <w:jc w:val="both"/>
              <w:rPr>
                <w:rFonts w:eastAsia="MS Mincho" w:cs="Times New Roman"/>
                <w:noProof/>
                <w:szCs w:val="32"/>
              </w:rPr>
            </w:pPr>
            <w:r w:rsidRPr="0035448C">
              <w:rPr>
                <w:rFonts w:eastAsia="MS Mincho" w:cs="Times New Roman"/>
                <w:noProof/>
                <w:szCs w:val="32"/>
              </w:rPr>
              <w:t>The provision of this information by the client of the CSD particip</w:t>
            </w:r>
            <w:r>
              <w:rPr>
                <w:rFonts w:eastAsia="MS Mincho" w:cs="Times New Roman"/>
                <w:noProof/>
                <w:szCs w:val="32"/>
              </w:rPr>
              <w:t>ant in its instructions is the recommendation of the French market. The implementation of this recommendation remains nonetheless dependant on the participant, who can choose in its relation with its client to infer it, if he is in the capacity to do so, or systematically ask for it</w:t>
            </w:r>
            <w:r w:rsidR="00CF3F1C">
              <w:rPr>
                <w:rFonts w:eastAsia="MS Mincho" w:cs="Times New Roman"/>
                <w:noProof/>
                <w:szCs w:val="32"/>
              </w:rPr>
              <w:t xml:space="preserve"> to its client</w:t>
            </w:r>
            <w:r>
              <w:rPr>
                <w:rFonts w:eastAsia="MS Mincho" w:cs="Times New Roman"/>
                <w:noProof/>
                <w:szCs w:val="32"/>
              </w:rPr>
              <w:t>.</w:t>
            </w:r>
          </w:p>
          <w:p w:rsidR="00922B9C" w:rsidRPr="00962087" w:rsidRDefault="0035448C" w:rsidP="00922B9C">
            <w:pPr>
              <w:spacing w:before="120"/>
              <w:jc w:val="both"/>
              <w:rPr>
                <w:rFonts w:eastAsia="MS Mincho" w:cs="Times New Roman"/>
                <w:noProof/>
                <w:szCs w:val="32"/>
              </w:rPr>
            </w:pPr>
            <w:r w:rsidRPr="00962087">
              <w:rPr>
                <w:rFonts w:eastAsia="MS Mincho" w:cs="Times New Roman"/>
                <w:noProof/>
                <w:szCs w:val="32"/>
              </w:rPr>
              <w:t xml:space="preserve">The BIC-11 </w:t>
            </w:r>
            <w:r w:rsidR="00962087" w:rsidRPr="00962087">
              <w:rPr>
                <w:rFonts w:eastAsia="MS Mincho" w:cs="Times New Roman"/>
                <w:noProof/>
                <w:szCs w:val="32"/>
              </w:rPr>
              <w:t xml:space="preserve">should be preferred </w:t>
            </w:r>
            <w:r w:rsidR="00962087">
              <w:rPr>
                <w:rFonts w:eastAsia="MS Mincho" w:cs="Times New Roman"/>
                <w:noProof/>
                <w:szCs w:val="32"/>
              </w:rPr>
              <w:t>as much as possible in the relations between parties. Failing that, the use of the institution code can be maintained for proprietary services (like SBI). Additionally, by nature, when using Euroclear</w:t>
            </w:r>
            <w:ins w:id="10" w:author="de Sousa, Maria" w:date="2016-05-16T14:35:00Z">
              <w:r w:rsidR="00FC4D23">
                <w:rPr>
                  <w:rFonts w:eastAsia="MS Mincho" w:cs="Times New Roman"/>
                  <w:noProof/>
                  <w:szCs w:val="32"/>
                </w:rPr>
                <w:t xml:space="preserve"> France</w:t>
              </w:r>
            </w:ins>
            <w:r w:rsidR="00962087">
              <w:rPr>
                <w:rFonts w:eastAsia="MS Mincho" w:cs="Times New Roman"/>
                <w:noProof/>
                <w:szCs w:val="32"/>
              </w:rPr>
              <w:t>’s proprietary messaging, Euroclear</w:t>
            </w:r>
            <w:ins w:id="11" w:author="de Sousa, Maria" w:date="2016-05-16T14:35:00Z">
              <w:r w:rsidR="00FC4D23">
                <w:rPr>
                  <w:rFonts w:eastAsia="MS Mincho" w:cs="Times New Roman"/>
                  <w:noProof/>
                  <w:szCs w:val="32"/>
                </w:rPr>
                <w:t xml:space="preserve"> France</w:t>
              </w:r>
            </w:ins>
            <w:r w:rsidR="00962087">
              <w:rPr>
                <w:rFonts w:eastAsia="MS Mincho" w:cs="Times New Roman"/>
                <w:noProof/>
                <w:szCs w:val="32"/>
              </w:rPr>
              <w:t>’s rules should be abided by.</w:t>
            </w:r>
          </w:p>
          <w:p w:rsidR="00922B9C" w:rsidRPr="00962087" w:rsidRDefault="00962087" w:rsidP="00922B9C">
            <w:pPr>
              <w:spacing w:before="120"/>
              <w:jc w:val="both"/>
              <w:rPr>
                <w:rFonts w:eastAsia="MS Mincho" w:cs="Times New Roman"/>
                <w:noProof/>
                <w:szCs w:val="32"/>
              </w:rPr>
            </w:pPr>
            <w:r w:rsidRPr="00962087">
              <w:rPr>
                <w:rFonts w:eastAsia="MS Mincho" w:cs="Times New Roman"/>
                <w:noProof/>
                <w:szCs w:val="32"/>
              </w:rPr>
              <w:t xml:space="preserve">It should be noted that Euroclear </w:t>
            </w:r>
            <w:ins w:id="12" w:author="de Sousa, Maria" w:date="2016-05-16T14:35:00Z">
              <w:r w:rsidR="00FC4D23">
                <w:rPr>
                  <w:rFonts w:eastAsia="MS Mincho" w:cs="Times New Roman"/>
                  <w:noProof/>
                  <w:szCs w:val="32"/>
                </w:rPr>
                <w:t xml:space="preserve">France </w:t>
              </w:r>
            </w:ins>
            <w:r w:rsidRPr="00962087">
              <w:rPr>
                <w:rFonts w:eastAsia="MS Mincho" w:cs="Times New Roman"/>
                <w:noProof/>
                <w:szCs w:val="32"/>
              </w:rPr>
              <w:t xml:space="preserve">does not consider in the short-term </w:t>
            </w:r>
            <w:r>
              <w:rPr>
                <w:rFonts w:eastAsia="MS Mincho" w:cs="Times New Roman"/>
                <w:noProof/>
                <w:szCs w:val="32"/>
              </w:rPr>
              <w:t>a modification in its IT systems to ensure the systematic use of the BIC-11. In this respect, in a first step, domestic relations between non-T2S participants will rely on the identification of the CSD participant via the institution code as long as IT systems from Euroclear</w:t>
            </w:r>
            <w:ins w:id="13" w:author="de Sousa, Maria" w:date="2016-05-16T14:36:00Z">
              <w:r w:rsidR="00FC4D23">
                <w:rPr>
                  <w:rFonts w:eastAsia="MS Mincho" w:cs="Times New Roman"/>
                  <w:noProof/>
                  <w:szCs w:val="32"/>
                </w:rPr>
                <w:t xml:space="preserve"> France</w:t>
              </w:r>
            </w:ins>
            <w:bookmarkStart w:id="14" w:name="_GoBack"/>
            <w:bookmarkEnd w:id="14"/>
            <w:r>
              <w:rPr>
                <w:rFonts w:eastAsia="MS Mincho" w:cs="Times New Roman"/>
                <w:noProof/>
                <w:szCs w:val="32"/>
              </w:rPr>
              <w:t xml:space="preserve"> have not evolved. By contrast, the provision of the BIC-11 will be required for cross-CSD operations.</w:t>
            </w:r>
          </w:p>
          <w:p w:rsidR="00AA1FDB" w:rsidRPr="00962087" w:rsidRDefault="00962087" w:rsidP="00962087">
            <w:pPr>
              <w:spacing w:before="120"/>
              <w:jc w:val="both"/>
              <w:rPr>
                <w:rFonts w:eastAsia="MS Mincho" w:cs="Times New Roman"/>
                <w:noProof/>
                <w:szCs w:val="32"/>
              </w:rPr>
            </w:pPr>
            <w:r w:rsidRPr="00962087">
              <w:rPr>
                <w:rFonts w:eastAsia="MS Mincho" w:cs="Times New Roman"/>
                <w:noProof/>
                <w:szCs w:val="32"/>
              </w:rPr>
              <w:t xml:space="preserve">This recommendation must be taken into account and relayed </w:t>
            </w:r>
            <w:r>
              <w:rPr>
                <w:rFonts w:eastAsia="MS Mincho" w:cs="Times New Roman"/>
                <w:noProof/>
                <w:szCs w:val="32"/>
              </w:rPr>
              <w:t>to other market workgroups invo</w:t>
            </w:r>
            <w:r w:rsidRPr="00962087">
              <w:rPr>
                <w:rFonts w:eastAsia="MS Mincho" w:cs="Times New Roman"/>
                <w:noProof/>
                <w:szCs w:val="32"/>
              </w:rPr>
              <w:t>l</w:t>
            </w:r>
            <w:r>
              <w:rPr>
                <w:rFonts w:eastAsia="MS Mincho" w:cs="Times New Roman"/>
                <w:noProof/>
                <w:szCs w:val="32"/>
              </w:rPr>
              <w:t>v</w:t>
            </w:r>
            <w:r w:rsidRPr="00962087">
              <w:rPr>
                <w:rFonts w:eastAsia="MS Mincho" w:cs="Times New Roman"/>
                <w:noProof/>
                <w:szCs w:val="32"/>
              </w:rPr>
              <w:t xml:space="preserve">ed in the </w:t>
            </w:r>
            <w:r>
              <w:rPr>
                <w:rFonts w:eastAsia="MS Mincho" w:cs="Times New Roman"/>
                <w:noProof/>
                <w:szCs w:val="32"/>
              </w:rPr>
              <w:t>design of codes of conduct or best practices where the notion of institution code is used.</w:t>
            </w:r>
          </w:p>
        </w:tc>
      </w:tr>
      <w:tr w:rsidR="00922B9C" w:rsidRPr="00541F12" w:rsidTr="0081511D">
        <w:trPr>
          <w:gridAfter w:val="1"/>
          <w:wAfter w:w="30" w:type="dxa"/>
        </w:trPr>
        <w:tc>
          <w:tcPr>
            <w:tcW w:w="2093" w:type="dxa"/>
            <w:shd w:val="clear" w:color="auto" w:fill="BFBFBF" w:themeFill="background1" w:themeFillShade="BF"/>
          </w:tcPr>
          <w:p w:rsidR="00922B9C" w:rsidRPr="000666A9" w:rsidRDefault="000666A9" w:rsidP="000666A9">
            <w:pPr>
              <w:rPr>
                <w:rFonts w:eastAsia="MS Mincho" w:cs="Times New Roman"/>
                <w:b/>
                <w:noProof/>
                <w:szCs w:val="32"/>
              </w:rPr>
            </w:pPr>
            <w:r w:rsidRPr="000666A9">
              <w:rPr>
                <w:rFonts w:eastAsia="MS Mincho" w:cs="Times New Roman"/>
                <w:b/>
                <w:noProof/>
                <w:szCs w:val="32"/>
              </w:rPr>
              <w:t>Reasons for the choice</w:t>
            </w:r>
          </w:p>
        </w:tc>
        <w:tc>
          <w:tcPr>
            <w:tcW w:w="7483" w:type="dxa"/>
          </w:tcPr>
          <w:p w:rsidR="00922B9C" w:rsidRPr="00962087" w:rsidRDefault="00962087" w:rsidP="00922B9C">
            <w:pPr>
              <w:spacing w:before="120"/>
              <w:jc w:val="both"/>
              <w:rPr>
                <w:rFonts w:eastAsia="MS Mincho" w:cs="Times New Roman"/>
                <w:b/>
                <w:noProof/>
                <w:szCs w:val="32"/>
              </w:rPr>
            </w:pPr>
            <w:r w:rsidRPr="00962087">
              <w:rPr>
                <w:rFonts w:eastAsia="MS Mincho" w:cs="Times New Roman"/>
                <w:b/>
                <w:noProof/>
                <w:szCs w:val="32"/>
              </w:rPr>
              <w:t xml:space="preserve">Identification of the </w:t>
            </w:r>
            <w:r w:rsidR="00922B9C" w:rsidRPr="00962087">
              <w:rPr>
                <w:rFonts w:eastAsia="MS Mincho" w:cs="Times New Roman"/>
                <w:b/>
                <w:noProof/>
                <w:szCs w:val="32"/>
              </w:rPr>
              <w:t>CSD (BIC 11)</w:t>
            </w:r>
          </w:p>
          <w:p w:rsidR="00962087" w:rsidRPr="00962087" w:rsidRDefault="00962087" w:rsidP="00922B9C">
            <w:pPr>
              <w:spacing w:before="120"/>
              <w:jc w:val="both"/>
              <w:rPr>
                <w:rFonts w:eastAsia="MS Mincho" w:cs="Times New Roman"/>
                <w:noProof/>
                <w:szCs w:val="32"/>
              </w:rPr>
            </w:pPr>
            <w:r w:rsidRPr="00962087">
              <w:rPr>
                <w:rFonts w:eastAsia="MS Mincho" w:cs="Times New Roman"/>
                <w:noProof/>
                <w:szCs w:val="32"/>
              </w:rPr>
              <w:t xml:space="preserve">Inferring data on settlement parties </w:t>
            </w:r>
            <w:r>
              <w:rPr>
                <w:rFonts w:eastAsia="MS Mincho" w:cs="Times New Roman"/>
                <w:noProof/>
                <w:szCs w:val="32"/>
              </w:rPr>
              <w:t xml:space="preserve">involves </w:t>
            </w:r>
            <w:r w:rsidRPr="00962087">
              <w:rPr>
                <w:rFonts w:eastAsia="MS Mincho" w:cs="Times New Roman"/>
                <w:noProof/>
                <w:szCs w:val="32"/>
              </w:rPr>
              <w:t xml:space="preserve">an initialisation </w:t>
            </w:r>
            <w:r>
              <w:rPr>
                <w:rFonts w:eastAsia="MS Mincho" w:cs="Times New Roman"/>
                <w:noProof/>
                <w:szCs w:val="32"/>
              </w:rPr>
              <w:t xml:space="preserve">phase, where the client must provide </w:t>
            </w:r>
            <w:r w:rsidR="00541F12">
              <w:rPr>
                <w:rFonts w:eastAsia="MS Mincho" w:cs="Times New Roman"/>
                <w:noProof/>
                <w:szCs w:val="32"/>
              </w:rPr>
              <w:t xml:space="preserve">rules </w:t>
            </w:r>
            <w:r w:rsidR="00CF3F1C">
              <w:rPr>
                <w:rFonts w:eastAsia="MS Mincho" w:cs="Times New Roman"/>
                <w:noProof/>
                <w:szCs w:val="32"/>
              </w:rPr>
              <w:t>on</w:t>
            </w:r>
            <w:r>
              <w:rPr>
                <w:rFonts w:eastAsia="MS Mincho" w:cs="Times New Roman"/>
                <w:noProof/>
                <w:szCs w:val="32"/>
              </w:rPr>
              <w:t xml:space="preserve"> how to infer</w:t>
            </w:r>
            <w:r w:rsidR="00CF3F1C">
              <w:rPr>
                <w:rFonts w:eastAsia="MS Mincho" w:cs="Times New Roman"/>
                <w:noProof/>
                <w:szCs w:val="32"/>
              </w:rPr>
              <w:t xml:space="preserve"> SSIs based on a set of criter</w:t>
            </w:r>
            <w:r w:rsidR="00541F12">
              <w:rPr>
                <w:rFonts w:eastAsia="MS Mincho" w:cs="Times New Roman"/>
                <w:noProof/>
                <w:szCs w:val="32"/>
              </w:rPr>
              <w:t>i</w:t>
            </w:r>
            <w:r w:rsidR="00CF3F1C">
              <w:rPr>
                <w:rFonts w:eastAsia="MS Mincho" w:cs="Times New Roman"/>
                <w:noProof/>
                <w:szCs w:val="32"/>
              </w:rPr>
              <w:t>a</w:t>
            </w:r>
            <w:r w:rsidR="00541F12">
              <w:rPr>
                <w:rFonts w:eastAsia="MS Mincho" w:cs="Times New Roman"/>
                <w:noProof/>
                <w:szCs w:val="32"/>
              </w:rPr>
              <w:t xml:space="preserve"> (counterparty, market, etc.). These rules can change over time or based on experience from T2S.</w:t>
            </w:r>
          </w:p>
          <w:p w:rsidR="00922B9C" w:rsidRPr="00541F12" w:rsidRDefault="00541F12" w:rsidP="00922B9C">
            <w:pPr>
              <w:spacing w:before="120"/>
              <w:jc w:val="both"/>
              <w:rPr>
                <w:rFonts w:eastAsia="MS Mincho" w:cs="Times New Roman"/>
                <w:noProof/>
                <w:szCs w:val="32"/>
              </w:rPr>
            </w:pPr>
            <w:r w:rsidRPr="00541F12">
              <w:rPr>
                <w:rFonts w:eastAsia="MS Mincho" w:cs="Times New Roman"/>
                <w:noProof/>
                <w:szCs w:val="32"/>
              </w:rPr>
              <w:t>By default, SSIs are based on information provided by the client to its custodian, with a possible evolution over time.</w:t>
            </w:r>
          </w:p>
          <w:p w:rsidR="00922B9C" w:rsidRPr="00CF3F1C" w:rsidRDefault="00922B9C" w:rsidP="00922B9C">
            <w:pPr>
              <w:spacing w:before="120"/>
              <w:jc w:val="both"/>
              <w:rPr>
                <w:rFonts w:eastAsia="MS Mincho" w:cs="Times New Roman"/>
                <w:noProof/>
                <w:szCs w:val="32"/>
              </w:rPr>
            </w:pPr>
          </w:p>
          <w:p w:rsidR="00922B9C" w:rsidRPr="00541F12" w:rsidRDefault="00541F12" w:rsidP="00922B9C">
            <w:pPr>
              <w:spacing w:before="120"/>
              <w:jc w:val="both"/>
              <w:rPr>
                <w:b/>
              </w:rPr>
            </w:pPr>
            <w:r w:rsidRPr="00541F12">
              <w:rPr>
                <w:b/>
              </w:rPr>
              <w:t xml:space="preserve">Identification of the CSD participant </w:t>
            </w:r>
            <w:r w:rsidR="00922B9C" w:rsidRPr="00541F12">
              <w:rPr>
                <w:b/>
              </w:rPr>
              <w:t>(BIC 11)</w:t>
            </w:r>
          </w:p>
          <w:p w:rsidR="00541F12" w:rsidRPr="00541F12" w:rsidRDefault="00541F12" w:rsidP="00922B9C">
            <w:pPr>
              <w:spacing w:before="120"/>
              <w:jc w:val="both"/>
              <w:rPr>
                <w:rFonts w:eastAsia="MS Mincho" w:cs="Times New Roman"/>
                <w:noProof/>
                <w:szCs w:val="32"/>
              </w:rPr>
            </w:pPr>
            <w:r w:rsidRPr="00541F12">
              <w:rPr>
                <w:rFonts w:eastAsia="MS Mincho" w:cs="Times New Roman"/>
                <w:noProof/>
                <w:szCs w:val="32"/>
              </w:rPr>
              <w:t>The BIC-11 should be preferred as much as possible as such information will become a standar</w:t>
            </w:r>
            <w:r>
              <w:rPr>
                <w:rFonts w:eastAsia="MS Mincho" w:cs="Times New Roman"/>
                <w:noProof/>
                <w:szCs w:val="32"/>
              </w:rPr>
              <w:t>d in cross-CSD settlement. The reliance on the institution code (‘code affilié’) for domestic relations is justified as long as Euroclear France does not require it across its systems.</w:t>
            </w:r>
            <w:r w:rsidR="00CF3F1C">
              <w:rPr>
                <w:rFonts w:eastAsia="MS Mincho" w:cs="Times New Roman"/>
                <w:noProof/>
                <w:szCs w:val="32"/>
              </w:rPr>
              <w:t xml:space="preserve"> </w:t>
            </w:r>
            <w:r>
              <w:rPr>
                <w:rFonts w:eastAsia="MS Mincho" w:cs="Times New Roman"/>
                <w:noProof/>
                <w:szCs w:val="32"/>
              </w:rPr>
              <w:t>The update of Euroclear France’s systems will have a significant impact on the French market and require a joint implementation. The market has no visibiliity for the time being on such project.</w:t>
            </w:r>
          </w:p>
          <w:p w:rsidR="00922B9C" w:rsidRPr="00541F12" w:rsidRDefault="00541F12" w:rsidP="00922B9C">
            <w:pPr>
              <w:spacing w:before="120"/>
              <w:jc w:val="both"/>
              <w:rPr>
                <w:rFonts w:eastAsia="MS Mincho" w:cs="Times New Roman"/>
                <w:noProof/>
                <w:szCs w:val="32"/>
              </w:rPr>
            </w:pPr>
            <w:r w:rsidRPr="00541F12">
              <w:rPr>
                <w:rFonts w:eastAsia="MS Mincho" w:cs="Times New Roman"/>
                <w:noProof/>
                <w:szCs w:val="32"/>
              </w:rPr>
              <w:t xml:space="preserve">New participants in ESES will be granted an institution </w:t>
            </w:r>
            <w:r>
              <w:rPr>
                <w:rFonts w:eastAsia="MS Mincho" w:cs="Times New Roman"/>
                <w:noProof/>
                <w:szCs w:val="32"/>
              </w:rPr>
              <w:t>code as long as ESES systems will not have fully switched to the BIC-11. The institution code will thus still be of use as a general rule.</w:t>
            </w:r>
          </w:p>
          <w:p w:rsidR="00922B9C" w:rsidRPr="00541F12" w:rsidRDefault="00541F12" w:rsidP="00922B9C">
            <w:pPr>
              <w:spacing w:before="120"/>
              <w:jc w:val="both"/>
              <w:rPr>
                <w:rFonts w:eastAsia="MS Mincho" w:cs="Times New Roman"/>
                <w:noProof/>
                <w:szCs w:val="32"/>
              </w:rPr>
            </w:pPr>
            <w:r>
              <w:rPr>
                <w:rFonts w:eastAsia="MS Mincho" w:cs="Times New Roman"/>
                <w:noProof/>
                <w:szCs w:val="32"/>
              </w:rPr>
              <w:t>The table of correspondence between institutions codes and BIC-11 will be available on Euroclear’s website.</w:t>
            </w:r>
          </w:p>
        </w:tc>
      </w:tr>
      <w:tr w:rsidR="0081511D" w:rsidRPr="00541F12" w:rsidTr="0081511D">
        <w:tc>
          <w:tcPr>
            <w:tcW w:w="2093" w:type="dxa"/>
            <w:tcBorders>
              <w:left w:val="nil"/>
              <w:right w:val="nil"/>
            </w:tcBorders>
            <w:shd w:val="clear" w:color="auto" w:fill="auto"/>
          </w:tcPr>
          <w:p w:rsidR="0081511D" w:rsidRPr="00541F12" w:rsidRDefault="0081511D" w:rsidP="006542ED">
            <w:pPr>
              <w:rPr>
                <w:rFonts w:eastAsia="MS Mincho" w:cs="Times New Roman"/>
                <w:b/>
                <w:noProof/>
                <w:szCs w:val="32"/>
              </w:rPr>
            </w:pPr>
          </w:p>
        </w:tc>
        <w:tc>
          <w:tcPr>
            <w:tcW w:w="7513" w:type="dxa"/>
            <w:gridSpan w:val="2"/>
            <w:tcBorders>
              <w:left w:val="nil"/>
              <w:right w:val="nil"/>
            </w:tcBorders>
            <w:shd w:val="clear" w:color="auto" w:fill="auto"/>
          </w:tcPr>
          <w:p w:rsidR="0081511D" w:rsidRPr="00541F12" w:rsidRDefault="0081511D" w:rsidP="006542ED">
            <w:pPr>
              <w:rPr>
                <w:rFonts w:eastAsia="MS Mincho" w:cs="Times New Roman"/>
                <w:b/>
                <w:noProof/>
                <w:szCs w:val="32"/>
              </w:rPr>
            </w:pPr>
          </w:p>
        </w:tc>
      </w:tr>
      <w:tr w:rsidR="000666A9" w:rsidTr="0081511D">
        <w:trPr>
          <w:gridAfter w:val="1"/>
          <w:wAfter w:w="30" w:type="dxa"/>
        </w:trPr>
        <w:tc>
          <w:tcPr>
            <w:tcW w:w="2093" w:type="dxa"/>
            <w:tcBorders>
              <w:bottom w:val="single" w:sz="4" w:space="0" w:color="auto"/>
            </w:tcBorders>
            <w:shd w:val="clear" w:color="auto" w:fill="BFBFBF" w:themeFill="background1" w:themeFillShade="BF"/>
          </w:tcPr>
          <w:p w:rsidR="000666A9" w:rsidRPr="003348A6" w:rsidRDefault="000666A9" w:rsidP="000E651B">
            <w:pPr>
              <w:rPr>
                <w:rFonts w:eastAsia="MS Mincho" w:cs="Times New Roman"/>
                <w:b/>
                <w:noProof/>
                <w:szCs w:val="32"/>
              </w:rPr>
            </w:pPr>
            <w:r w:rsidRPr="003348A6">
              <w:rPr>
                <w:rFonts w:eastAsia="MS Mincho" w:cs="Times New Roman"/>
                <w:b/>
                <w:noProof/>
                <w:szCs w:val="32"/>
              </w:rPr>
              <w:t>Description of the roles and responsibilities of the ac</w:t>
            </w:r>
            <w:r>
              <w:rPr>
                <w:rFonts w:eastAsia="MS Mincho" w:cs="Times New Roman"/>
                <w:b/>
                <w:noProof/>
                <w:szCs w:val="32"/>
              </w:rPr>
              <w:t>to</w:t>
            </w:r>
            <w:r w:rsidRPr="003348A6">
              <w:rPr>
                <w:rFonts w:eastAsia="MS Mincho" w:cs="Times New Roman"/>
                <w:b/>
                <w:noProof/>
                <w:szCs w:val="32"/>
              </w:rPr>
              <w:t xml:space="preserve">rs involved </w:t>
            </w:r>
          </w:p>
          <w:p w:rsidR="000666A9" w:rsidRPr="00D103DA" w:rsidRDefault="000666A9" w:rsidP="000E651B">
            <w:pPr>
              <w:rPr>
                <w:rFonts w:eastAsia="MS Mincho" w:cs="Times New Roman"/>
                <w:b/>
                <w:noProof/>
                <w:szCs w:val="32"/>
                <w:lang w:val="fr-FR"/>
              </w:rPr>
            </w:pPr>
            <w:r>
              <w:rPr>
                <w:rFonts w:eastAsia="MS Mincho" w:cs="Times New Roman"/>
                <w:b/>
                <w:noProof/>
                <w:szCs w:val="32"/>
                <w:lang w:val="fr-FR"/>
              </w:rPr>
              <w:t>(OPTIONAL)</w:t>
            </w:r>
          </w:p>
        </w:tc>
        <w:tc>
          <w:tcPr>
            <w:tcW w:w="7483" w:type="dxa"/>
            <w:tcBorders>
              <w:bottom w:val="single" w:sz="4" w:space="0" w:color="auto"/>
            </w:tcBorders>
          </w:tcPr>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tc>
      </w:tr>
      <w:tr w:rsidR="000666A9" w:rsidTr="0081511D">
        <w:trPr>
          <w:gridAfter w:val="1"/>
          <w:wAfter w:w="30" w:type="dxa"/>
        </w:trPr>
        <w:tc>
          <w:tcPr>
            <w:tcW w:w="2093" w:type="dxa"/>
            <w:tcBorders>
              <w:left w:val="nil"/>
              <w:right w:val="nil"/>
            </w:tcBorders>
            <w:shd w:val="clear" w:color="auto" w:fill="FFFFFF" w:themeFill="background1"/>
          </w:tcPr>
          <w:p w:rsidR="000666A9" w:rsidRDefault="000666A9" w:rsidP="000E651B">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0666A9" w:rsidRDefault="000666A9" w:rsidP="006542ED">
            <w:pPr>
              <w:rPr>
                <w:rFonts w:eastAsia="MS Mincho" w:cs="Times New Roman"/>
                <w:noProof/>
                <w:szCs w:val="32"/>
                <w:lang w:val="fr-FR"/>
              </w:rPr>
            </w:pPr>
          </w:p>
        </w:tc>
      </w:tr>
      <w:tr w:rsidR="000666A9" w:rsidTr="0081511D">
        <w:trPr>
          <w:gridAfter w:val="1"/>
          <w:wAfter w:w="30" w:type="dxa"/>
        </w:trPr>
        <w:tc>
          <w:tcPr>
            <w:tcW w:w="2093" w:type="dxa"/>
            <w:shd w:val="clear" w:color="auto" w:fill="BFBFBF" w:themeFill="background1" w:themeFillShade="BF"/>
          </w:tcPr>
          <w:p w:rsidR="000666A9" w:rsidRDefault="000666A9" w:rsidP="000E651B">
            <w:pPr>
              <w:rPr>
                <w:rFonts w:eastAsia="MS Mincho" w:cs="Times New Roman"/>
                <w:b/>
                <w:noProof/>
                <w:szCs w:val="32"/>
                <w:lang w:val="fr-FR"/>
              </w:rPr>
            </w:pPr>
            <w:r>
              <w:rPr>
                <w:rFonts w:eastAsia="MS Mincho" w:cs="Times New Roman"/>
                <w:b/>
                <w:noProof/>
                <w:szCs w:val="32"/>
                <w:lang w:val="fr-FR"/>
              </w:rPr>
              <w:t>Workflows</w:t>
            </w:r>
          </w:p>
          <w:p w:rsidR="000666A9" w:rsidRDefault="000666A9" w:rsidP="000E651B">
            <w:pPr>
              <w:rPr>
                <w:rFonts w:eastAsia="MS Mincho" w:cs="Times New Roman"/>
                <w:b/>
                <w:noProof/>
                <w:szCs w:val="32"/>
                <w:lang w:val="fr-FR"/>
              </w:rPr>
            </w:pPr>
            <w:r>
              <w:rPr>
                <w:rFonts w:eastAsia="MS Mincho" w:cs="Times New Roman"/>
                <w:b/>
                <w:noProof/>
                <w:szCs w:val="32"/>
                <w:lang w:val="fr-FR"/>
              </w:rPr>
              <w:t>(OPTIONAL)</w:t>
            </w:r>
          </w:p>
        </w:tc>
        <w:tc>
          <w:tcPr>
            <w:tcW w:w="7483" w:type="dxa"/>
            <w:tcBorders>
              <w:bottom w:val="single" w:sz="4" w:space="0" w:color="auto"/>
            </w:tcBorders>
          </w:tcPr>
          <w:p w:rsidR="000666A9" w:rsidRDefault="000666A9" w:rsidP="006542ED">
            <w:pPr>
              <w:rPr>
                <w:rFonts w:eastAsia="MS Mincho" w:cs="Times New Roman"/>
                <w:noProof/>
                <w:szCs w:val="32"/>
                <w:lang w:val="fr-FR"/>
              </w:rPr>
            </w:pPr>
          </w:p>
          <w:p w:rsidR="000666A9" w:rsidRDefault="000666A9"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BA6B0A" w:rsidRDefault="00BA6B0A"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140482" w:rsidRPr="004F6025" w:rsidRDefault="000666A9" w:rsidP="00140482">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implementation</w:t>
      </w:r>
    </w:p>
    <w:p w:rsidR="00140482" w:rsidRDefault="00140482" w:rsidP="00140482">
      <w:pPr>
        <w:spacing w:after="0" w:line="240" w:lineRule="auto"/>
        <w:rPr>
          <w:rFonts w:eastAsia="MS Mincho" w:cs="Times New Roman"/>
          <w:noProof/>
          <w:szCs w:val="32"/>
          <w:lang w:val="fr-FR"/>
        </w:rPr>
      </w:pPr>
    </w:p>
    <w:tbl>
      <w:tblPr>
        <w:tblStyle w:val="Grilledutableau"/>
        <w:tblW w:w="9616" w:type="dxa"/>
        <w:tblLook w:val="04A0" w:firstRow="1" w:lastRow="0" w:firstColumn="1" w:lastColumn="0" w:noHBand="0" w:noVBand="1"/>
      </w:tblPr>
      <w:tblGrid>
        <w:gridCol w:w="2302"/>
        <w:gridCol w:w="2166"/>
        <w:gridCol w:w="272"/>
        <w:gridCol w:w="1599"/>
        <w:gridCol w:w="839"/>
        <w:gridCol w:w="842"/>
        <w:gridCol w:w="1556"/>
        <w:gridCol w:w="40"/>
      </w:tblGrid>
      <w:tr w:rsidR="000666A9" w:rsidRPr="000666A9" w:rsidTr="000E651B">
        <w:trPr>
          <w:trHeight w:val="338"/>
        </w:trPr>
        <w:tc>
          <w:tcPr>
            <w:tcW w:w="2302" w:type="dxa"/>
            <w:vMerge w:val="restart"/>
            <w:shd w:val="clear" w:color="auto" w:fill="BFBFBF" w:themeFill="background1" w:themeFillShade="BF"/>
          </w:tcPr>
          <w:p w:rsidR="000666A9" w:rsidRPr="00D103DA" w:rsidRDefault="000666A9" w:rsidP="000E651B">
            <w:pPr>
              <w:rPr>
                <w:rFonts w:eastAsia="MS Mincho" w:cs="Times New Roman"/>
                <w:b/>
                <w:noProof/>
                <w:szCs w:val="32"/>
                <w:lang w:val="fr-FR"/>
              </w:rPr>
            </w:pPr>
            <w:r>
              <w:rPr>
                <w:rFonts w:eastAsia="MS Mincho" w:cs="Times New Roman"/>
                <w:b/>
                <w:noProof/>
                <w:szCs w:val="32"/>
                <w:lang w:val="fr-FR"/>
              </w:rPr>
              <w:t>Implementation timeline</w:t>
            </w:r>
          </w:p>
        </w:tc>
        <w:tc>
          <w:tcPr>
            <w:tcW w:w="2438" w:type="dxa"/>
            <w:gridSpan w:val="2"/>
          </w:tcPr>
          <w:p w:rsidR="000666A9" w:rsidRPr="003348A6" w:rsidRDefault="000666A9" w:rsidP="000E651B">
            <w:pPr>
              <w:jc w:val="center"/>
              <w:rPr>
                <w:rFonts w:eastAsia="MS Mincho" w:cs="Times New Roman"/>
                <w:b/>
                <w:noProof/>
                <w:szCs w:val="32"/>
              </w:rPr>
            </w:pPr>
            <w:r w:rsidRPr="003348A6">
              <w:rPr>
                <w:rFonts w:eastAsia="MS Mincho" w:cs="Times New Roman"/>
                <w:b/>
                <w:noProof/>
                <w:szCs w:val="32"/>
              </w:rPr>
              <w:t xml:space="preserve">Before the migration </w:t>
            </w:r>
            <w:r>
              <w:rPr>
                <w:rFonts w:eastAsia="MS Mincho" w:cs="Times New Roman"/>
                <w:b/>
                <w:noProof/>
                <w:szCs w:val="32"/>
              </w:rPr>
              <w:t xml:space="preserve">to </w:t>
            </w:r>
            <w:r w:rsidRPr="003348A6">
              <w:rPr>
                <w:rFonts w:eastAsia="MS Mincho" w:cs="Times New Roman"/>
                <w:b/>
                <w:noProof/>
                <w:szCs w:val="32"/>
              </w:rPr>
              <w:t>T2S</w:t>
            </w:r>
          </w:p>
        </w:tc>
        <w:tc>
          <w:tcPr>
            <w:tcW w:w="2438" w:type="dxa"/>
            <w:gridSpan w:val="2"/>
          </w:tcPr>
          <w:p w:rsidR="000666A9" w:rsidRPr="003348A6" w:rsidRDefault="000666A9" w:rsidP="000E651B">
            <w:pPr>
              <w:jc w:val="center"/>
              <w:rPr>
                <w:rFonts w:eastAsia="MS Mincho" w:cs="Times New Roman"/>
                <w:b/>
                <w:noProof/>
                <w:szCs w:val="32"/>
              </w:rPr>
            </w:pPr>
            <w:r w:rsidRPr="003348A6">
              <w:rPr>
                <w:rFonts w:eastAsia="MS Mincho" w:cs="Times New Roman"/>
                <w:b/>
                <w:noProof/>
                <w:szCs w:val="32"/>
              </w:rPr>
              <w:t>Upon go live on T2S</w:t>
            </w:r>
          </w:p>
        </w:tc>
        <w:tc>
          <w:tcPr>
            <w:tcW w:w="2438" w:type="dxa"/>
            <w:gridSpan w:val="3"/>
          </w:tcPr>
          <w:p w:rsidR="000666A9" w:rsidRPr="003348A6" w:rsidRDefault="000666A9" w:rsidP="000E651B">
            <w:pPr>
              <w:jc w:val="center"/>
              <w:rPr>
                <w:rFonts w:eastAsia="MS Mincho" w:cs="Times New Roman"/>
                <w:b/>
                <w:noProof/>
                <w:szCs w:val="32"/>
              </w:rPr>
            </w:pPr>
            <w:r w:rsidRPr="003348A6">
              <w:rPr>
                <w:rFonts w:eastAsia="MS Mincho" w:cs="Times New Roman"/>
                <w:b/>
                <w:noProof/>
                <w:szCs w:val="32"/>
              </w:rPr>
              <w:t xml:space="preserve">After the migration </w:t>
            </w:r>
            <w:r>
              <w:rPr>
                <w:rFonts w:eastAsia="MS Mincho" w:cs="Times New Roman"/>
                <w:b/>
                <w:noProof/>
                <w:szCs w:val="32"/>
              </w:rPr>
              <w:t xml:space="preserve">to </w:t>
            </w:r>
            <w:r w:rsidRPr="003348A6">
              <w:rPr>
                <w:rFonts w:eastAsia="MS Mincho" w:cs="Times New Roman"/>
                <w:b/>
                <w:noProof/>
                <w:szCs w:val="32"/>
              </w:rPr>
              <w:t>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Pr="000666A9" w:rsidRDefault="00140482" w:rsidP="000E651B">
            <w:pPr>
              <w:rPr>
                <w:rFonts w:eastAsia="MS Mincho" w:cs="Times New Roman"/>
                <w:b/>
                <w:noProof/>
                <w:szCs w:val="32"/>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922B9C"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Pr="000666A9" w:rsidRDefault="000666A9" w:rsidP="000E651B">
            <w:pPr>
              <w:rPr>
                <w:rFonts w:eastAsia="MS Mincho" w:cs="Times New Roman"/>
                <w:b/>
                <w:noProof/>
                <w:szCs w:val="32"/>
              </w:rPr>
            </w:pPr>
            <w:r w:rsidRPr="000D33A6">
              <w:rPr>
                <w:rFonts w:eastAsia="MS Mincho" w:cs="Times New Roman"/>
                <w:b/>
                <w:noProof/>
                <w:szCs w:val="32"/>
              </w:rPr>
              <w:t>Requirement for a specific test set</w:t>
            </w:r>
          </w:p>
        </w:tc>
        <w:tc>
          <w:tcPr>
            <w:tcW w:w="4037" w:type="dxa"/>
            <w:gridSpan w:val="3"/>
            <w:tcBorders>
              <w:bottom w:val="single" w:sz="4" w:space="0" w:color="auto"/>
            </w:tcBorders>
          </w:tcPr>
          <w:p w:rsidR="00140482" w:rsidRPr="00922B9C" w:rsidRDefault="000666A9" w:rsidP="00922B9C">
            <w:pPr>
              <w:autoSpaceDE w:val="0"/>
              <w:autoSpaceDN w:val="0"/>
              <w:adjustRightInd w:val="0"/>
              <w:jc w:val="center"/>
              <w:rPr>
                <w:rFonts w:ascii="MS Shell Dlg 2" w:hAnsi="MS Shell Dlg 2" w:cs="MS Shell Dlg 2"/>
                <w:sz w:val="16"/>
                <w:szCs w:val="16"/>
                <w:lang w:val="fr-FR"/>
              </w:rPr>
            </w:pPr>
            <w:proofErr w:type="spellStart"/>
            <w:r>
              <w:rPr>
                <w:lang w:val="fr-FR"/>
              </w:rPr>
              <w:t>Yes</w:t>
            </w:r>
            <w:proofErr w:type="spellEnd"/>
            <w:r w:rsidR="00140482">
              <w:rPr>
                <w:lang w:val="fr-FR"/>
              </w:rPr>
              <w:t xml:space="preserve">  </w:t>
            </w:r>
            <w:r w:rsidR="00922B9C">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0666A9" w:rsidP="000E651B">
            <w:pPr>
              <w:tabs>
                <w:tab w:val="left" w:pos="9356"/>
              </w:tabs>
              <w:ind w:right="-279"/>
              <w:jc w:val="center"/>
              <w:rPr>
                <w:lang w:val="fr-FR"/>
              </w:rPr>
            </w:pPr>
            <w:r>
              <w:rPr>
                <w:lang w:val="fr-FR"/>
              </w:rPr>
              <w:t>No</w:t>
            </w:r>
            <w:r w:rsidR="00140482">
              <w:rPr>
                <w:lang w:val="fr-FR"/>
              </w:rPr>
              <w:t xml:space="preserve">  </w:t>
            </w:r>
            <w:r w:rsidR="00140482">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even" r:id="rId7"/>
      <w:headerReference w:type="default" r:id="rId8"/>
      <w:footerReference w:type="even" r:id="rId9"/>
      <w:footerReference w:type="default" r:id="rId10"/>
      <w:headerReference w:type="first" r:id="rId11"/>
      <w:footerReference w:type="first" r:id="rId12"/>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21D" w:rsidRDefault="0007021D" w:rsidP="006D6846">
      <w:pPr>
        <w:spacing w:after="0" w:line="240" w:lineRule="auto"/>
      </w:pPr>
      <w:r>
        <w:separator/>
      </w:r>
    </w:p>
  </w:endnote>
  <w:endnote w:type="continuationSeparator" w:id="0">
    <w:p w:rsidR="0007021D" w:rsidRDefault="0007021D"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38" w:rsidRDefault="0080093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640605"/>
      <w:docPartObj>
        <w:docPartGallery w:val="Page Numbers (Bottom of Page)"/>
        <w:docPartUnique/>
      </w:docPartObj>
    </w:sdtPr>
    <w:sdtEndPr/>
    <w:sdtContent>
      <w:sdt>
        <w:sdtPr>
          <w:id w:val="-1769616900"/>
          <w:docPartObj>
            <w:docPartGallery w:val="Page Numbers (Top of Page)"/>
            <w:docPartUnique/>
          </w:docPartObj>
        </w:sdtPr>
        <w:sdtEndPr/>
        <w:sdtContent>
          <w:p w:rsidR="00EE3961" w:rsidRDefault="00EE3961">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266078">
              <w:rPr>
                <w:b/>
                <w:bCs/>
                <w:noProof/>
              </w:rPr>
              <w:t>4</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266078">
              <w:rPr>
                <w:b/>
                <w:bCs/>
                <w:noProof/>
              </w:rPr>
              <w:t>4</w:t>
            </w:r>
            <w:r>
              <w:rPr>
                <w:b/>
                <w:bCs/>
                <w:sz w:val="24"/>
                <w:szCs w:val="24"/>
              </w:rPr>
              <w:fldChar w:fldCharType="end"/>
            </w:r>
          </w:p>
        </w:sdtContent>
      </w:sdt>
    </w:sdtContent>
  </w:sdt>
  <w:p w:rsidR="00EC776F" w:rsidRDefault="00EC776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38" w:rsidRDefault="0080093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21D" w:rsidRDefault="0007021D" w:rsidP="006D6846">
      <w:pPr>
        <w:spacing w:after="0" w:line="240" w:lineRule="auto"/>
      </w:pPr>
      <w:r>
        <w:separator/>
      </w:r>
    </w:p>
  </w:footnote>
  <w:footnote w:type="continuationSeparator" w:id="0">
    <w:p w:rsidR="0007021D" w:rsidRDefault="0007021D"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38" w:rsidRDefault="0080093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2999"/>
      <w:gridCol w:w="2431"/>
    </w:tblGrid>
    <w:tr w:rsidR="00800938" w:rsidTr="00800938">
      <w:tc>
        <w:tcPr>
          <w:tcW w:w="4070" w:type="dxa"/>
          <w:vAlign w:val="center"/>
        </w:tcPr>
        <w:p w:rsidR="00800938" w:rsidRPr="005B1C9D" w:rsidRDefault="00800938" w:rsidP="000666A9">
          <w:pPr>
            <w:pStyle w:val="En-tte"/>
            <w:jc w:val="center"/>
            <w:rPr>
              <w:b/>
            </w:rPr>
          </w:pPr>
          <w:r w:rsidRPr="005B1C9D">
            <w:rPr>
              <w:b/>
            </w:rPr>
            <w:t>T2S Market Practice Adaptation Workgroup</w:t>
          </w:r>
        </w:p>
        <w:p w:rsidR="00800938" w:rsidRPr="000666A9" w:rsidRDefault="00800938" w:rsidP="000666A9">
          <w:pPr>
            <w:pStyle w:val="En-tte"/>
            <w:jc w:val="center"/>
            <w:rPr>
              <w:b/>
            </w:rPr>
          </w:pPr>
          <w:r w:rsidRPr="005B1C9D">
            <w:rPr>
              <w:b/>
            </w:rPr>
            <w:t xml:space="preserve">Market Practice </w:t>
          </w:r>
          <w:r>
            <w:rPr>
              <w:b/>
            </w:rPr>
            <w:t>Sheet</w:t>
          </w:r>
        </w:p>
      </w:tc>
      <w:tc>
        <w:tcPr>
          <w:tcW w:w="3059" w:type="dxa"/>
          <w:vAlign w:val="center"/>
        </w:tcPr>
        <w:p w:rsidR="00800938" w:rsidRDefault="00800938" w:rsidP="00EC776F">
          <w:pPr>
            <w:pStyle w:val="En-tte"/>
            <w:jc w:val="center"/>
            <w:rPr>
              <w:b/>
              <w:lang w:val="fr-FR"/>
            </w:rPr>
          </w:pPr>
          <w:r>
            <w:rPr>
              <w:noProof/>
              <w:lang w:val="fr-FR" w:eastAsia="fr-FR"/>
            </w:rPr>
            <w:drawing>
              <wp:inline distT="0" distB="0" distL="0" distR="0" wp14:anchorId="086A1A58" wp14:editId="6981651A">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c>
        <w:tcPr>
          <w:tcW w:w="2447" w:type="dxa"/>
        </w:tcPr>
        <w:p w:rsidR="00800938" w:rsidRDefault="00800938" w:rsidP="00EC776F">
          <w:pPr>
            <w:pStyle w:val="En-tte"/>
            <w:jc w:val="center"/>
            <w:rPr>
              <w:noProof/>
              <w:lang w:val="fr-FR" w:eastAsia="fr-FR"/>
            </w:rPr>
          </w:pPr>
          <w:r>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pt;height:53.9pt" o:ole="">
                <v:imagedata r:id="rId2" o:title=""/>
              </v:shape>
              <o:OLEObject Type="Embed" ProgID="PBrush" ShapeID="_x0000_i1025" DrawAspect="Content" ObjectID="_1524914689" r:id="rId3"/>
            </w:object>
          </w:r>
        </w:p>
      </w:tc>
    </w:tr>
    <w:tr w:rsidR="00800938" w:rsidRPr="00694503" w:rsidTr="00800938">
      <w:tc>
        <w:tcPr>
          <w:tcW w:w="4070" w:type="dxa"/>
          <w:vAlign w:val="center"/>
        </w:tcPr>
        <w:p w:rsidR="00800938" w:rsidRPr="000666A9" w:rsidRDefault="00800938" w:rsidP="0081511D">
          <w:pPr>
            <w:pStyle w:val="En-tte"/>
            <w:rPr>
              <w:i/>
            </w:rPr>
          </w:pPr>
          <w:r>
            <w:rPr>
              <w:i/>
            </w:rPr>
            <w:t>Practice</w:t>
          </w:r>
          <w:r w:rsidRPr="0033411F">
            <w:rPr>
              <w:i/>
            </w:rPr>
            <w:t xml:space="preserve"> reference</w:t>
          </w:r>
          <w:r w:rsidRPr="000666A9">
            <w:rPr>
              <w:i/>
            </w:rPr>
            <w:t>: MS-MATCH-CRITE-01</w:t>
          </w:r>
        </w:p>
      </w:tc>
      <w:tc>
        <w:tcPr>
          <w:tcW w:w="3059" w:type="dxa"/>
          <w:vAlign w:val="center"/>
        </w:tcPr>
        <w:p w:rsidR="00800938" w:rsidRPr="000666A9" w:rsidRDefault="00800938" w:rsidP="00EC776F">
          <w:pPr>
            <w:pStyle w:val="En-tte"/>
            <w:jc w:val="center"/>
            <w:rPr>
              <w:noProof/>
            </w:rPr>
          </w:pPr>
        </w:p>
      </w:tc>
      <w:tc>
        <w:tcPr>
          <w:tcW w:w="2447" w:type="dxa"/>
        </w:tcPr>
        <w:p w:rsidR="00800938" w:rsidRPr="000666A9" w:rsidRDefault="00800938" w:rsidP="00EC776F">
          <w:pPr>
            <w:pStyle w:val="En-tte"/>
            <w:jc w:val="center"/>
            <w:rPr>
              <w:noProof/>
            </w:rPr>
          </w:pPr>
        </w:p>
      </w:tc>
    </w:tr>
  </w:tbl>
  <w:p w:rsidR="00EC776F" w:rsidRPr="000666A9" w:rsidRDefault="00EC776F">
    <w:pPr>
      <w:pStyle w:val="En-tte"/>
      <w:rPr>
        <w:b/>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938" w:rsidRDefault="0080093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15:restartNumberingAfterBreak="0">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B8456E"/>
    <w:multiLevelType w:val="hybridMultilevel"/>
    <w:tmpl w:val="842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8479E7"/>
    <w:multiLevelType w:val="hybridMultilevel"/>
    <w:tmpl w:val="74DA37E8"/>
    <w:lvl w:ilvl="0" w:tplc="4E5EC7B6">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1"/>
  </w:num>
  <w:num w:numId="6">
    <w:abstractNumId w:val="0"/>
  </w:num>
  <w:num w:numId="7">
    <w:abstractNumId w:val="2"/>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trackRevisions/>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6"/>
    <w:rsid w:val="00020084"/>
    <w:rsid w:val="000339EA"/>
    <w:rsid w:val="000666A9"/>
    <w:rsid w:val="0007021D"/>
    <w:rsid w:val="000706A3"/>
    <w:rsid w:val="000A6C94"/>
    <w:rsid w:val="000C1C9B"/>
    <w:rsid w:val="000D6F4D"/>
    <w:rsid w:val="000F3C24"/>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66078"/>
    <w:rsid w:val="00283DDE"/>
    <w:rsid w:val="0028538B"/>
    <w:rsid w:val="002B54E8"/>
    <w:rsid w:val="00343829"/>
    <w:rsid w:val="00343B9E"/>
    <w:rsid w:val="0035448C"/>
    <w:rsid w:val="003631EA"/>
    <w:rsid w:val="00363E89"/>
    <w:rsid w:val="003929BA"/>
    <w:rsid w:val="003A4E76"/>
    <w:rsid w:val="003B3DA4"/>
    <w:rsid w:val="003D5E9F"/>
    <w:rsid w:val="003D7060"/>
    <w:rsid w:val="00464015"/>
    <w:rsid w:val="004818D8"/>
    <w:rsid w:val="00482296"/>
    <w:rsid w:val="00483E9C"/>
    <w:rsid w:val="004F6025"/>
    <w:rsid w:val="005061BA"/>
    <w:rsid w:val="0051485E"/>
    <w:rsid w:val="00541F12"/>
    <w:rsid w:val="00567B1D"/>
    <w:rsid w:val="00575F36"/>
    <w:rsid w:val="005C2ACA"/>
    <w:rsid w:val="00622E8A"/>
    <w:rsid w:val="00625541"/>
    <w:rsid w:val="00652C13"/>
    <w:rsid w:val="00694503"/>
    <w:rsid w:val="0069580E"/>
    <w:rsid w:val="006D4586"/>
    <w:rsid w:val="006D6846"/>
    <w:rsid w:val="00701AE2"/>
    <w:rsid w:val="00714CE6"/>
    <w:rsid w:val="00727BF7"/>
    <w:rsid w:val="0074709E"/>
    <w:rsid w:val="00765664"/>
    <w:rsid w:val="007B7B10"/>
    <w:rsid w:val="007C7303"/>
    <w:rsid w:val="007F6CFC"/>
    <w:rsid w:val="00800938"/>
    <w:rsid w:val="0080446B"/>
    <w:rsid w:val="0081511D"/>
    <w:rsid w:val="00830B7B"/>
    <w:rsid w:val="00841E84"/>
    <w:rsid w:val="00867C04"/>
    <w:rsid w:val="00876DC2"/>
    <w:rsid w:val="008800A4"/>
    <w:rsid w:val="00893912"/>
    <w:rsid w:val="008A30A6"/>
    <w:rsid w:val="008C734C"/>
    <w:rsid w:val="0091257E"/>
    <w:rsid w:val="0092276F"/>
    <w:rsid w:val="00922A8E"/>
    <w:rsid w:val="00922B9C"/>
    <w:rsid w:val="00933237"/>
    <w:rsid w:val="009515B1"/>
    <w:rsid w:val="009606C4"/>
    <w:rsid w:val="00962087"/>
    <w:rsid w:val="00982218"/>
    <w:rsid w:val="00995F65"/>
    <w:rsid w:val="009978DE"/>
    <w:rsid w:val="009A24A6"/>
    <w:rsid w:val="009A2F1A"/>
    <w:rsid w:val="009A64D1"/>
    <w:rsid w:val="00A05458"/>
    <w:rsid w:val="00A133A7"/>
    <w:rsid w:val="00A20577"/>
    <w:rsid w:val="00A21489"/>
    <w:rsid w:val="00A40ED4"/>
    <w:rsid w:val="00A45A45"/>
    <w:rsid w:val="00A678C0"/>
    <w:rsid w:val="00A746A0"/>
    <w:rsid w:val="00A872CE"/>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3F1C"/>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B44AB"/>
    <w:rsid w:val="00EC776F"/>
    <w:rsid w:val="00EE3961"/>
    <w:rsid w:val="00F00BF4"/>
    <w:rsid w:val="00F358FF"/>
    <w:rsid w:val="00F35CCA"/>
    <w:rsid w:val="00F84B2D"/>
    <w:rsid w:val="00F904C9"/>
    <w:rsid w:val="00FC06B7"/>
    <w:rsid w:val="00FC4D23"/>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C2689E61-65F3-4C6C-A73C-04BE3CC4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6846"/>
    <w:pPr>
      <w:tabs>
        <w:tab w:val="center" w:pos="4680"/>
        <w:tab w:val="right" w:pos="9360"/>
      </w:tabs>
      <w:spacing w:after="0" w:line="240" w:lineRule="auto"/>
    </w:pPr>
  </w:style>
  <w:style w:type="character" w:customStyle="1" w:styleId="En-tteCar">
    <w:name w:val="En-tête Car"/>
    <w:basedOn w:val="Policepardfaut"/>
    <w:link w:val="En-tte"/>
    <w:uiPriority w:val="99"/>
    <w:rsid w:val="006D6846"/>
  </w:style>
  <w:style w:type="paragraph" w:styleId="Pieddepage">
    <w:name w:val="footer"/>
    <w:basedOn w:val="Normal"/>
    <w:link w:val="PieddepageCar"/>
    <w:uiPriority w:val="99"/>
    <w:unhideWhenUsed/>
    <w:rsid w:val="006D684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D6846"/>
  </w:style>
  <w:style w:type="paragraph" w:styleId="Textedebulles">
    <w:name w:val="Balloon Text"/>
    <w:basedOn w:val="Normal"/>
    <w:link w:val="TextedebullesCar"/>
    <w:uiPriority w:val="99"/>
    <w:semiHidden/>
    <w:unhideWhenUsed/>
    <w:rsid w:val="006D68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46"/>
    <w:rPr>
      <w:rFonts w:ascii="Tahoma" w:hAnsi="Tahoma" w:cs="Tahoma"/>
      <w:sz w:val="16"/>
      <w:szCs w:val="16"/>
    </w:rPr>
  </w:style>
  <w:style w:type="paragraph" w:styleId="TM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Paragraphedeliste">
    <w:name w:val="List Paragraph"/>
    <w:basedOn w:val="Normal"/>
    <w:uiPriority w:val="34"/>
    <w:qFormat/>
    <w:rsid w:val="00B26098"/>
    <w:pPr>
      <w:ind w:left="720"/>
      <w:contextualSpacing/>
    </w:pPr>
  </w:style>
  <w:style w:type="table" w:styleId="Grilledutableau">
    <w:name w:val="Table Grid"/>
    <w:basedOn w:val="Tableau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391379C3</Template>
  <TotalTime>0</TotalTime>
  <Pages>4</Pages>
  <Words>1152</Words>
  <Characters>6342</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de Sousa, Maria</cp:lastModifiedBy>
  <cp:revision>2</cp:revision>
  <cp:lastPrinted>2015-10-09T10:36:00Z</cp:lastPrinted>
  <dcterms:created xsi:type="dcterms:W3CDTF">2016-05-16T12:38:00Z</dcterms:created>
  <dcterms:modified xsi:type="dcterms:W3CDTF">2016-05-16T12:38:00Z</dcterms:modified>
</cp:coreProperties>
</file>