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xls" ContentType="application/vnd.ms-exce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65664" w:rsidRDefault="00765664" w:rsidP="006D6846">
      <w:pPr>
        <w:tabs>
          <w:tab w:val="left" w:pos="9356"/>
        </w:tabs>
        <w:ind w:right="-279"/>
        <w:jc w:val="center"/>
        <w:rPr>
          <w:sz w:val="36"/>
          <w:lang w:val="fr-FR"/>
        </w:rPr>
      </w:pPr>
    </w:p>
    <w:p w:rsidR="00575F36" w:rsidRPr="00B3406E" w:rsidRDefault="003B6A67" w:rsidP="00AA1FDB">
      <w:pPr>
        <w:pBdr>
          <w:top w:val="single" w:sz="4" w:space="0" w:color="auto"/>
          <w:left w:val="single" w:sz="4" w:space="4" w:color="auto"/>
          <w:bottom w:val="single" w:sz="4" w:space="1" w:color="auto"/>
          <w:right w:val="single" w:sz="4" w:space="4" w:color="auto"/>
        </w:pBdr>
        <w:shd w:val="pct12" w:color="000000" w:fill="FFFFFF"/>
        <w:jc w:val="center"/>
        <w:rPr>
          <w:b/>
          <w:noProof/>
          <w:sz w:val="36"/>
        </w:rPr>
      </w:pPr>
      <w:r w:rsidRPr="003B6A67">
        <w:rPr>
          <w:b/>
          <w:noProof/>
          <w:sz w:val="36"/>
        </w:rPr>
        <w:t>Impact of T2S on registered shares</w:t>
      </w:r>
    </w:p>
    <w:p w:rsidR="001B1E38" w:rsidRPr="00B3406E" w:rsidRDefault="001B1E38" w:rsidP="006D6846">
      <w:pPr>
        <w:tabs>
          <w:tab w:val="left" w:pos="9356"/>
        </w:tabs>
        <w:ind w:right="-279"/>
      </w:pPr>
    </w:p>
    <w:tbl>
      <w:tblPr>
        <w:tblStyle w:val="TableGrid"/>
        <w:tblW w:w="0" w:type="auto"/>
        <w:tblLook w:val="04A0" w:firstRow="1" w:lastRow="0" w:firstColumn="1" w:lastColumn="0" w:noHBand="0" w:noVBand="1"/>
      </w:tblPr>
      <w:tblGrid>
        <w:gridCol w:w="2093"/>
        <w:gridCol w:w="2551"/>
        <w:gridCol w:w="4932"/>
      </w:tblGrid>
      <w:tr w:rsidR="004F6025" w:rsidTr="0091257E">
        <w:tc>
          <w:tcPr>
            <w:tcW w:w="2093" w:type="dxa"/>
            <w:vMerge w:val="restart"/>
            <w:shd w:val="clear" w:color="auto" w:fill="BFBFBF" w:themeFill="background1" w:themeFillShade="BF"/>
          </w:tcPr>
          <w:p w:rsidR="004F6025" w:rsidRPr="004F6025" w:rsidRDefault="004F6025" w:rsidP="006D6846">
            <w:pPr>
              <w:tabs>
                <w:tab w:val="left" w:pos="9356"/>
              </w:tabs>
              <w:ind w:right="-279"/>
              <w:rPr>
                <w:b/>
                <w:lang w:val="fr-FR"/>
              </w:rPr>
            </w:pPr>
            <w:proofErr w:type="spellStart"/>
            <w:r w:rsidRPr="004F6025">
              <w:rPr>
                <w:b/>
                <w:lang w:val="fr-FR"/>
              </w:rPr>
              <w:t>Versioning</w:t>
            </w:r>
            <w:proofErr w:type="spellEnd"/>
          </w:p>
        </w:tc>
        <w:tc>
          <w:tcPr>
            <w:tcW w:w="2551" w:type="dxa"/>
            <w:shd w:val="clear" w:color="auto" w:fill="F2F2F2" w:themeFill="background1" w:themeFillShade="F2"/>
          </w:tcPr>
          <w:p w:rsidR="004F6025" w:rsidRDefault="004F6025" w:rsidP="006D6846">
            <w:pPr>
              <w:tabs>
                <w:tab w:val="left" w:pos="9356"/>
              </w:tabs>
              <w:ind w:right="-279"/>
              <w:rPr>
                <w:lang w:val="fr-FR"/>
              </w:rPr>
            </w:pPr>
            <w:r>
              <w:rPr>
                <w:lang w:val="fr-FR"/>
              </w:rPr>
              <w:t>Version</w:t>
            </w:r>
          </w:p>
        </w:tc>
        <w:tc>
          <w:tcPr>
            <w:tcW w:w="4932" w:type="dxa"/>
          </w:tcPr>
          <w:p w:rsidR="004F6025" w:rsidRDefault="00776CD9" w:rsidP="00776CD9">
            <w:pPr>
              <w:tabs>
                <w:tab w:val="left" w:pos="9356"/>
              </w:tabs>
              <w:ind w:right="-279"/>
              <w:rPr>
                <w:lang w:val="fr-FR"/>
              </w:rPr>
            </w:pPr>
            <w:r>
              <w:rPr>
                <w:lang w:val="fr-FR"/>
              </w:rPr>
              <w:t>2</w:t>
            </w:r>
            <w:r w:rsidR="00140482">
              <w:rPr>
                <w:lang w:val="fr-FR"/>
              </w:rPr>
              <w:t>.</w:t>
            </w:r>
            <w:r>
              <w:rPr>
                <w:lang w:val="fr-FR"/>
              </w:rPr>
              <w:t>0</w:t>
            </w:r>
          </w:p>
        </w:tc>
      </w:tr>
      <w:tr w:rsidR="00B3406E" w:rsidRPr="00AA1FDB" w:rsidTr="0091257E">
        <w:tc>
          <w:tcPr>
            <w:tcW w:w="2093" w:type="dxa"/>
            <w:vMerge/>
            <w:shd w:val="clear" w:color="auto" w:fill="BFBFBF" w:themeFill="background1" w:themeFillShade="BF"/>
          </w:tcPr>
          <w:p w:rsidR="00B3406E" w:rsidRPr="004F6025" w:rsidRDefault="00B3406E" w:rsidP="006D6846">
            <w:pPr>
              <w:tabs>
                <w:tab w:val="left" w:pos="9356"/>
              </w:tabs>
              <w:ind w:right="-279"/>
              <w:rPr>
                <w:b/>
                <w:lang w:val="fr-FR"/>
              </w:rPr>
            </w:pPr>
          </w:p>
        </w:tc>
        <w:tc>
          <w:tcPr>
            <w:tcW w:w="2551" w:type="dxa"/>
            <w:shd w:val="clear" w:color="auto" w:fill="F2F2F2" w:themeFill="background1" w:themeFillShade="F2"/>
          </w:tcPr>
          <w:p w:rsidR="00B3406E" w:rsidRDefault="00B3406E" w:rsidP="003B6A67">
            <w:pPr>
              <w:tabs>
                <w:tab w:val="left" w:pos="9356"/>
              </w:tabs>
              <w:ind w:right="-279"/>
              <w:rPr>
                <w:lang w:val="fr-FR"/>
              </w:rPr>
            </w:pPr>
            <w:r>
              <w:rPr>
                <w:lang w:val="fr-FR"/>
              </w:rPr>
              <w:t>Publication date</w:t>
            </w:r>
          </w:p>
        </w:tc>
        <w:tc>
          <w:tcPr>
            <w:tcW w:w="4932" w:type="dxa"/>
          </w:tcPr>
          <w:p w:rsidR="00B3406E" w:rsidRDefault="003B6A67" w:rsidP="003B6A67">
            <w:pPr>
              <w:tabs>
                <w:tab w:val="left" w:pos="9356"/>
              </w:tabs>
              <w:ind w:right="-279"/>
              <w:rPr>
                <w:lang w:val="fr-FR"/>
              </w:rPr>
            </w:pPr>
            <w:r>
              <w:rPr>
                <w:lang w:val="fr-FR"/>
              </w:rPr>
              <w:t>August</w:t>
            </w:r>
            <w:r w:rsidR="00B3406E">
              <w:rPr>
                <w:lang w:val="fr-FR"/>
              </w:rPr>
              <w:t xml:space="preserve"> </w:t>
            </w:r>
            <w:r>
              <w:rPr>
                <w:lang w:val="fr-FR"/>
              </w:rPr>
              <w:t>29</w:t>
            </w:r>
            <w:r w:rsidR="00B3406E">
              <w:rPr>
                <w:lang w:val="fr-FR"/>
              </w:rPr>
              <w:t>th, 2016</w:t>
            </w:r>
          </w:p>
        </w:tc>
      </w:tr>
    </w:tbl>
    <w:p w:rsidR="00B26098" w:rsidRDefault="00B26098" w:rsidP="00B26098">
      <w:pPr>
        <w:spacing w:after="0" w:line="240" w:lineRule="auto"/>
        <w:rPr>
          <w:rFonts w:eastAsia="MS Mincho" w:cs="Times New Roman"/>
          <w:noProof/>
          <w:szCs w:val="32"/>
          <w:lang w:val="fr-FR"/>
        </w:rPr>
      </w:pPr>
    </w:p>
    <w:p w:rsidR="00EC776F" w:rsidRDefault="00EC776F" w:rsidP="00B26098">
      <w:pPr>
        <w:spacing w:after="0" w:line="240" w:lineRule="auto"/>
        <w:rPr>
          <w:rFonts w:eastAsia="MS Mincho" w:cs="Times New Roman"/>
          <w:noProof/>
          <w:szCs w:val="32"/>
          <w:lang w:val="fr-FR"/>
        </w:rPr>
      </w:pPr>
    </w:p>
    <w:p w:rsidR="00B3406E" w:rsidRPr="000C4CA6" w:rsidRDefault="00B3406E" w:rsidP="00B3406E">
      <w:pPr>
        <w:pStyle w:val="ListParagraph"/>
        <w:numPr>
          <w:ilvl w:val="0"/>
          <w:numId w:val="1"/>
        </w:numPr>
        <w:spacing w:after="0" w:line="240" w:lineRule="auto"/>
        <w:ind w:left="284" w:hanging="284"/>
        <w:rPr>
          <w:rFonts w:eastAsia="MS Mincho" w:cs="Times New Roman"/>
          <w:b/>
          <w:caps/>
          <w:noProof/>
          <w:sz w:val="32"/>
          <w:szCs w:val="32"/>
        </w:rPr>
      </w:pPr>
      <w:r w:rsidRPr="003348A6">
        <w:rPr>
          <w:rFonts w:eastAsia="MS Mincho" w:cs="Times New Roman"/>
          <w:b/>
          <w:caps/>
          <w:noProof/>
          <w:sz w:val="32"/>
          <w:szCs w:val="32"/>
        </w:rPr>
        <w:t>Description of the existing practice &amp; of the Impacts</w:t>
      </w:r>
    </w:p>
    <w:p w:rsidR="0081511D" w:rsidRPr="00B3406E" w:rsidRDefault="0081511D" w:rsidP="00B26098">
      <w:pPr>
        <w:spacing w:after="0" w:line="240" w:lineRule="auto"/>
        <w:rPr>
          <w:rFonts w:eastAsia="MS Mincho" w:cs="Times New Roman"/>
          <w:noProof/>
          <w:szCs w:val="32"/>
        </w:rPr>
      </w:pPr>
    </w:p>
    <w:tbl>
      <w:tblPr>
        <w:tblStyle w:val="TableGrid"/>
        <w:tblW w:w="9606" w:type="dxa"/>
        <w:tblLayout w:type="fixed"/>
        <w:tblLook w:val="04A0" w:firstRow="1" w:lastRow="0" w:firstColumn="1" w:lastColumn="0" w:noHBand="0" w:noVBand="1"/>
      </w:tblPr>
      <w:tblGrid>
        <w:gridCol w:w="2093"/>
        <w:gridCol w:w="7513"/>
      </w:tblGrid>
      <w:tr w:rsidR="00B3406E" w:rsidRPr="00B3406E" w:rsidTr="0091257E">
        <w:tc>
          <w:tcPr>
            <w:tcW w:w="2093" w:type="dxa"/>
            <w:tcBorders>
              <w:bottom w:val="single" w:sz="4" w:space="0" w:color="auto"/>
            </w:tcBorders>
            <w:shd w:val="clear" w:color="auto" w:fill="BFBFBF" w:themeFill="background1" w:themeFillShade="BF"/>
          </w:tcPr>
          <w:p w:rsidR="00B3406E" w:rsidRPr="000C4CA6" w:rsidRDefault="00B3406E" w:rsidP="003B6A67">
            <w:pPr>
              <w:rPr>
                <w:rFonts w:eastAsia="MS Mincho" w:cs="Times New Roman"/>
                <w:b/>
                <w:noProof/>
                <w:szCs w:val="32"/>
              </w:rPr>
            </w:pPr>
            <w:r w:rsidRPr="005B1C9D">
              <w:rPr>
                <w:rFonts w:eastAsia="MS Mincho" w:cs="Times New Roman"/>
                <w:b/>
                <w:noProof/>
                <w:szCs w:val="32"/>
              </w:rPr>
              <w:t>Description of the existing practice</w:t>
            </w:r>
          </w:p>
        </w:tc>
        <w:tc>
          <w:tcPr>
            <w:tcW w:w="7513" w:type="dxa"/>
            <w:tcBorders>
              <w:bottom w:val="single" w:sz="4" w:space="0" w:color="auto"/>
            </w:tcBorders>
          </w:tcPr>
          <w:p w:rsidR="00B3406E" w:rsidRDefault="00B1562D" w:rsidP="00B1562D">
            <w:pPr>
              <w:spacing w:before="120"/>
              <w:jc w:val="both"/>
              <w:rPr>
                <w:rFonts w:eastAsia="MS Mincho" w:cs="Times New Roman"/>
                <w:noProof/>
                <w:szCs w:val="32"/>
              </w:rPr>
            </w:pPr>
            <w:r>
              <w:rPr>
                <w:rFonts w:eastAsia="MS Mincho" w:cs="Times New Roman"/>
                <w:noProof/>
                <w:szCs w:val="32"/>
              </w:rPr>
              <w:t>Business flows related to registered shares are currently handled via ‘securities free of payment’, or DVP with a 0-amount (‘SLAB at 0’) when participants look to match the instructions.</w:t>
            </w:r>
          </w:p>
          <w:p w:rsidR="00B1562D" w:rsidRPr="00B1562D" w:rsidRDefault="00B1562D" w:rsidP="00CA28B4">
            <w:pPr>
              <w:spacing w:before="120"/>
              <w:jc w:val="both"/>
              <w:rPr>
                <w:rFonts w:eastAsia="MS Mincho" w:cs="Times New Roman"/>
                <w:noProof/>
                <w:szCs w:val="32"/>
              </w:rPr>
            </w:pPr>
            <w:r>
              <w:rPr>
                <w:rFonts w:eastAsia="MS Mincho" w:cs="Times New Roman"/>
                <w:noProof/>
                <w:szCs w:val="32"/>
              </w:rPr>
              <w:t xml:space="preserve">Euroclear France carries out a number of controls pre-settlement, notably on the operation type code (‘Code Type Opération’ or ‘CTO’) to check the </w:t>
            </w:r>
            <w:r w:rsidR="00CA28B4">
              <w:rPr>
                <w:rFonts w:eastAsia="MS Mincho" w:cs="Times New Roman"/>
                <w:noProof/>
                <w:szCs w:val="32"/>
              </w:rPr>
              <w:t xml:space="preserve">compatibility of the </w:t>
            </w:r>
            <w:r>
              <w:rPr>
                <w:rFonts w:eastAsia="MS Mincho" w:cs="Times New Roman"/>
                <w:noProof/>
                <w:szCs w:val="32"/>
              </w:rPr>
              <w:t>account natures in case of movements on registered shares.</w:t>
            </w:r>
          </w:p>
        </w:tc>
      </w:tr>
      <w:tr w:rsidR="00B3406E" w:rsidRPr="00B3406E" w:rsidTr="0091257E">
        <w:tc>
          <w:tcPr>
            <w:tcW w:w="2093" w:type="dxa"/>
            <w:tcBorders>
              <w:left w:val="nil"/>
              <w:right w:val="nil"/>
            </w:tcBorders>
          </w:tcPr>
          <w:p w:rsidR="00B3406E" w:rsidRPr="00B457D4" w:rsidRDefault="00B3406E" w:rsidP="003B6A67">
            <w:pPr>
              <w:rPr>
                <w:rFonts w:eastAsia="MS Mincho" w:cs="Times New Roman"/>
                <w:b/>
                <w:noProof/>
                <w:szCs w:val="32"/>
              </w:rPr>
            </w:pPr>
          </w:p>
        </w:tc>
        <w:tc>
          <w:tcPr>
            <w:tcW w:w="7513" w:type="dxa"/>
            <w:tcBorders>
              <w:left w:val="nil"/>
              <w:right w:val="nil"/>
            </w:tcBorders>
          </w:tcPr>
          <w:p w:rsidR="00B3406E" w:rsidRPr="00B457D4" w:rsidRDefault="00B3406E" w:rsidP="00B26098">
            <w:pPr>
              <w:rPr>
                <w:rFonts w:eastAsia="MS Mincho" w:cs="Times New Roman"/>
                <w:noProof/>
                <w:szCs w:val="32"/>
              </w:rPr>
            </w:pPr>
          </w:p>
        </w:tc>
      </w:tr>
      <w:tr w:rsidR="00B3406E" w:rsidRPr="005852BA" w:rsidTr="0081511D">
        <w:tc>
          <w:tcPr>
            <w:tcW w:w="2093" w:type="dxa"/>
            <w:tcBorders>
              <w:bottom w:val="single" w:sz="4" w:space="0" w:color="auto"/>
            </w:tcBorders>
            <w:shd w:val="clear" w:color="auto" w:fill="BFBFBF" w:themeFill="background1" w:themeFillShade="BF"/>
          </w:tcPr>
          <w:p w:rsidR="00B3406E" w:rsidRPr="00343E9C" w:rsidRDefault="00B3406E" w:rsidP="003B6A67">
            <w:pPr>
              <w:rPr>
                <w:rFonts w:eastAsia="MS Mincho" w:cs="Times New Roman"/>
                <w:b/>
                <w:noProof/>
                <w:szCs w:val="32"/>
              </w:rPr>
            </w:pPr>
            <w:r w:rsidRPr="00343E9C">
              <w:rPr>
                <w:rFonts w:eastAsia="MS Mincho" w:cs="Times New Roman"/>
                <w:b/>
                <w:noProof/>
                <w:szCs w:val="32"/>
              </w:rPr>
              <w:t>Description of the T2S impact</w:t>
            </w:r>
          </w:p>
        </w:tc>
        <w:tc>
          <w:tcPr>
            <w:tcW w:w="7513" w:type="dxa"/>
            <w:tcBorders>
              <w:bottom w:val="single" w:sz="4" w:space="0" w:color="auto"/>
            </w:tcBorders>
          </w:tcPr>
          <w:p w:rsidR="00B3406E" w:rsidRDefault="00B1562D" w:rsidP="00AD57D4">
            <w:pPr>
              <w:spacing w:before="120"/>
              <w:jc w:val="both"/>
              <w:rPr>
                <w:rFonts w:eastAsia="MS Mincho" w:cs="Times New Roman"/>
                <w:noProof/>
                <w:szCs w:val="32"/>
              </w:rPr>
            </w:pPr>
            <w:r>
              <w:rPr>
                <w:rFonts w:eastAsia="MS Mincho" w:cs="Times New Roman"/>
                <w:noProof/>
                <w:szCs w:val="32"/>
              </w:rPr>
              <w:t xml:space="preserve">In T2S, all business flows (FOP, DV/RVP, DWP/RWP) are subject to matching. </w:t>
            </w:r>
            <w:r w:rsidR="00902C5C">
              <w:rPr>
                <w:rFonts w:eastAsia="MS Mincho" w:cs="Times New Roman"/>
                <w:noProof/>
                <w:szCs w:val="32"/>
              </w:rPr>
              <w:t>Business flows on securities held in a registered form can be handled through the service ‘Free of Payment Without Matching’ from Euroclear France (‘already matched’) or by Delivey Versus Payment instructions with a settlement amount at 0.</w:t>
            </w:r>
          </w:p>
          <w:p w:rsidR="00902C5C" w:rsidRPr="00902C5C" w:rsidRDefault="00902C5C" w:rsidP="00AD57D4">
            <w:pPr>
              <w:spacing w:before="120"/>
              <w:jc w:val="both"/>
              <w:rPr>
                <w:rFonts w:eastAsia="MS Mincho" w:cs="Times New Roman"/>
                <w:b/>
                <w:noProof/>
                <w:szCs w:val="32"/>
                <w:u w:val="single"/>
              </w:rPr>
            </w:pPr>
            <w:r>
              <w:rPr>
                <w:rFonts w:eastAsia="MS Mincho" w:cs="Times New Roman"/>
                <w:b/>
                <w:noProof/>
                <w:szCs w:val="32"/>
                <w:u w:val="single"/>
              </w:rPr>
              <w:t>Reminder</w:t>
            </w:r>
          </w:p>
          <w:p w:rsidR="00902C5C" w:rsidRDefault="00902C5C" w:rsidP="00902C5C">
            <w:pPr>
              <w:spacing w:before="120"/>
              <w:jc w:val="both"/>
              <w:rPr>
                <w:rFonts w:eastAsia="MS Mincho" w:cs="Times New Roman"/>
                <w:noProof/>
                <w:szCs w:val="32"/>
              </w:rPr>
            </w:pPr>
            <w:r>
              <w:rPr>
                <w:rFonts w:eastAsia="MS Mincho" w:cs="Times New Roman"/>
                <w:noProof/>
                <w:szCs w:val="32"/>
              </w:rPr>
              <w:t>Euroclear’s service on free of payment without matching will only be available when both counterparties are participants to Euroclear France and have subscribed to the corresponding servic</w:t>
            </w:r>
            <w:r w:rsidR="00535757">
              <w:rPr>
                <w:rFonts w:eastAsia="MS Mincho" w:cs="Times New Roman"/>
                <w:noProof/>
                <w:szCs w:val="32"/>
              </w:rPr>
              <w:t>e. To</w:t>
            </w:r>
            <w:r>
              <w:rPr>
                <w:rFonts w:eastAsia="MS Mincho" w:cs="Times New Roman"/>
                <w:noProof/>
                <w:szCs w:val="32"/>
              </w:rPr>
              <w:t xml:space="preserve"> be noted that during the transition phase until the launch of the Stream 6, se</w:t>
            </w:r>
            <w:r w:rsidR="00535757">
              <w:rPr>
                <w:rFonts w:eastAsia="MS Mincho" w:cs="Times New Roman"/>
                <w:noProof/>
                <w:szCs w:val="32"/>
              </w:rPr>
              <w:t>c</w:t>
            </w:r>
            <w:r>
              <w:rPr>
                <w:rFonts w:eastAsia="MS Mincho" w:cs="Times New Roman"/>
                <w:noProof/>
                <w:szCs w:val="32"/>
              </w:rPr>
              <w:t>on</w:t>
            </w:r>
            <w:r w:rsidR="00535757">
              <w:rPr>
                <w:rFonts w:eastAsia="MS Mincho" w:cs="Times New Roman"/>
                <w:noProof/>
                <w:szCs w:val="32"/>
              </w:rPr>
              <w:t>d</w:t>
            </w:r>
            <w:r>
              <w:rPr>
                <w:rFonts w:eastAsia="MS Mincho" w:cs="Times New Roman"/>
                <w:noProof/>
                <w:szCs w:val="32"/>
              </w:rPr>
              <w:t xml:space="preserve"> phase of the project to harmonize corporate actions across Europe (‘HDD-HDR’), the subscription will be free of charge, thus both counterparties participant to Euroclear France will de facto be granted the service.</w:t>
            </w:r>
          </w:p>
          <w:p w:rsidR="00902C5C" w:rsidRPr="00902C5C" w:rsidRDefault="00902C5C" w:rsidP="00902C5C">
            <w:pPr>
              <w:pStyle w:val="ListParagraph"/>
              <w:numPr>
                <w:ilvl w:val="0"/>
                <w:numId w:val="11"/>
              </w:numPr>
              <w:spacing w:before="120"/>
              <w:ind w:left="317" w:hanging="241"/>
              <w:jc w:val="both"/>
              <w:rPr>
                <w:rFonts w:eastAsia="MS Mincho" w:cs="Times New Roman"/>
                <w:b/>
                <w:noProof/>
                <w:szCs w:val="32"/>
              </w:rPr>
            </w:pPr>
            <w:r w:rsidRPr="00902C5C">
              <w:rPr>
                <w:rFonts w:eastAsia="MS Mincho" w:cs="Times New Roman"/>
                <w:b/>
                <w:noProof/>
                <w:szCs w:val="32"/>
              </w:rPr>
              <w:t>The choice between both types of settlement instructions will depend on the nature of the operation</w:t>
            </w:r>
          </w:p>
          <w:p w:rsidR="00902C5C" w:rsidRDefault="00902C5C" w:rsidP="00902C5C">
            <w:pPr>
              <w:pStyle w:val="ListParagraph"/>
              <w:numPr>
                <w:ilvl w:val="0"/>
                <w:numId w:val="12"/>
              </w:numPr>
              <w:spacing w:before="120"/>
              <w:jc w:val="both"/>
              <w:rPr>
                <w:rFonts w:eastAsia="MS Mincho" w:cs="Times New Roman"/>
                <w:noProof/>
                <w:szCs w:val="32"/>
              </w:rPr>
            </w:pPr>
            <w:r>
              <w:rPr>
                <w:rFonts w:eastAsia="MS Mincho" w:cs="Times New Roman"/>
                <w:noProof/>
                <w:szCs w:val="32"/>
              </w:rPr>
              <w:t>Business flows related to buy/sell operations without cash will be operated through DvP instructions with a 0-amount (NB: cut-off at 4pm CET). These instructions relate to operations with title transfer.</w:t>
            </w:r>
          </w:p>
          <w:p w:rsidR="00902C5C" w:rsidRDefault="00902C5C" w:rsidP="00902C5C">
            <w:pPr>
              <w:pStyle w:val="ListParagraph"/>
              <w:numPr>
                <w:ilvl w:val="0"/>
                <w:numId w:val="12"/>
              </w:numPr>
              <w:spacing w:before="120"/>
              <w:jc w:val="both"/>
              <w:rPr>
                <w:rFonts w:eastAsia="MS Mincho" w:cs="Times New Roman"/>
                <w:noProof/>
                <w:szCs w:val="32"/>
              </w:rPr>
            </w:pPr>
            <w:r>
              <w:rPr>
                <w:rFonts w:eastAsia="MS Mincho" w:cs="Times New Roman"/>
                <w:noProof/>
                <w:szCs w:val="32"/>
              </w:rPr>
              <w:t xml:space="preserve">On the contrary, all other operations currently managed through ‘unilateral’ free of payments without matching will need to be handled through Euroclear’s Free of Payment Without Matching service (‘already </w:t>
            </w:r>
            <w:r>
              <w:rPr>
                <w:rFonts w:eastAsia="MS Mincho" w:cs="Times New Roman"/>
                <w:noProof/>
                <w:szCs w:val="32"/>
              </w:rPr>
              <w:lastRenderedPageBreak/>
              <w:t>matched’), or to be matched (cut-off at 6pm CET), who do not result in a title transfer.</w:t>
            </w:r>
          </w:p>
          <w:p w:rsidR="00902C5C" w:rsidRPr="00902C5C" w:rsidRDefault="00902C5C" w:rsidP="00902C5C">
            <w:pPr>
              <w:jc w:val="both"/>
              <w:rPr>
                <w:rFonts w:eastAsia="MS Mincho" w:cs="Times New Roman"/>
                <w:noProof/>
                <w:szCs w:val="32"/>
              </w:rPr>
            </w:pPr>
          </w:p>
          <w:p w:rsidR="00902C5C" w:rsidRPr="00902C5C" w:rsidRDefault="00902C5C" w:rsidP="00902C5C">
            <w:pPr>
              <w:pStyle w:val="ListParagraph"/>
              <w:numPr>
                <w:ilvl w:val="0"/>
                <w:numId w:val="11"/>
              </w:numPr>
              <w:spacing w:before="120"/>
              <w:ind w:left="317" w:hanging="241"/>
              <w:jc w:val="both"/>
              <w:rPr>
                <w:rFonts w:eastAsia="MS Mincho" w:cs="Times New Roman"/>
                <w:b/>
                <w:noProof/>
                <w:szCs w:val="32"/>
              </w:rPr>
            </w:pPr>
            <w:r>
              <w:rPr>
                <w:rFonts w:eastAsia="MS Mincho" w:cs="Times New Roman"/>
                <w:b/>
                <w:noProof/>
                <w:szCs w:val="32"/>
              </w:rPr>
              <w:t xml:space="preserve">List of CTO </w:t>
            </w:r>
            <w:r w:rsidR="00A333D5">
              <w:rPr>
                <w:rFonts w:eastAsia="MS Mincho" w:cs="Times New Roman"/>
                <w:b/>
                <w:noProof/>
                <w:szCs w:val="32"/>
              </w:rPr>
              <w:t>codes used for the instructions, depending on the type of operation</w:t>
            </w:r>
          </w:p>
          <w:p w:rsidR="00A333D5" w:rsidRPr="001333B1" w:rsidRDefault="00A333D5" w:rsidP="00A333D5">
            <w:pPr>
              <w:pStyle w:val="ListParagraph"/>
              <w:numPr>
                <w:ilvl w:val="0"/>
                <w:numId w:val="12"/>
              </w:numPr>
              <w:spacing w:before="120"/>
              <w:jc w:val="both"/>
              <w:rPr>
                <w:rFonts w:eastAsia="MS Mincho" w:cs="Times New Roman"/>
                <w:b/>
                <w:noProof/>
                <w:szCs w:val="32"/>
              </w:rPr>
            </w:pPr>
            <w:r w:rsidRPr="001333B1">
              <w:rPr>
                <w:rFonts w:eastAsia="MS Mincho" w:cs="Times New Roman"/>
                <w:b/>
                <w:noProof/>
                <w:szCs w:val="32"/>
              </w:rPr>
              <w:t>Free of Payment instructions (already matched or to be matched) can be used for the following CTOs:</w:t>
            </w:r>
          </w:p>
          <w:p w:rsidR="00A333D5" w:rsidRDefault="00A333D5" w:rsidP="00A333D5">
            <w:pPr>
              <w:pStyle w:val="ListParagraph"/>
              <w:numPr>
                <w:ilvl w:val="1"/>
                <w:numId w:val="12"/>
              </w:numPr>
              <w:spacing w:before="120"/>
              <w:jc w:val="both"/>
              <w:rPr>
                <w:rFonts w:eastAsia="MS Mincho" w:cs="Times New Roman"/>
                <w:noProof/>
                <w:szCs w:val="32"/>
              </w:rPr>
            </w:pPr>
            <w:r>
              <w:rPr>
                <w:rFonts w:eastAsia="MS Mincho" w:cs="Times New Roman"/>
                <w:noProof/>
                <w:szCs w:val="32"/>
              </w:rPr>
              <w:t>Portfolio transfers (TO)</w:t>
            </w:r>
          </w:p>
          <w:p w:rsidR="00A333D5" w:rsidRDefault="00A333D5" w:rsidP="00A333D5">
            <w:pPr>
              <w:pStyle w:val="ListParagraph"/>
              <w:numPr>
                <w:ilvl w:val="1"/>
                <w:numId w:val="12"/>
              </w:numPr>
              <w:spacing w:before="120"/>
              <w:jc w:val="both"/>
              <w:rPr>
                <w:rFonts w:eastAsia="MS Mincho" w:cs="Times New Roman"/>
                <w:noProof/>
                <w:szCs w:val="32"/>
              </w:rPr>
            </w:pPr>
            <w:r>
              <w:rPr>
                <w:rFonts w:eastAsia="MS Mincho" w:cs="Times New Roman"/>
                <w:noProof/>
                <w:szCs w:val="32"/>
              </w:rPr>
              <w:t>Transformations with transfers (TM)</w:t>
            </w:r>
          </w:p>
          <w:p w:rsidR="00A333D5" w:rsidRDefault="001333B1" w:rsidP="00A333D5">
            <w:pPr>
              <w:pStyle w:val="ListParagraph"/>
              <w:numPr>
                <w:ilvl w:val="1"/>
                <w:numId w:val="12"/>
              </w:numPr>
              <w:spacing w:before="120"/>
              <w:jc w:val="both"/>
              <w:rPr>
                <w:rFonts w:eastAsia="MS Mincho" w:cs="Times New Roman"/>
                <w:noProof/>
                <w:szCs w:val="32"/>
              </w:rPr>
            </w:pPr>
            <w:r>
              <w:rPr>
                <w:rFonts w:eastAsia="MS Mincho" w:cs="Times New Roman"/>
                <w:noProof/>
                <w:szCs w:val="32"/>
              </w:rPr>
              <w:t>Direct sale (TT)</w:t>
            </w:r>
          </w:p>
          <w:p w:rsidR="001333B1" w:rsidRDefault="001333B1" w:rsidP="00A333D5">
            <w:pPr>
              <w:pStyle w:val="ListParagraph"/>
              <w:numPr>
                <w:ilvl w:val="1"/>
                <w:numId w:val="12"/>
              </w:numPr>
              <w:spacing w:before="120"/>
              <w:jc w:val="both"/>
              <w:rPr>
                <w:rFonts w:eastAsia="MS Mincho" w:cs="Times New Roman"/>
                <w:noProof/>
                <w:szCs w:val="32"/>
              </w:rPr>
            </w:pPr>
            <w:r>
              <w:rPr>
                <w:rFonts w:eastAsia="MS Mincho" w:cs="Times New Roman"/>
                <w:noProof/>
                <w:szCs w:val="32"/>
              </w:rPr>
              <w:t>Regularizations on buy/sell cash transactions outside of the ‘SBI’ system of Euroclear (BO)</w:t>
            </w:r>
          </w:p>
          <w:p w:rsidR="001333B1" w:rsidRDefault="001333B1" w:rsidP="00A333D5">
            <w:pPr>
              <w:pStyle w:val="ListParagraph"/>
              <w:numPr>
                <w:ilvl w:val="1"/>
                <w:numId w:val="12"/>
              </w:numPr>
              <w:spacing w:before="120"/>
              <w:jc w:val="both"/>
              <w:rPr>
                <w:rFonts w:eastAsia="MS Mincho" w:cs="Times New Roman"/>
                <w:noProof/>
                <w:szCs w:val="32"/>
              </w:rPr>
            </w:pPr>
            <w:r>
              <w:rPr>
                <w:rFonts w:eastAsia="MS Mincho" w:cs="Times New Roman"/>
                <w:noProof/>
                <w:szCs w:val="32"/>
              </w:rPr>
              <w:t>Regularizations on buy/sell SRD transactions outside of the ‘SBI’ system of Euroclear (MO)</w:t>
            </w:r>
          </w:p>
          <w:p w:rsidR="001333B1" w:rsidRPr="00A333D5" w:rsidRDefault="001333B1" w:rsidP="00A333D5">
            <w:pPr>
              <w:pStyle w:val="ListParagraph"/>
              <w:numPr>
                <w:ilvl w:val="1"/>
                <w:numId w:val="12"/>
              </w:numPr>
              <w:spacing w:before="120"/>
              <w:jc w:val="both"/>
              <w:rPr>
                <w:rFonts w:eastAsia="MS Mincho" w:cs="Times New Roman"/>
                <w:noProof/>
                <w:szCs w:val="32"/>
              </w:rPr>
            </w:pPr>
            <w:r>
              <w:rPr>
                <w:rFonts w:eastAsia="MS Mincho" w:cs="Times New Roman"/>
                <w:noProof/>
                <w:szCs w:val="32"/>
              </w:rPr>
              <w:t>Buy/sell transactions settled by free of payment without cash (GO). This use case exists but is not used to date; it remains available as a back-up (</w:t>
            </w:r>
            <w:r w:rsidR="00535757">
              <w:rPr>
                <w:rFonts w:eastAsia="MS Mincho" w:cs="Times New Roman"/>
                <w:noProof/>
                <w:szCs w:val="32"/>
              </w:rPr>
              <w:t xml:space="preserve">when </w:t>
            </w:r>
            <w:r>
              <w:rPr>
                <w:rFonts w:eastAsia="MS Mincho" w:cs="Times New Roman"/>
                <w:noProof/>
                <w:szCs w:val="32"/>
              </w:rPr>
              <w:t xml:space="preserve">DVP </w:t>
            </w:r>
            <w:r w:rsidR="00535757">
              <w:rPr>
                <w:rFonts w:eastAsia="MS Mincho" w:cs="Times New Roman"/>
                <w:noProof/>
                <w:szCs w:val="32"/>
              </w:rPr>
              <w:t xml:space="preserve">is </w:t>
            </w:r>
            <w:r>
              <w:rPr>
                <w:rFonts w:eastAsia="MS Mincho" w:cs="Times New Roman"/>
                <w:noProof/>
                <w:szCs w:val="32"/>
              </w:rPr>
              <w:t>not possible).</w:t>
            </w:r>
          </w:p>
          <w:p w:rsidR="00A333D5" w:rsidRDefault="00A333D5" w:rsidP="001333B1">
            <w:pPr>
              <w:pStyle w:val="ListParagraph"/>
              <w:spacing w:before="120"/>
              <w:jc w:val="both"/>
              <w:rPr>
                <w:rFonts w:eastAsia="MS Mincho" w:cs="Times New Roman"/>
                <w:noProof/>
                <w:szCs w:val="32"/>
              </w:rPr>
            </w:pPr>
          </w:p>
          <w:p w:rsidR="001333B1" w:rsidRDefault="001333B1" w:rsidP="001333B1">
            <w:pPr>
              <w:pStyle w:val="ListParagraph"/>
              <w:spacing w:before="120"/>
              <w:jc w:val="both"/>
              <w:rPr>
                <w:rFonts w:eastAsia="MS Mincho" w:cs="Times New Roman"/>
                <w:noProof/>
                <w:szCs w:val="32"/>
              </w:rPr>
            </w:pPr>
            <w:r w:rsidRPr="001333B1">
              <w:rPr>
                <w:rFonts w:eastAsia="MS Mincho" w:cs="Times New Roman"/>
                <w:b/>
                <w:noProof/>
                <w:szCs w:val="32"/>
                <w:u w:val="single"/>
              </w:rPr>
              <w:t>T</w:t>
            </w:r>
            <w:r>
              <w:rPr>
                <w:rFonts w:eastAsia="MS Mincho" w:cs="Times New Roman"/>
                <w:b/>
                <w:noProof/>
                <w:szCs w:val="32"/>
                <w:u w:val="single"/>
              </w:rPr>
              <w:t>o</w:t>
            </w:r>
            <w:r w:rsidRPr="001333B1">
              <w:rPr>
                <w:rFonts w:eastAsia="MS Mincho" w:cs="Times New Roman"/>
                <w:b/>
                <w:noProof/>
                <w:szCs w:val="32"/>
                <w:u w:val="single"/>
              </w:rPr>
              <w:t xml:space="preserve"> be noted</w:t>
            </w:r>
            <w:r>
              <w:rPr>
                <w:rFonts w:eastAsia="MS Mincho" w:cs="Times New Roman"/>
                <w:noProof/>
                <w:szCs w:val="32"/>
              </w:rPr>
              <w:t>: in certain cases, CTO codes are not mandatory when creating the instruction – Ex: CC (conversions) input in the BRN, or distribution of registered shares.</w:t>
            </w:r>
          </w:p>
          <w:p w:rsidR="001333B1" w:rsidRDefault="001333B1" w:rsidP="001333B1">
            <w:pPr>
              <w:pStyle w:val="ListParagraph"/>
              <w:spacing w:before="120"/>
              <w:jc w:val="both"/>
              <w:rPr>
                <w:rFonts w:eastAsia="MS Mincho" w:cs="Times New Roman"/>
                <w:noProof/>
                <w:szCs w:val="32"/>
              </w:rPr>
            </w:pPr>
          </w:p>
          <w:p w:rsidR="001333B1" w:rsidRDefault="001333B1" w:rsidP="00A333D5">
            <w:pPr>
              <w:pStyle w:val="ListParagraph"/>
              <w:numPr>
                <w:ilvl w:val="0"/>
                <w:numId w:val="12"/>
              </w:numPr>
              <w:spacing w:before="120"/>
              <w:jc w:val="both"/>
              <w:rPr>
                <w:rFonts w:eastAsia="MS Mincho" w:cs="Times New Roman"/>
                <w:noProof/>
                <w:szCs w:val="32"/>
              </w:rPr>
            </w:pPr>
            <w:r w:rsidRPr="001333B1">
              <w:rPr>
                <w:rFonts w:eastAsia="MS Mincho" w:cs="Times New Roman"/>
                <w:b/>
                <w:noProof/>
                <w:szCs w:val="32"/>
              </w:rPr>
              <w:t>DVP/RVP</w:t>
            </w:r>
            <w:r>
              <w:rPr>
                <w:rFonts w:eastAsia="MS Mincho" w:cs="Times New Roman"/>
                <w:noProof/>
                <w:szCs w:val="32"/>
              </w:rPr>
              <w:t>: will only concern CTO codes ‘GO’ or blank</w:t>
            </w:r>
          </w:p>
          <w:p w:rsidR="00902C5C" w:rsidRDefault="00902C5C" w:rsidP="00902C5C">
            <w:pPr>
              <w:spacing w:before="120"/>
              <w:jc w:val="both"/>
              <w:rPr>
                <w:rFonts w:eastAsia="MS Mincho" w:cs="Times New Roman"/>
                <w:noProof/>
                <w:szCs w:val="32"/>
              </w:rPr>
            </w:pPr>
          </w:p>
          <w:p w:rsidR="001333B1" w:rsidRPr="00902C5C" w:rsidRDefault="001333B1" w:rsidP="001333B1">
            <w:pPr>
              <w:pStyle w:val="ListParagraph"/>
              <w:numPr>
                <w:ilvl w:val="0"/>
                <w:numId w:val="11"/>
              </w:numPr>
              <w:spacing w:before="120"/>
              <w:ind w:left="317" w:hanging="241"/>
              <w:jc w:val="both"/>
              <w:rPr>
                <w:rFonts w:eastAsia="MS Mincho" w:cs="Times New Roman"/>
                <w:b/>
                <w:noProof/>
                <w:szCs w:val="32"/>
              </w:rPr>
            </w:pPr>
            <w:r>
              <w:rPr>
                <w:rFonts w:eastAsia="MS Mincho" w:cs="Times New Roman"/>
                <w:b/>
                <w:noProof/>
                <w:szCs w:val="32"/>
              </w:rPr>
              <w:t>Processing of transactions</w:t>
            </w:r>
          </w:p>
          <w:p w:rsidR="001333B1" w:rsidRDefault="001333B1" w:rsidP="001333B1">
            <w:pPr>
              <w:pStyle w:val="ListParagraph"/>
              <w:numPr>
                <w:ilvl w:val="0"/>
                <w:numId w:val="12"/>
              </w:numPr>
              <w:spacing w:before="120"/>
              <w:ind w:left="714" w:hanging="357"/>
              <w:contextualSpacing w:val="0"/>
              <w:jc w:val="both"/>
              <w:rPr>
                <w:rFonts w:eastAsia="MS Mincho" w:cs="Times New Roman"/>
                <w:noProof/>
                <w:szCs w:val="32"/>
              </w:rPr>
            </w:pPr>
            <w:r>
              <w:rPr>
                <w:rFonts w:eastAsia="MS Mincho" w:cs="Times New Roman"/>
                <w:b/>
                <w:noProof/>
                <w:szCs w:val="32"/>
              </w:rPr>
              <w:t>Initiated by an ICP participant</w:t>
            </w:r>
            <w:r>
              <w:rPr>
                <w:rFonts w:eastAsia="MS Mincho" w:cs="Times New Roman"/>
                <w:noProof/>
                <w:szCs w:val="32"/>
              </w:rPr>
              <w:t>:</w:t>
            </w:r>
          </w:p>
          <w:p w:rsidR="001333B1" w:rsidRPr="001333B1" w:rsidRDefault="001333B1" w:rsidP="001333B1">
            <w:pPr>
              <w:spacing w:before="120"/>
              <w:jc w:val="both"/>
              <w:rPr>
                <w:rFonts w:eastAsia="MS Mincho" w:cs="Times New Roman"/>
                <w:noProof/>
                <w:szCs w:val="32"/>
              </w:rPr>
            </w:pPr>
            <w:r>
              <w:rPr>
                <w:rFonts w:eastAsia="MS Mincho" w:cs="Times New Roman"/>
                <w:noProof/>
                <w:szCs w:val="32"/>
              </w:rPr>
              <w:t>Participants connecting to T2S through their CSD (Euroclear France), or ‘Indirectly Connected Participants’ (ICP) can send their instructions either via STP or via EuroclearConnect for Screens. In both cases, they can input the CTO code.</w:t>
            </w:r>
          </w:p>
          <w:p w:rsidR="001333B1" w:rsidRDefault="001333B1" w:rsidP="001333B1">
            <w:pPr>
              <w:jc w:val="both"/>
              <w:rPr>
                <w:rFonts w:eastAsia="MS Mincho" w:cs="Times New Roman"/>
                <w:noProof/>
                <w:szCs w:val="32"/>
              </w:rPr>
            </w:pPr>
          </w:p>
          <w:p w:rsidR="001333B1" w:rsidRDefault="001333B1" w:rsidP="001333B1">
            <w:pPr>
              <w:pStyle w:val="ListParagraph"/>
              <w:numPr>
                <w:ilvl w:val="0"/>
                <w:numId w:val="12"/>
              </w:numPr>
              <w:spacing w:before="120"/>
              <w:jc w:val="both"/>
              <w:rPr>
                <w:rFonts w:eastAsia="MS Mincho" w:cs="Times New Roman"/>
                <w:noProof/>
                <w:szCs w:val="32"/>
              </w:rPr>
            </w:pPr>
            <w:r>
              <w:rPr>
                <w:rFonts w:eastAsia="MS Mincho" w:cs="Times New Roman"/>
                <w:b/>
                <w:noProof/>
                <w:szCs w:val="32"/>
              </w:rPr>
              <w:t>Initiated by an ICP participant</w:t>
            </w:r>
            <w:r>
              <w:rPr>
                <w:rFonts w:eastAsia="MS Mincho" w:cs="Times New Roman"/>
                <w:noProof/>
                <w:szCs w:val="32"/>
              </w:rPr>
              <w:t>:</w:t>
            </w:r>
          </w:p>
          <w:p w:rsidR="001333B1" w:rsidRDefault="001333B1" w:rsidP="00902C5C">
            <w:pPr>
              <w:spacing w:before="120"/>
              <w:jc w:val="both"/>
              <w:rPr>
                <w:rFonts w:eastAsia="MS Mincho" w:cs="Times New Roman"/>
                <w:noProof/>
                <w:szCs w:val="32"/>
              </w:rPr>
            </w:pPr>
            <w:r>
              <w:rPr>
                <w:rFonts w:eastAsia="MS Mincho" w:cs="Times New Roman"/>
                <w:noProof/>
                <w:szCs w:val="32"/>
              </w:rPr>
              <w:t xml:space="preserve">Participants directly connected to T2S, or ‘Directly Connected Participants’ (DCP) will not be able to input the CTO code when creating an instruction FOP to be matched in the T2S GUI. The DCP will nonetheless be able to send FOP with </w:t>
            </w:r>
            <w:r w:rsidR="00877218">
              <w:rPr>
                <w:rFonts w:eastAsia="MS Mincho" w:cs="Times New Roman"/>
                <w:noProof/>
                <w:szCs w:val="32"/>
              </w:rPr>
              <w:t>the CTO code through its STP connection to T2S.</w:t>
            </w:r>
          </w:p>
          <w:p w:rsidR="00877218" w:rsidRDefault="00877218" w:rsidP="00902C5C">
            <w:pPr>
              <w:spacing w:before="120"/>
              <w:jc w:val="both"/>
              <w:rPr>
                <w:rFonts w:eastAsia="MS Mincho" w:cs="Times New Roman"/>
                <w:noProof/>
                <w:szCs w:val="32"/>
              </w:rPr>
            </w:pPr>
            <w:r>
              <w:rPr>
                <w:rFonts w:eastAsia="MS Mincho" w:cs="Times New Roman"/>
                <w:noProof/>
                <w:szCs w:val="32"/>
              </w:rPr>
              <w:t>T2S will not present the CTO code in messages to the DCP. Nonetheless, T2S will send the CTO code to ESES for updating the ancillary securities accounting and reporting through ESES reports. The DCP participant will have to subscribe to the ESES reporting if he wants the CTO code presented in the settlement confirmation of its FOP instruction.</w:t>
            </w:r>
          </w:p>
          <w:p w:rsidR="00877218" w:rsidRDefault="00877218" w:rsidP="00902C5C">
            <w:pPr>
              <w:spacing w:before="120"/>
              <w:jc w:val="both"/>
              <w:rPr>
                <w:rFonts w:eastAsia="MS Mincho" w:cs="Times New Roman"/>
                <w:noProof/>
                <w:szCs w:val="32"/>
              </w:rPr>
            </w:pPr>
            <w:r>
              <w:rPr>
                <w:rFonts w:eastAsia="MS Mincho" w:cs="Times New Roman"/>
                <w:noProof/>
                <w:szCs w:val="32"/>
              </w:rPr>
              <w:t xml:space="preserve">As a reminder, </w:t>
            </w:r>
            <w:r w:rsidR="001E2C65">
              <w:rPr>
                <w:rFonts w:eastAsia="MS Mincho" w:cs="Times New Roman"/>
                <w:noProof/>
                <w:szCs w:val="32"/>
              </w:rPr>
              <w:t xml:space="preserve">an instruction on registered shares can be sent to T2S directly, </w:t>
            </w:r>
            <w:r w:rsidR="001E2C65">
              <w:rPr>
                <w:rFonts w:eastAsia="MS Mincho" w:cs="Times New Roman"/>
                <w:noProof/>
                <w:szCs w:val="32"/>
              </w:rPr>
              <w:lastRenderedPageBreak/>
              <w:t>and the ‘Bordereau de Référence Nominative’ (BRN) to Euroclear France; when matched the latter will be created by Euroclear France upon reception of the securities flow from T2S.</w:t>
            </w:r>
          </w:p>
          <w:p w:rsidR="001E2C65" w:rsidRPr="00902C5C" w:rsidRDefault="001E2C65" w:rsidP="001E2C65">
            <w:pPr>
              <w:pStyle w:val="ListParagraph"/>
              <w:numPr>
                <w:ilvl w:val="0"/>
                <w:numId w:val="11"/>
              </w:numPr>
              <w:spacing w:before="120"/>
              <w:ind w:left="317" w:hanging="241"/>
              <w:jc w:val="both"/>
              <w:rPr>
                <w:rFonts w:eastAsia="MS Mincho" w:cs="Times New Roman"/>
                <w:b/>
                <w:noProof/>
                <w:szCs w:val="32"/>
              </w:rPr>
            </w:pPr>
            <w:r>
              <w:rPr>
                <w:rFonts w:eastAsia="MS Mincho" w:cs="Times New Roman"/>
                <w:b/>
                <w:noProof/>
                <w:szCs w:val="32"/>
              </w:rPr>
              <w:t>Pre-settlement controls carried out by Euroclear France on instructions initiated by an ICP</w:t>
            </w:r>
          </w:p>
          <w:p w:rsidR="001E2C65" w:rsidRDefault="001E2C65" w:rsidP="00902C5C">
            <w:pPr>
              <w:spacing w:before="120"/>
              <w:jc w:val="both"/>
              <w:rPr>
                <w:rFonts w:eastAsia="MS Mincho" w:cs="Times New Roman"/>
                <w:noProof/>
                <w:szCs w:val="32"/>
              </w:rPr>
            </w:pPr>
            <w:r>
              <w:rPr>
                <w:rFonts w:eastAsia="MS Mincho" w:cs="Times New Roman"/>
                <w:noProof/>
                <w:szCs w:val="32"/>
              </w:rPr>
              <w:t xml:space="preserve">In the case of instructions initiated by an ICP, going through Euroclear France </w:t>
            </w:r>
            <w:r w:rsidR="00535757">
              <w:rPr>
                <w:rFonts w:eastAsia="MS Mincho" w:cs="Times New Roman"/>
                <w:noProof/>
                <w:szCs w:val="32"/>
              </w:rPr>
              <w:t>using a FOP to be matched instr</w:t>
            </w:r>
            <w:r>
              <w:rPr>
                <w:rFonts w:eastAsia="MS Mincho" w:cs="Times New Roman"/>
                <w:noProof/>
                <w:szCs w:val="32"/>
              </w:rPr>
              <w:t>u</w:t>
            </w:r>
            <w:r w:rsidR="00535757">
              <w:rPr>
                <w:rFonts w:eastAsia="MS Mincho" w:cs="Times New Roman"/>
                <w:noProof/>
                <w:szCs w:val="32"/>
              </w:rPr>
              <w:t>c</w:t>
            </w:r>
            <w:r>
              <w:rPr>
                <w:rFonts w:eastAsia="MS Mincho" w:cs="Times New Roman"/>
                <w:noProof/>
                <w:szCs w:val="32"/>
              </w:rPr>
              <w:t xml:space="preserve">tion, DVP instructions, as well as for instructions using the service ‘Free of Payment Without Matching’, pre-settlement controls notably on the account nature and the CTO codes will be carried out by Euroclear before their processing to T2S. </w:t>
            </w:r>
            <w:r w:rsidRPr="001E2C65">
              <w:rPr>
                <w:rFonts w:eastAsia="MS Mincho" w:cs="Times New Roman"/>
                <w:i/>
                <w:noProof/>
                <w:szCs w:val="32"/>
              </w:rPr>
              <w:t>(see also DSD ESES-T2S Detailed Service Description French registered securities v1.1, page 140)</w:t>
            </w:r>
          </w:p>
          <w:p w:rsidR="00877218" w:rsidRDefault="001E2C65" w:rsidP="00902C5C">
            <w:pPr>
              <w:spacing w:before="120"/>
              <w:jc w:val="both"/>
              <w:rPr>
                <w:rFonts w:eastAsia="MS Mincho" w:cs="Times New Roman"/>
                <w:noProof/>
                <w:szCs w:val="32"/>
              </w:rPr>
            </w:pPr>
            <w:r>
              <w:rPr>
                <w:rFonts w:eastAsia="MS Mincho" w:cs="Times New Roman"/>
                <w:noProof/>
                <w:szCs w:val="32"/>
              </w:rPr>
              <w:t>If the instructions pass the consistency check, they will be sent to T2S for matching and settlement, or rejected by Euroclear and will then have to be re-created by the participants.</w:t>
            </w:r>
          </w:p>
          <w:p w:rsidR="001E2C65" w:rsidRDefault="001E2C65" w:rsidP="00902C5C">
            <w:pPr>
              <w:spacing w:before="120"/>
              <w:jc w:val="both"/>
              <w:rPr>
                <w:rFonts w:eastAsia="MS Mincho" w:cs="Times New Roman"/>
                <w:noProof/>
                <w:szCs w:val="32"/>
              </w:rPr>
            </w:pPr>
            <w:r>
              <w:rPr>
                <w:rFonts w:eastAsia="MS Mincho" w:cs="Times New Roman"/>
                <w:noProof/>
                <w:szCs w:val="32"/>
              </w:rPr>
              <w:t xml:space="preserve">The </w:t>
            </w:r>
            <w:r w:rsidR="00CA28B4">
              <w:rPr>
                <w:rFonts w:eastAsia="MS Mincho" w:cs="Times New Roman"/>
                <w:noProof/>
                <w:szCs w:val="32"/>
              </w:rPr>
              <w:t>comp</w:t>
            </w:r>
            <w:r w:rsidR="00535757">
              <w:rPr>
                <w:rFonts w:eastAsia="MS Mincho" w:cs="Times New Roman"/>
                <w:noProof/>
                <w:szCs w:val="32"/>
              </w:rPr>
              <w:t>ati</w:t>
            </w:r>
            <w:r w:rsidR="00CA28B4">
              <w:rPr>
                <w:rFonts w:eastAsia="MS Mincho" w:cs="Times New Roman"/>
                <w:noProof/>
                <w:szCs w:val="32"/>
              </w:rPr>
              <w:t>bility</w:t>
            </w:r>
            <w:r>
              <w:rPr>
                <w:rFonts w:eastAsia="MS Mincho" w:cs="Times New Roman"/>
                <w:noProof/>
                <w:szCs w:val="32"/>
              </w:rPr>
              <w:t xml:space="preserve"> rules related to account natures and CTO codes remain unchanged.</w:t>
            </w:r>
          </w:p>
          <w:p w:rsidR="001E2C65" w:rsidRDefault="001E2C65" w:rsidP="00902C5C">
            <w:pPr>
              <w:spacing w:before="120"/>
              <w:jc w:val="both"/>
              <w:rPr>
                <w:rFonts w:eastAsia="MS Mincho" w:cs="Times New Roman"/>
                <w:noProof/>
                <w:szCs w:val="32"/>
              </w:rPr>
            </w:pPr>
            <w:r>
              <w:rPr>
                <w:rFonts w:eastAsia="MS Mincho" w:cs="Times New Roman"/>
                <w:noProof/>
                <w:szCs w:val="32"/>
              </w:rPr>
              <w:t>Below is the table presenting the business rules related to CTO codes by instruction, extracted from the above mentioned DSD.</w:t>
            </w:r>
          </w:p>
          <w:tbl>
            <w:tblPr>
              <w:tblW w:w="7262" w:type="dxa"/>
              <w:tblLayout w:type="fixed"/>
              <w:tblCellMar>
                <w:left w:w="0" w:type="dxa"/>
                <w:right w:w="0" w:type="dxa"/>
              </w:tblCellMar>
              <w:tblLook w:val="0420" w:firstRow="1" w:lastRow="0" w:firstColumn="0" w:lastColumn="0" w:noHBand="0" w:noVBand="1"/>
            </w:tblPr>
            <w:tblGrid>
              <w:gridCol w:w="1159"/>
              <w:gridCol w:w="1154"/>
              <w:gridCol w:w="648"/>
              <w:gridCol w:w="717"/>
              <w:gridCol w:w="3584"/>
            </w:tblGrid>
            <w:tr w:rsidR="001E2C65" w:rsidRPr="00D67CB1" w:rsidTr="001E2C65">
              <w:trPr>
                <w:trHeight w:val="152"/>
              </w:trPr>
              <w:tc>
                <w:tcPr>
                  <w:tcW w:w="1159" w:type="dxa"/>
                  <w:vMerge w:val="restart"/>
                  <w:tcBorders>
                    <w:top w:val="single" w:sz="8" w:space="0" w:color="FFFFFF"/>
                    <w:left w:val="single" w:sz="8" w:space="0" w:color="FFFFFF"/>
                    <w:bottom w:val="single" w:sz="24" w:space="0" w:color="FFFFFF"/>
                    <w:right w:val="single" w:sz="8" w:space="0" w:color="FFFFFF"/>
                  </w:tcBorders>
                  <w:shd w:val="clear" w:color="auto" w:fill="4F81BD"/>
                  <w:tcMar>
                    <w:top w:w="72" w:type="dxa"/>
                    <w:left w:w="85" w:type="dxa"/>
                    <w:bottom w:w="72" w:type="dxa"/>
                    <w:right w:w="85" w:type="dxa"/>
                  </w:tcMar>
                  <w:vAlign w:val="center"/>
                  <w:hideMark/>
                </w:tcPr>
                <w:p w:rsidR="001E2C65" w:rsidRPr="0019289E" w:rsidRDefault="001E2C65" w:rsidP="001E2C65">
                  <w:pPr>
                    <w:spacing w:after="0" w:line="240" w:lineRule="auto"/>
                    <w:rPr>
                      <w:rFonts w:eastAsia="MS Mincho" w:cs="Times New Roman"/>
                      <w:noProof/>
                      <w:color w:val="FFFFFF" w:themeColor="background1"/>
                      <w:sz w:val="18"/>
                      <w:szCs w:val="32"/>
                      <w:lang w:val="fr-FR"/>
                    </w:rPr>
                  </w:pPr>
                  <w:r>
                    <w:rPr>
                      <w:rFonts w:eastAsia="MS Mincho" w:cs="Times New Roman"/>
                      <w:b/>
                      <w:bCs/>
                      <w:noProof/>
                      <w:color w:val="FFFFFF" w:themeColor="background1"/>
                      <w:sz w:val="18"/>
                      <w:szCs w:val="32"/>
                      <w:lang w:val="fr-FR"/>
                    </w:rPr>
                    <w:t>Settlement instruction t</w:t>
                  </w:r>
                  <w:r w:rsidRPr="0019289E">
                    <w:rPr>
                      <w:rFonts w:eastAsia="MS Mincho" w:cs="Times New Roman"/>
                      <w:b/>
                      <w:bCs/>
                      <w:noProof/>
                      <w:color w:val="FFFFFF" w:themeColor="background1"/>
                      <w:sz w:val="18"/>
                      <w:szCs w:val="32"/>
                      <w:lang w:val="fr-FR"/>
                    </w:rPr>
                    <w:t xml:space="preserve">ype </w:t>
                  </w:r>
                </w:p>
              </w:tc>
              <w:tc>
                <w:tcPr>
                  <w:tcW w:w="1154" w:type="dxa"/>
                  <w:vMerge w:val="restart"/>
                  <w:tcBorders>
                    <w:top w:val="single" w:sz="8" w:space="0" w:color="FFFFFF"/>
                    <w:left w:val="single" w:sz="8" w:space="0" w:color="FFFFFF"/>
                    <w:bottom w:val="single" w:sz="24" w:space="0" w:color="FFFFFF"/>
                    <w:right w:val="single" w:sz="8" w:space="0" w:color="FFFFFF"/>
                  </w:tcBorders>
                  <w:shd w:val="clear" w:color="auto" w:fill="4F81BD"/>
                  <w:tcMar>
                    <w:top w:w="72" w:type="dxa"/>
                    <w:left w:w="85" w:type="dxa"/>
                    <w:bottom w:w="72" w:type="dxa"/>
                    <w:right w:w="85" w:type="dxa"/>
                  </w:tcMar>
                  <w:vAlign w:val="center"/>
                  <w:hideMark/>
                </w:tcPr>
                <w:p w:rsidR="001E2C65" w:rsidRPr="001E2C65" w:rsidRDefault="001E2C65" w:rsidP="001E2C65">
                  <w:pPr>
                    <w:spacing w:after="0" w:line="240" w:lineRule="auto"/>
                    <w:rPr>
                      <w:rFonts w:eastAsia="MS Mincho" w:cs="Times New Roman"/>
                      <w:noProof/>
                      <w:color w:val="FFFFFF" w:themeColor="background1"/>
                      <w:sz w:val="18"/>
                      <w:szCs w:val="32"/>
                    </w:rPr>
                  </w:pPr>
                  <w:r w:rsidRPr="001E2C65">
                    <w:rPr>
                      <w:rFonts w:eastAsia="MS Mincho" w:cs="Times New Roman"/>
                      <w:b/>
                      <w:bCs/>
                      <w:noProof/>
                      <w:color w:val="FFFFFF" w:themeColor="background1"/>
                      <w:sz w:val="18"/>
                      <w:szCs w:val="32"/>
                    </w:rPr>
                    <w:t>Change in the account (</w:t>
                  </w:r>
                  <w:r>
                    <w:rPr>
                      <w:rFonts w:eastAsia="MS Mincho" w:cs="Times New Roman"/>
                      <w:b/>
                      <w:bCs/>
                      <w:noProof/>
                      <w:color w:val="FFFFFF" w:themeColor="background1"/>
                      <w:sz w:val="18"/>
                      <w:szCs w:val="32"/>
                    </w:rPr>
                    <w:t>institution</w:t>
                  </w:r>
                  <w:r w:rsidRPr="001E2C65">
                    <w:rPr>
                      <w:rFonts w:eastAsia="MS Mincho" w:cs="Times New Roman"/>
                      <w:b/>
                      <w:bCs/>
                      <w:noProof/>
                      <w:color w:val="FFFFFF" w:themeColor="background1"/>
                      <w:sz w:val="18"/>
                      <w:szCs w:val="32"/>
                    </w:rPr>
                    <w:t>)</w:t>
                  </w:r>
                </w:p>
              </w:tc>
              <w:tc>
                <w:tcPr>
                  <w:tcW w:w="1365" w:type="dxa"/>
                  <w:gridSpan w:val="2"/>
                  <w:tcBorders>
                    <w:top w:val="single" w:sz="8" w:space="0" w:color="FFFFFF"/>
                    <w:left w:val="single" w:sz="8" w:space="0" w:color="FFFFFF"/>
                    <w:bottom w:val="single" w:sz="24" w:space="0" w:color="FFFFFF"/>
                    <w:right w:val="single" w:sz="8" w:space="0" w:color="FFFFFF"/>
                  </w:tcBorders>
                  <w:shd w:val="clear" w:color="auto" w:fill="4F81BD"/>
                  <w:tcMar>
                    <w:top w:w="72" w:type="dxa"/>
                    <w:left w:w="85" w:type="dxa"/>
                    <w:bottom w:w="72" w:type="dxa"/>
                    <w:right w:w="85" w:type="dxa"/>
                  </w:tcMar>
                  <w:vAlign w:val="center"/>
                  <w:hideMark/>
                </w:tcPr>
                <w:p w:rsidR="001E2C65" w:rsidRPr="0019289E" w:rsidRDefault="001E2C65" w:rsidP="001E2C65">
                  <w:pPr>
                    <w:spacing w:after="0" w:line="240" w:lineRule="auto"/>
                    <w:rPr>
                      <w:rFonts w:eastAsia="MS Mincho" w:cs="Times New Roman"/>
                      <w:noProof/>
                      <w:color w:val="FFFFFF" w:themeColor="background1"/>
                      <w:sz w:val="18"/>
                      <w:szCs w:val="32"/>
                      <w:lang w:val="fr-FR"/>
                    </w:rPr>
                  </w:pPr>
                  <w:r>
                    <w:rPr>
                      <w:rFonts w:eastAsia="MS Mincho" w:cs="Times New Roman"/>
                      <w:b/>
                      <w:bCs/>
                      <w:noProof/>
                      <w:color w:val="FFFFFF" w:themeColor="background1"/>
                      <w:sz w:val="18"/>
                      <w:szCs w:val="32"/>
                      <w:lang w:val="fr-FR"/>
                    </w:rPr>
                    <w:t>Account n</w:t>
                  </w:r>
                  <w:r w:rsidRPr="0019289E">
                    <w:rPr>
                      <w:rFonts w:eastAsia="MS Mincho" w:cs="Times New Roman"/>
                      <w:b/>
                      <w:bCs/>
                      <w:noProof/>
                      <w:color w:val="FFFFFF" w:themeColor="background1"/>
                      <w:sz w:val="18"/>
                      <w:szCs w:val="32"/>
                      <w:lang w:val="fr-FR"/>
                    </w:rPr>
                    <w:t xml:space="preserve">ature </w:t>
                  </w:r>
                </w:p>
              </w:tc>
              <w:tc>
                <w:tcPr>
                  <w:tcW w:w="3584" w:type="dxa"/>
                  <w:vMerge w:val="restart"/>
                  <w:tcBorders>
                    <w:top w:val="single" w:sz="8" w:space="0" w:color="FFFFFF"/>
                    <w:left w:val="single" w:sz="8" w:space="0" w:color="FFFFFF"/>
                    <w:bottom w:val="single" w:sz="24" w:space="0" w:color="FFFFFF"/>
                    <w:right w:val="single" w:sz="8" w:space="0" w:color="FFFFFF"/>
                  </w:tcBorders>
                  <w:shd w:val="clear" w:color="auto" w:fill="4F81BD"/>
                  <w:tcMar>
                    <w:top w:w="72" w:type="dxa"/>
                    <w:left w:w="85" w:type="dxa"/>
                    <w:bottom w:w="72" w:type="dxa"/>
                    <w:right w:w="85" w:type="dxa"/>
                  </w:tcMar>
                  <w:hideMark/>
                </w:tcPr>
                <w:p w:rsidR="001E2C65" w:rsidRPr="00535757" w:rsidRDefault="001E2C65" w:rsidP="001E2C65">
                  <w:pPr>
                    <w:spacing w:after="0" w:line="240" w:lineRule="auto"/>
                    <w:jc w:val="center"/>
                    <w:rPr>
                      <w:rFonts w:eastAsia="MS Mincho" w:cs="Times New Roman"/>
                      <w:noProof/>
                      <w:color w:val="FFFFFF" w:themeColor="background1"/>
                      <w:sz w:val="18"/>
                      <w:szCs w:val="32"/>
                    </w:rPr>
                  </w:pPr>
                  <w:r w:rsidRPr="00535757">
                    <w:rPr>
                      <w:rFonts w:eastAsia="MS Mincho" w:cs="Times New Roman"/>
                      <w:b/>
                      <w:bCs/>
                      <w:noProof/>
                      <w:color w:val="FFFFFF" w:themeColor="background1"/>
                      <w:sz w:val="18"/>
                      <w:szCs w:val="32"/>
                    </w:rPr>
                    <w:t>Business rules for erroneous CTO codes</w:t>
                  </w:r>
                </w:p>
              </w:tc>
            </w:tr>
            <w:tr w:rsidR="001E2C65" w:rsidRPr="0019289E" w:rsidTr="009C2D68">
              <w:trPr>
                <w:trHeight w:val="345"/>
              </w:trPr>
              <w:tc>
                <w:tcPr>
                  <w:tcW w:w="1159" w:type="dxa"/>
                  <w:vMerge/>
                  <w:tcBorders>
                    <w:top w:val="single" w:sz="8" w:space="0" w:color="FFFFFF"/>
                    <w:left w:val="single" w:sz="8" w:space="0" w:color="FFFFFF"/>
                    <w:bottom w:val="single" w:sz="24" w:space="0" w:color="FFFFFF"/>
                    <w:right w:val="single" w:sz="8" w:space="0" w:color="FFFFFF"/>
                  </w:tcBorders>
                  <w:vAlign w:val="center"/>
                  <w:hideMark/>
                </w:tcPr>
                <w:p w:rsidR="001E2C65" w:rsidRPr="00535757" w:rsidRDefault="001E2C65" w:rsidP="009C2D68">
                  <w:pPr>
                    <w:spacing w:after="0" w:line="240" w:lineRule="auto"/>
                    <w:rPr>
                      <w:rFonts w:eastAsia="MS Mincho" w:cs="Times New Roman"/>
                      <w:noProof/>
                      <w:sz w:val="18"/>
                      <w:szCs w:val="32"/>
                    </w:rPr>
                  </w:pPr>
                </w:p>
              </w:tc>
              <w:tc>
                <w:tcPr>
                  <w:tcW w:w="1154" w:type="dxa"/>
                  <w:vMerge/>
                  <w:tcBorders>
                    <w:top w:val="single" w:sz="8" w:space="0" w:color="FFFFFF"/>
                    <w:left w:val="single" w:sz="8" w:space="0" w:color="FFFFFF"/>
                    <w:bottom w:val="single" w:sz="24" w:space="0" w:color="FFFFFF"/>
                    <w:right w:val="single" w:sz="8" w:space="0" w:color="FFFFFF"/>
                  </w:tcBorders>
                  <w:vAlign w:val="center"/>
                  <w:hideMark/>
                </w:tcPr>
                <w:p w:rsidR="001E2C65" w:rsidRPr="00535757" w:rsidRDefault="001E2C65" w:rsidP="009C2D68">
                  <w:pPr>
                    <w:spacing w:after="0" w:line="240" w:lineRule="auto"/>
                    <w:rPr>
                      <w:rFonts w:eastAsia="MS Mincho" w:cs="Times New Roman"/>
                      <w:noProof/>
                      <w:sz w:val="18"/>
                      <w:szCs w:val="32"/>
                    </w:rPr>
                  </w:pPr>
                </w:p>
              </w:tc>
              <w:tc>
                <w:tcPr>
                  <w:tcW w:w="648" w:type="dxa"/>
                  <w:tcBorders>
                    <w:top w:val="single" w:sz="24" w:space="0" w:color="FFFFFF"/>
                    <w:left w:val="single" w:sz="24" w:space="0" w:color="FFFFFF"/>
                    <w:bottom w:val="single" w:sz="8" w:space="0" w:color="FFFFFF"/>
                    <w:right w:val="single" w:sz="8" w:space="0" w:color="FFFFFF"/>
                  </w:tcBorders>
                  <w:shd w:val="clear" w:color="auto" w:fill="D0D8E8"/>
                  <w:tcMar>
                    <w:top w:w="72" w:type="dxa"/>
                    <w:left w:w="144" w:type="dxa"/>
                    <w:bottom w:w="72" w:type="dxa"/>
                    <w:right w:w="144" w:type="dxa"/>
                  </w:tcMar>
                  <w:vAlign w:val="center"/>
                  <w:hideMark/>
                </w:tcPr>
                <w:p w:rsidR="001E2C65" w:rsidRPr="00EE7FD6" w:rsidRDefault="001E2C65" w:rsidP="001E2C65">
                  <w:pPr>
                    <w:spacing w:after="0" w:line="240" w:lineRule="auto"/>
                    <w:rPr>
                      <w:rFonts w:eastAsia="MS Mincho" w:cs="Times New Roman"/>
                      <w:b/>
                      <w:noProof/>
                      <w:sz w:val="16"/>
                      <w:szCs w:val="32"/>
                      <w:lang w:val="fr-FR"/>
                    </w:rPr>
                  </w:pPr>
                  <w:r w:rsidRPr="00EE7FD6">
                    <w:rPr>
                      <w:rFonts w:eastAsia="MS Mincho" w:cs="Times New Roman"/>
                      <w:b/>
                      <w:bCs/>
                      <w:noProof/>
                      <w:sz w:val="14"/>
                      <w:szCs w:val="32"/>
                      <w:lang w:val="fr-FR"/>
                    </w:rPr>
                    <w:t>D</w:t>
                  </w:r>
                  <w:r>
                    <w:rPr>
                      <w:rFonts w:eastAsia="MS Mincho" w:cs="Times New Roman"/>
                      <w:b/>
                      <w:bCs/>
                      <w:noProof/>
                      <w:sz w:val="14"/>
                      <w:szCs w:val="32"/>
                      <w:lang w:val="fr-FR"/>
                    </w:rPr>
                    <w:t>e</w:t>
                  </w:r>
                  <w:r w:rsidRPr="00EE7FD6">
                    <w:rPr>
                      <w:rFonts w:eastAsia="MS Mincho" w:cs="Times New Roman"/>
                      <w:b/>
                      <w:bCs/>
                      <w:noProof/>
                      <w:sz w:val="14"/>
                      <w:szCs w:val="32"/>
                      <w:lang w:val="fr-FR"/>
                    </w:rPr>
                    <w:t>bit</w:t>
                  </w:r>
                </w:p>
              </w:tc>
              <w:tc>
                <w:tcPr>
                  <w:tcW w:w="716" w:type="dxa"/>
                  <w:tcBorders>
                    <w:top w:val="single" w:sz="24" w:space="0" w:color="FFFFFF"/>
                    <w:left w:val="single" w:sz="8" w:space="0" w:color="FFFFFF"/>
                    <w:bottom w:val="single" w:sz="8" w:space="0" w:color="FFFFFF"/>
                    <w:right w:val="single" w:sz="24" w:space="0" w:color="FFFFFF"/>
                  </w:tcBorders>
                  <w:shd w:val="clear" w:color="auto" w:fill="D0D8E8"/>
                  <w:tcMar>
                    <w:top w:w="72" w:type="dxa"/>
                    <w:left w:w="144" w:type="dxa"/>
                    <w:bottom w:w="72" w:type="dxa"/>
                    <w:right w:w="144" w:type="dxa"/>
                  </w:tcMar>
                  <w:vAlign w:val="center"/>
                  <w:hideMark/>
                </w:tcPr>
                <w:p w:rsidR="001E2C65" w:rsidRPr="00EE7FD6" w:rsidRDefault="001E2C65" w:rsidP="001E2C65">
                  <w:pPr>
                    <w:spacing w:after="0" w:line="240" w:lineRule="auto"/>
                    <w:rPr>
                      <w:rFonts w:eastAsia="MS Mincho" w:cs="Times New Roman"/>
                      <w:b/>
                      <w:noProof/>
                      <w:sz w:val="16"/>
                      <w:szCs w:val="32"/>
                      <w:lang w:val="fr-FR"/>
                    </w:rPr>
                  </w:pPr>
                  <w:r w:rsidRPr="00EE7FD6">
                    <w:rPr>
                      <w:rFonts w:eastAsia="MS Mincho" w:cs="Times New Roman"/>
                      <w:b/>
                      <w:bCs/>
                      <w:noProof/>
                      <w:sz w:val="16"/>
                      <w:szCs w:val="32"/>
                      <w:lang w:val="fr-FR"/>
                    </w:rPr>
                    <w:t>Cr</w:t>
                  </w:r>
                  <w:r>
                    <w:rPr>
                      <w:rFonts w:eastAsia="MS Mincho" w:cs="Times New Roman"/>
                      <w:b/>
                      <w:bCs/>
                      <w:noProof/>
                      <w:sz w:val="16"/>
                      <w:szCs w:val="32"/>
                      <w:lang w:val="fr-FR"/>
                    </w:rPr>
                    <w:t>e</w:t>
                  </w:r>
                  <w:r w:rsidRPr="00EE7FD6">
                    <w:rPr>
                      <w:rFonts w:eastAsia="MS Mincho" w:cs="Times New Roman"/>
                      <w:b/>
                      <w:bCs/>
                      <w:noProof/>
                      <w:sz w:val="16"/>
                      <w:szCs w:val="32"/>
                      <w:lang w:val="fr-FR"/>
                    </w:rPr>
                    <w:t>dit</w:t>
                  </w:r>
                </w:p>
              </w:tc>
              <w:tc>
                <w:tcPr>
                  <w:tcW w:w="3584" w:type="dxa"/>
                  <w:vMerge/>
                  <w:tcBorders>
                    <w:top w:val="single" w:sz="8" w:space="0" w:color="FFFFFF"/>
                    <w:left w:val="single" w:sz="8" w:space="0" w:color="FFFFFF"/>
                    <w:bottom w:val="single" w:sz="24" w:space="0" w:color="FFFFFF"/>
                    <w:right w:val="single" w:sz="8" w:space="0" w:color="FFFFFF"/>
                  </w:tcBorders>
                  <w:vAlign w:val="center"/>
                  <w:hideMark/>
                </w:tcPr>
                <w:p w:rsidR="001E2C65" w:rsidRPr="0019289E" w:rsidRDefault="001E2C65" w:rsidP="009C2D68">
                  <w:pPr>
                    <w:spacing w:after="0" w:line="240" w:lineRule="auto"/>
                    <w:jc w:val="both"/>
                    <w:rPr>
                      <w:rFonts w:eastAsia="MS Mincho" w:cs="Times New Roman"/>
                      <w:noProof/>
                      <w:sz w:val="18"/>
                      <w:szCs w:val="32"/>
                      <w:lang w:val="fr-FR"/>
                    </w:rPr>
                  </w:pPr>
                </w:p>
              </w:tc>
            </w:tr>
            <w:tr w:rsidR="001E2C65" w:rsidRPr="001E2C65" w:rsidTr="009C2D68">
              <w:trPr>
                <w:trHeight w:val="140"/>
              </w:trPr>
              <w:tc>
                <w:tcPr>
                  <w:tcW w:w="1159" w:type="dxa"/>
                  <w:vMerge w:val="restart"/>
                  <w:tcBorders>
                    <w:top w:val="single" w:sz="24"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vAlign w:val="center"/>
                  <w:hideMark/>
                </w:tcPr>
                <w:p w:rsidR="001E2C65" w:rsidRPr="0019289E" w:rsidRDefault="001E2C65" w:rsidP="009C2D68">
                  <w:pPr>
                    <w:spacing w:after="0" w:line="240" w:lineRule="auto"/>
                    <w:rPr>
                      <w:rFonts w:eastAsia="MS Mincho" w:cs="Times New Roman"/>
                      <w:noProof/>
                      <w:sz w:val="18"/>
                      <w:szCs w:val="32"/>
                      <w:lang w:val="fr-FR"/>
                    </w:rPr>
                  </w:pPr>
                  <w:r w:rsidRPr="0019289E">
                    <w:rPr>
                      <w:rFonts w:eastAsia="MS Mincho" w:cs="Times New Roman"/>
                      <w:noProof/>
                      <w:sz w:val="18"/>
                      <w:szCs w:val="32"/>
                      <w:lang w:val="fr-FR"/>
                    </w:rPr>
                    <w:t>FOP</w:t>
                  </w:r>
                </w:p>
              </w:tc>
              <w:tc>
                <w:tcPr>
                  <w:tcW w:w="1154" w:type="dxa"/>
                  <w:tcBorders>
                    <w:top w:val="single" w:sz="24"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vAlign w:val="center"/>
                  <w:hideMark/>
                </w:tcPr>
                <w:p w:rsidR="001E2C65" w:rsidRPr="0019289E" w:rsidRDefault="001E2C65" w:rsidP="009C2D68">
                  <w:pPr>
                    <w:spacing w:after="0" w:line="240" w:lineRule="auto"/>
                    <w:rPr>
                      <w:rFonts w:eastAsia="MS Mincho" w:cs="Times New Roman"/>
                      <w:noProof/>
                      <w:sz w:val="18"/>
                      <w:szCs w:val="32"/>
                      <w:lang w:val="fr-FR"/>
                    </w:rPr>
                  </w:pPr>
                  <w:r>
                    <w:rPr>
                      <w:rFonts w:eastAsia="MS Mincho" w:cs="Times New Roman"/>
                      <w:noProof/>
                      <w:sz w:val="18"/>
                      <w:szCs w:val="32"/>
                      <w:lang w:val="fr-FR"/>
                    </w:rPr>
                    <w:t>Yes</w:t>
                  </w:r>
                </w:p>
              </w:tc>
              <w:tc>
                <w:tcPr>
                  <w:tcW w:w="648" w:type="dxa"/>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vAlign w:val="center"/>
                  <w:hideMark/>
                </w:tcPr>
                <w:p w:rsidR="001E2C65" w:rsidRPr="0019289E" w:rsidRDefault="001E2C65" w:rsidP="009C2D68">
                  <w:pPr>
                    <w:spacing w:after="0" w:line="240" w:lineRule="auto"/>
                    <w:rPr>
                      <w:rFonts w:eastAsia="MS Mincho" w:cs="Times New Roman"/>
                      <w:noProof/>
                      <w:sz w:val="18"/>
                      <w:szCs w:val="32"/>
                      <w:lang w:val="fr-FR"/>
                    </w:rPr>
                  </w:pPr>
                  <w:r w:rsidRPr="0019289E">
                    <w:rPr>
                      <w:rFonts w:eastAsia="MS Mincho" w:cs="Times New Roman"/>
                      <w:noProof/>
                      <w:sz w:val="18"/>
                      <w:szCs w:val="32"/>
                      <w:lang w:val="fr-FR"/>
                    </w:rPr>
                    <w:t>001</w:t>
                  </w:r>
                </w:p>
              </w:tc>
              <w:tc>
                <w:tcPr>
                  <w:tcW w:w="716" w:type="dxa"/>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vAlign w:val="center"/>
                  <w:hideMark/>
                </w:tcPr>
                <w:p w:rsidR="001E2C65" w:rsidRPr="0019289E" w:rsidRDefault="001E2C65" w:rsidP="009C2D68">
                  <w:pPr>
                    <w:spacing w:after="0" w:line="240" w:lineRule="auto"/>
                    <w:rPr>
                      <w:rFonts w:eastAsia="MS Mincho" w:cs="Times New Roman"/>
                      <w:noProof/>
                      <w:sz w:val="18"/>
                      <w:szCs w:val="32"/>
                      <w:lang w:val="fr-FR"/>
                    </w:rPr>
                  </w:pPr>
                  <w:r w:rsidRPr="0019289E">
                    <w:rPr>
                      <w:rFonts w:eastAsia="MS Mincho" w:cs="Times New Roman"/>
                      <w:noProof/>
                      <w:sz w:val="18"/>
                      <w:szCs w:val="32"/>
                      <w:lang w:val="fr-FR"/>
                    </w:rPr>
                    <w:t>001</w:t>
                  </w:r>
                </w:p>
              </w:tc>
              <w:tc>
                <w:tcPr>
                  <w:tcW w:w="3584" w:type="dxa"/>
                  <w:tcBorders>
                    <w:top w:val="single" w:sz="24"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vAlign w:val="center"/>
                  <w:hideMark/>
                </w:tcPr>
                <w:p w:rsidR="001E2C65" w:rsidRPr="001E2C65" w:rsidRDefault="001E2C65" w:rsidP="001E2C65">
                  <w:pPr>
                    <w:spacing w:after="0" w:line="240" w:lineRule="auto"/>
                    <w:rPr>
                      <w:rFonts w:eastAsia="MS Mincho" w:cs="Times New Roman"/>
                      <w:noProof/>
                      <w:sz w:val="18"/>
                      <w:szCs w:val="32"/>
                    </w:rPr>
                  </w:pPr>
                  <w:r w:rsidRPr="001E2C65">
                    <w:rPr>
                      <w:rFonts w:eastAsia="MS Mincho" w:cs="Times New Roman"/>
                      <w:noProof/>
                      <w:sz w:val="18"/>
                      <w:szCs w:val="32"/>
                    </w:rPr>
                    <w:t xml:space="preserve">Error if the CTO code is not TO, TT, TM, GO </w:t>
                  </w:r>
                  <w:r>
                    <w:rPr>
                      <w:rFonts w:eastAsia="MS Mincho" w:cs="Times New Roman"/>
                      <w:noProof/>
                      <w:sz w:val="18"/>
                      <w:szCs w:val="32"/>
                    </w:rPr>
                    <w:t>or if blank</w:t>
                  </w:r>
                </w:p>
              </w:tc>
            </w:tr>
            <w:tr w:rsidR="001E2C65" w:rsidRPr="001E2C65" w:rsidTr="009C2D68">
              <w:trPr>
                <w:trHeight w:val="103"/>
              </w:trPr>
              <w:tc>
                <w:tcPr>
                  <w:tcW w:w="1159" w:type="dxa"/>
                  <w:vMerge/>
                  <w:tcBorders>
                    <w:top w:val="single" w:sz="24" w:space="0" w:color="FFFFFF"/>
                    <w:left w:val="single" w:sz="8" w:space="0" w:color="FFFFFF"/>
                    <w:bottom w:val="single" w:sz="8" w:space="0" w:color="FFFFFF"/>
                    <w:right w:val="single" w:sz="8" w:space="0" w:color="FFFFFF"/>
                  </w:tcBorders>
                  <w:vAlign w:val="center"/>
                  <w:hideMark/>
                </w:tcPr>
                <w:p w:rsidR="001E2C65" w:rsidRPr="001E2C65" w:rsidRDefault="001E2C65" w:rsidP="009C2D68">
                  <w:pPr>
                    <w:spacing w:after="0" w:line="240" w:lineRule="auto"/>
                    <w:rPr>
                      <w:rFonts w:eastAsia="MS Mincho" w:cs="Times New Roman"/>
                      <w:noProof/>
                      <w:sz w:val="18"/>
                      <w:szCs w:val="32"/>
                    </w:rPr>
                  </w:pPr>
                </w:p>
              </w:tc>
              <w:tc>
                <w:tcPr>
                  <w:tcW w:w="1154" w:type="dxa"/>
                  <w:vMerge w:val="restart"/>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vAlign w:val="center"/>
                  <w:hideMark/>
                </w:tcPr>
                <w:p w:rsidR="001E2C65" w:rsidRPr="0019289E" w:rsidRDefault="001E2C65" w:rsidP="009C2D68">
                  <w:pPr>
                    <w:spacing w:after="0" w:line="240" w:lineRule="auto"/>
                    <w:rPr>
                      <w:rFonts w:eastAsia="MS Mincho" w:cs="Times New Roman"/>
                      <w:noProof/>
                      <w:sz w:val="18"/>
                      <w:szCs w:val="32"/>
                      <w:lang w:val="fr-FR"/>
                    </w:rPr>
                  </w:pPr>
                  <w:r>
                    <w:rPr>
                      <w:rFonts w:eastAsia="MS Mincho" w:cs="Times New Roman"/>
                      <w:noProof/>
                      <w:sz w:val="18"/>
                      <w:szCs w:val="32"/>
                      <w:lang w:val="fr-FR"/>
                    </w:rPr>
                    <w:t>Yes / No</w:t>
                  </w:r>
                </w:p>
              </w:tc>
              <w:tc>
                <w:tcPr>
                  <w:tcW w:w="648" w:type="dxa"/>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vAlign w:val="center"/>
                  <w:hideMark/>
                </w:tcPr>
                <w:p w:rsidR="001E2C65" w:rsidRPr="0019289E" w:rsidRDefault="001E2C65" w:rsidP="009C2D68">
                  <w:pPr>
                    <w:spacing w:after="0" w:line="240" w:lineRule="auto"/>
                    <w:rPr>
                      <w:rFonts w:eastAsia="MS Mincho" w:cs="Times New Roman"/>
                      <w:noProof/>
                      <w:sz w:val="18"/>
                      <w:szCs w:val="32"/>
                      <w:lang w:val="fr-FR"/>
                    </w:rPr>
                  </w:pPr>
                  <w:r w:rsidRPr="0019289E">
                    <w:rPr>
                      <w:rFonts w:eastAsia="MS Mincho" w:cs="Times New Roman"/>
                      <w:noProof/>
                      <w:sz w:val="18"/>
                      <w:szCs w:val="32"/>
                      <w:lang w:val="fr-FR"/>
                    </w:rPr>
                    <w:t>010</w:t>
                  </w:r>
                </w:p>
              </w:tc>
              <w:tc>
                <w:tcPr>
                  <w:tcW w:w="716" w:type="dxa"/>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vAlign w:val="center"/>
                  <w:hideMark/>
                </w:tcPr>
                <w:p w:rsidR="001E2C65" w:rsidRPr="0019289E" w:rsidRDefault="001E2C65" w:rsidP="009C2D68">
                  <w:pPr>
                    <w:spacing w:after="0" w:line="240" w:lineRule="auto"/>
                    <w:rPr>
                      <w:rFonts w:eastAsia="MS Mincho" w:cs="Times New Roman"/>
                      <w:noProof/>
                      <w:sz w:val="18"/>
                      <w:szCs w:val="32"/>
                      <w:lang w:val="fr-FR"/>
                    </w:rPr>
                  </w:pPr>
                  <w:r w:rsidRPr="0019289E">
                    <w:rPr>
                      <w:rFonts w:eastAsia="MS Mincho" w:cs="Times New Roman"/>
                      <w:noProof/>
                      <w:sz w:val="18"/>
                      <w:szCs w:val="32"/>
                      <w:lang w:val="fr-FR"/>
                    </w:rPr>
                    <w:t>001</w:t>
                  </w:r>
                </w:p>
              </w:tc>
              <w:tc>
                <w:tcPr>
                  <w:tcW w:w="3584" w:type="dxa"/>
                  <w:vMerge w:val="restart"/>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vAlign w:val="center"/>
                  <w:hideMark/>
                </w:tcPr>
                <w:p w:rsidR="001E2C65" w:rsidRPr="001E2C65" w:rsidRDefault="001E2C65" w:rsidP="001E2C65">
                  <w:pPr>
                    <w:spacing w:after="0" w:line="240" w:lineRule="auto"/>
                    <w:rPr>
                      <w:rFonts w:eastAsia="MS Mincho" w:cs="Times New Roman"/>
                      <w:noProof/>
                      <w:sz w:val="18"/>
                      <w:szCs w:val="32"/>
                    </w:rPr>
                  </w:pPr>
                  <w:r w:rsidRPr="001E2C65">
                    <w:rPr>
                      <w:rFonts w:eastAsia="MS Mincho" w:cs="Times New Roman"/>
                      <w:noProof/>
                      <w:sz w:val="18"/>
                      <w:szCs w:val="32"/>
                    </w:rPr>
                    <w:t xml:space="preserve">Error if the CTO code is not MO, BO, GO </w:t>
                  </w:r>
                  <w:r>
                    <w:rPr>
                      <w:rFonts w:eastAsia="MS Mincho" w:cs="Times New Roman"/>
                      <w:noProof/>
                      <w:sz w:val="18"/>
                      <w:szCs w:val="32"/>
                    </w:rPr>
                    <w:t>or if at blank</w:t>
                  </w:r>
                </w:p>
              </w:tc>
            </w:tr>
            <w:tr w:rsidR="001E2C65" w:rsidRPr="0019289E" w:rsidTr="009C2D68">
              <w:trPr>
                <w:trHeight w:val="20"/>
              </w:trPr>
              <w:tc>
                <w:tcPr>
                  <w:tcW w:w="1159" w:type="dxa"/>
                  <w:vMerge/>
                  <w:tcBorders>
                    <w:top w:val="single" w:sz="24" w:space="0" w:color="FFFFFF"/>
                    <w:left w:val="single" w:sz="8" w:space="0" w:color="FFFFFF"/>
                    <w:bottom w:val="single" w:sz="8" w:space="0" w:color="FFFFFF"/>
                    <w:right w:val="single" w:sz="8" w:space="0" w:color="FFFFFF"/>
                  </w:tcBorders>
                  <w:vAlign w:val="center"/>
                  <w:hideMark/>
                </w:tcPr>
                <w:p w:rsidR="001E2C65" w:rsidRPr="001E2C65" w:rsidRDefault="001E2C65" w:rsidP="009C2D68">
                  <w:pPr>
                    <w:spacing w:after="0" w:line="240" w:lineRule="auto"/>
                    <w:rPr>
                      <w:rFonts w:eastAsia="MS Mincho" w:cs="Times New Roman"/>
                      <w:noProof/>
                      <w:sz w:val="18"/>
                      <w:szCs w:val="32"/>
                    </w:rPr>
                  </w:pPr>
                </w:p>
              </w:tc>
              <w:tc>
                <w:tcPr>
                  <w:tcW w:w="1154" w:type="dxa"/>
                  <w:vMerge/>
                  <w:tcBorders>
                    <w:top w:val="single" w:sz="8" w:space="0" w:color="FFFFFF"/>
                    <w:left w:val="single" w:sz="8" w:space="0" w:color="FFFFFF"/>
                    <w:bottom w:val="single" w:sz="8" w:space="0" w:color="FFFFFF"/>
                    <w:right w:val="single" w:sz="8" w:space="0" w:color="FFFFFF"/>
                  </w:tcBorders>
                  <w:vAlign w:val="center"/>
                  <w:hideMark/>
                </w:tcPr>
                <w:p w:rsidR="001E2C65" w:rsidRPr="001E2C65" w:rsidRDefault="001E2C65" w:rsidP="009C2D68">
                  <w:pPr>
                    <w:spacing w:after="0" w:line="240" w:lineRule="auto"/>
                    <w:rPr>
                      <w:rFonts w:eastAsia="MS Mincho" w:cs="Times New Roman"/>
                      <w:noProof/>
                      <w:sz w:val="18"/>
                      <w:szCs w:val="32"/>
                    </w:rPr>
                  </w:pPr>
                </w:p>
              </w:tc>
              <w:tc>
                <w:tcPr>
                  <w:tcW w:w="648" w:type="dxa"/>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vAlign w:val="center"/>
                  <w:hideMark/>
                </w:tcPr>
                <w:p w:rsidR="001E2C65" w:rsidRPr="0019289E" w:rsidRDefault="001E2C65" w:rsidP="009C2D68">
                  <w:pPr>
                    <w:spacing w:after="0" w:line="240" w:lineRule="auto"/>
                    <w:rPr>
                      <w:rFonts w:eastAsia="MS Mincho" w:cs="Times New Roman"/>
                      <w:noProof/>
                      <w:sz w:val="18"/>
                      <w:szCs w:val="32"/>
                      <w:lang w:val="fr-FR"/>
                    </w:rPr>
                  </w:pPr>
                  <w:r w:rsidRPr="0019289E">
                    <w:rPr>
                      <w:rFonts w:eastAsia="MS Mincho" w:cs="Times New Roman"/>
                      <w:noProof/>
                      <w:sz w:val="18"/>
                      <w:szCs w:val="32"/>
                      <w:lang w:val="fr-FR"/>
                    </w:rPr>
                    <w:t>001</w:t>
                  </w:r>
                </w:p>
              </w:tc>
              <w:tc>
                <w:tcPr>
                  <w:tcW w:w="716" w:type="dxa"/>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vAlign w:val="center"/>
                  <w:hideMark/>
                </w:tcPr>
                <w:p w:rsidR="001E2C65" w:rsidRPr="0019289E" w:rsidRDefault="001E2C65" w:rsidP="009C2D68">
                  <w:pPr>
                    <w:spacing w:after="0" w:line="240" w:lineRule="auto"/>
                    <w:rPr>
                      <w:rFonts w:eastAsia="MS Mincho" w:cs="Times New Roman"/>
                      <w:noProof/>
                      <w:sz w:val="18"/>
                      <w:szCs w:val="32"/>
                      <w:lang w:val="fr-FR"/>
                    </w:rPr>
                  </w:pPr>
                  <w:r w:rsidRPr="0019289E">
                    <w:rPr>
                      <w:rFonts w:eastAsia="MS Mincho" w:cs="Times New Roman"/>
                      <w:noProof/>
                      <w:sz w:val="18"/>
                      <w:szCs w:val="32"/>
                      <w:lang w:val="fr-FR"/>
                    </w:rPr>
                    <w:t>010</w:t>
                  </w:r>
                </w:p>
              </w:tc>
              <w:tc>
                <w:tcPr>
                  <w:tcW w:w="3584" w:type="dxa"/>
                  <w:vMerge/>
                  <w:tcBorders>
                    <w:top w:val="single" w:sz="8" w:space="0" w:color="FFFFFF"/>
                    <w:left w:val="single" w:sz="8" w:space="0" w:color="FFFFFF"/>
                    <w:bottom w:val="single" w:sz="8" w:space="0" w:color="FFFFFF"/>
                    <w:right w:val="single" w:sz="8" w:space="0" w:color="FFFFFF"/>
                  </w:tcBorders>
                  <w:vAlign w:val="center"/>
                  <w:hideMark/>
                </w:tcPr>
                <w:p w:rsidR="001E2C65" w:rsidRPr="0019289E" w:rsidRDefault="001E2C65" w:rsidP="009C2D68">
                  <w:pPr>
                    <w:spacing w:after="0" w:line="240" w:lineRule="auto"/>
                    <w:rPr>
                      <w:rFonts w:eastAsia="MS Mincho" w:cs="Times New Roman"/>
                      <w:noProof/>
                      <w:sz w:val="18"/>
                      <w:szCs w:val="32"/>
                      <w:lang w:val="fr-FR"/>
                    </w:rPr>
                  </w:pPr>
                </w:p>
              </w:tc>
            </w:tr>
            <w:tr w:rsidR="001E2C65" w:rsidRPr="003B5E6A" w:rsidTr="009C2D68">
              <w:trPr>
                <w:trHeight w:val="20"/>
              </w:trPr>
              <w:tc>
                <w:tcPr>
                  <w:tcW w:w="1159" w:type="dxa"/>
                  <w:vMerge w:val="restart"/>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vAlign w:val="center"/>
                  <w:hideMark/>
                </w:tcPr>
                <w:p w:rsidR="001E2C65" w:rsidRPr="0019289E" w:rsidRDefault="001E2C65" w:rsidP="009C2D68">
                  <w:pPr>
                    <w:spacing w:after="0" w:line="240" w:lineRule="auto"/>
                    <w:rPr>
                      <w:rFonts w:eastAsia="MS Mincho" w:cs="Times New Roman"/>
                      <w:noProof/>
                      <w:sz w:val="18"/>
                      <w:szCs w:val="32"/>
                      <w:lang w:val="fr-FR"/>
                    </w:rPr>
                  </w:pPr>
                  <w:r w:rsidRPr="0019289E">
                    <w:rPr>
                      <w:rFonts w:eastAsia="MS Mincho" w:cs="Times New Roman"/>
                      <w:noProof/>
                      <w:sz w:val="18"/>
                      <w:szCs w:val="32"/>
                      <w:lang w:val="fr-FR"/>
                    </w:rPr>
                    <w:t>DVP</w:t>
                  </w:r>
                </w:p>
              </w:tc>
              <w:tc>
                <w:tcPr>
                  <w:tcW w:w="1154" w:type="dxa"/>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vAlign w:val="center"/>
                  <w:hideMark/>
                </w:tcPr>
                <w:p w:rsidR="001E2C65" w:rsidRPr="0019289E" w:rsidRDefault="001E2C65" w:rsidP="009C2D68">
                  <w:pPr>
                    <w:spacing w:after="0" w:line="240" w:lineRule="auto"/>
                    <w:rPr>
                      <w:rFonts w:eastAsia="MS Mincho" w:cs="Times New Roman"/>
                      <w:noProof/>
                      <w:sz w:val="18"/>
                      <w:szCs w:val="32"/>
                      <w:lang w:val="fr-FR"/>
                    </w:rPr>
                  </w:pPr>
                  <w:r>
                    <w:rPr>
                      <w:rFonts w:eastAsia="MS Mincho" w:cs="Times New Roman"/>
                      <w:noProof/>
                      <w:sz w:val="18"/>
                      <w:szCs w:val="32"/>
                      <w:lang w:val="fr-FR"/>
                    </w:rPr>
                    <w:t>Yes</w:t>
                  </w:r>
                </w:p>
              </w:tc>
              <w:tc>
                <w:tcPr>
                  <w:tcW w:w="648" w:type="dxa"/>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vAlign w:val="center"/>
                  <w:hideMark/>
                </w:tcPr>
                <w:p w:rsidR="001E2C65" w:rsidRPr="0019289E" w:rsidRDefault="001E2C65" w:rsidP="009C2D68">
                  <w:pPr>
                    <w:spacing w:after="0" w:line="240" w:lineRule="auto"/>
                    <w:rPr>
                      <w:rFonts w:eastAsia="MS Mincho" w:cs="Times New Roman"/>
                      <w:noProof/>
                      <w:sz w:val="18"/>
                      <w:szCs w:val="32"/>
                      <w:lang w:val="fr-FR"/>
                    </w:rPr>
                  </w:pPr>
                  <w:r w:rsidRPr="0019289E">
                    <w:rPr>
                      <w:rFonts w:eastAsia="MS Mincho" w:cs="Times New Roman"/>
                      <w:noProof/>
                      <w:sz w:val="18"/>
                      <w:szCs w:val="32"/>
                      <w:lang w:val="fr-FR"/>
                    </w:rPr>
                    <w:t>001</w:t>
                  </w:r>
                </w:p>
              </w:tc>
              <w:tc>
                <w:tcPr>
                  <w:tcW w:w="716" w:type="dxa"/>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vAlign w:val="center"/>
                  <w:hideMark/>
                </w:tcPr>
                <w:p w:rsidR="001E2C65" w:rsidRPr="0019289E" w:rsidRDefault="001E2C65" w:rsidP="009C2D68">
                  <w:pPr>
                    <w:spacing w:after="0" w:line="240" w:lineRule="auto"/>
                    <w:rPr>
                      <w:rFonts w:eastAsia="MS Mincho" w:cs="Times New Roman"/>
                      <w:noProof/>
                      <w:sz w:val="18"/>
                      <w:szCs w:val="32"/>
                      <w:lang w:val="fr-FR"/>
                    </w:rPr>
                  </w:pPr>
                  <w:r w:rsidRPr="0019289E">
                    <w:rPr>
                      <w:rFonts w:eastAsia="MS Mincho" w:cs="Times New Roman"/>
                      <w:noProof/>
                      <w:sz w:val="18"/>
                      <w:szCs w:val="32"/>
                      <w:lang w:val="fr-FR"/>
                    </w:rPr>
                    <w:t>001</w:t>
                  </w:r>
                </w:p>
              </w:tc>
              <w:tc>
                <w:tcPr>
                  <w:tcW w:w="3584" w:type="dxa"/>
                  <w:vMerge w:val="restart"/>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vAlign w:val="center"/>
                  <w:hideMark/>
                </w:tcPr>
                <w:p w:rsidR="001E2C65" w:rsidRPr="003B5E6A" w:rsidRDefault="001E2C65" w:rsidP="009C2D68">
                  <w:pPr>
                    <w:spacing w:after="0" w:line="240" w:lineRule="auto"/>
                    <w:rPr>
                      <w:rFonts w:eastAsia="MS Mincho" w:cs="Times New Roman"/>
                      <w:noProof/>
                      <w:sz w:val="18"/>
                      <w:szCs w:val="32"/>
                    </w:rPr>
                  </w:pPr>
                  <w:r w:rsidRPr="003B5E6A">
                    <w:rPr>
                      <w:rFonts w:eastAsia="MS Mincho" w:cs="Times New Roman"/>
                      <w:noProof/>
                      <w:sz w:val="18"/>
                      <w:szCs w:val="32"/>
                    </w:rPr>
                    <w:t xml:space="preserve">Error if the CTO code is not GO or if </w:t>
                  </w:r>
                  <w:r w:rsidR="003B5E6A" w:rsidRPr="003B5E6A">
                    <w:rPr>
                      <w:rFonts w:eastAsia="MS Mincho" w:cs="Times New Roman"/>
                      <w:noProof/>
                      <w:sz w:val="18"/>
                      <w:szCs w:val="32"/>
                    </w:rPr>
                    <w:t xml:space="preserve">not </w:t>
                  </w:r>
                  <w:r w:rsidRPr="003B5E6A">
                    <w:rPr>
                      <w:rFonts w:eastAsia="MS Mincho" w:cs="Times New Roman"/>
                      <w:noProof/>
                      <w:sz w:val="18"/>
                      <w:szCs w:val="32"/>
                    </w:rPr>
                    <w:t xml:space="preserve">at blank </w:t>
                  </w:r>
                </w:p>
                <w:p w:rsidR="001E2C65" w:rsidRPr="003B5E6A" w:rsidRDefault="003B5E6A" w:rsidP="003B5E6A">
                  <w:pPr>
                    <w:spacing w:after="0" w:line="240" w:lineRule="auto"/>
                    <w:rPr>
                      <w:rFonts w:eastAsia="MS Mincho" w:cs="Times New Roman"/>
                      <w:noProof/>
                      <w:sz w:val="18"/>
                      <w:szCs w:val="32"/>
                    </w:rPr>
                  </w:pPr>
                  <w:r w:rsidRPr="003B5E6A">
                    <w:rPr>
                      <w:rFonts w:eastAsia="MS Mincho" w:cs="Times New Roman"/>
                      <w:noProof/>
                      <w:sz w:val="18"/>
                      <w:szCs w:val="32"/>
                    </w:rPr>
                    <w:t xml:space="preserve">Blank is considered equal to GO </w:t>
                  </w:r>
                  <w:r>
                    <w:rPr>
                      <w:rFonts w:eastAsia="MS Mincho" w:cs="Times New Roman"/>
                      <w:noProof/>
                      <w:sz w:val="18"/>
                      <w:szCs w:val="32"/>
                    </w:rPr>
                    <w:t xml:space="preserve">for </w:t>
                  </w:r>
                  <w:r w:rsidR="001E2C65" w:rsidRPr="003B5E6A">
                    <w:rPr>
                      <w:rFonts w:eastAsia="MS Mincho" w:cs="Times New Roman"/>
                      <w:noProof/>
                      <w:sz w:val="18"/>
                      <w:szCs w:val="32"/>
                    </w:rPr>
                    <w:t>Euroclear</w:t>
                  </w:r>
                </w:p>
              </w:tc>
            </w:tr>
            <w:tr w:rsidR="001E2C65" w:rsidRPr="003B5E6A" w:rsidTr="009C2D68">
              <w:trPr>
                <w:trHeight w:val="20"/>
              </w:trPr>
              <w:tc>
                <w:tcPr>
                  <w:tcW w:w="1159" w:type="dxa"/>
                  <w:vMerge/>
                  <w:tcBorders>
                    <w:top w:val="single" w:sz="8" w:space="0" w:color="FFFFFF"/>
                    <w:left w:val="single" w:sz="8" w:space="0" w:color="FFFFFF"/>
                    <w:bottom w:val="single" w:sz="8" w:space="0" w:color="FFFFFF"/>
                    <w:right w:val="single" w:sz="8" w:space="0" w:color="FFFFFF"/>
                  </w:tcBorders>
                  <w:vAlign w:val="center"/>
                  <w:hideMark/>
                </w:tcPr>
                <w:p w:rsidR="001E2C65" w:rsidRPr="003B5E6A" w:rsidRDefault="001E2C65" w:rsidP="009C2D68">
                  <w:pPr>
                    <w:spacing w:after="0" w:line="240" w:lineRule="auto"/>
                    <w:rPr>
                      <w:rFonts w:eastAsia="MS Mincho" w:cs="Times New Roman"/>
                      <w:noProof/>
                      <w:sz w:val="18"/>
                      <w:szCs w:val="32"/>
                    </w:rPr>
                  </w:pPr>
                </w:p>
              </w:tc>
              <w:tc>
                <w:tcPr>
                  <w:tcW w:w="1154" w:type="dxa"/>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vAlign w:val="center"/>
                  <w:hideMark/>
                </w:tcPr>
                <w:p w:rsidR="001E2C65" w:rsidRPr="003B5E6A" w:rsidRDefault="001E2C65" w:rsidP="009C2D68">
                  <w:pPr>
                    <w:spacing w:after="0" w:line="240" w:lineRule="auto"/>
                    <w:rPr>
                      <w:rFonts w:eastAsia="MS Mincho" w:cs="Times New Roman"/>
                      <w:noProof/>
                      <w:sz w:val="18"/>
                      <w:szCs w:val="32"/>
                    </w:rPr>
                  </w:pPr>
                  <w:r w:rsidRPr="003B5E6A">
                    <w:rPr>
                      <w:rFonts w:eastAsia="MS Mincho" w:cs="Times New Roman"/>
                      <w:noProof/>
                      <w:sz w:val="18"/>
                      <w:szCs w:val="32"/>
                    </w:rPr>
                    <w:t>Yes / No</w:t>
                  </w:r>
                </w:p>
              </w:tc>
              <w:tc>
                <w:tcPr>
                  <w:tcW w:w="648" w:type="dxa"/>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vAlign w:val="center"/>
                  <w:hideMark/>
                </w:tcPr>
                <w:p w:rsidR="001E2C65" w:rsidRPr="003B5E6A" w:rsidRDefault="001E2C65" w:rsidP="009C2D68">
                  <w:pPr>
                    <w:spacing w:after="0" w:line="240" w:lineRule="auto"/>
                    <w:rPr>
                      <w:rFonts w:eastAsia="MS Mincho" w:cs="Times New Roman"/>
                      <w:noProof/>
                      <w:sz w:val="18"/>
                      <w:szCs w:val="32"/>
                    </w:rPr>
                  </w:pPr>
                  <w:r w:rsidRPr="003B5E6A">
                    <w:rPr>
                      <w:rFonts w:eastAsia="MS Mincho" w:cs="Times New Roman"/>
                      <w:noProof/>
                      <w:sz w:val="18"/>
                      <w:szCs w:val="32"/>
                    </w:rPr>
                    <w:t>010</w:t>
                  </w:r>
                </w:p>
              </w:tc>
              <w:tc>
                <w:tcPr>
                  <w:tcW w:w="716" w:type="dxa"/>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vAlign w:val="center"/>
                  <w:hideMark/>
                </w:tcPr>
                <w:p w:rsidR="001E2C65" w:rsidRPr="003B5E6A" w:rsidRDefault="001E2C65" w:rsidP="009C2D68">
                  <w:pPr>
                    <w:spacing w:after="0" w:line="240" w:lineRule="auto"/>
                    <w:rPr>
                      <w:rFonts w:eastAsia="MS Mincho" w:cs="Times New Roman"/>
                      <w:noProof/>
                      <w:sz w:val="18"/>
                      <w:szCs w:val="32"/>
                    </w:rPr>
                  </w:pPr>
                  <w:r w:rsidRPr="003B5E6A">
                    <w:rPr>
                      <w:rFonts w:eastAsia="MS Mincho" w:cs="Times New Roman"/>
                      <w:noProof/>
                      <w:sz w:val="18"/>
                      <w:szCs w:val="32"/>
                    </w:rPr>
                    <w:t>001</w:t>
                  </w:r>
                </w:p>
              </w:tc>
              <w:tc>
                <w:tcPr>
                  <w:tcW w:w="3584" w:type="dxa"/>
                  <w:vMerge/>
                  <w:tcBorders>
                    <w:top w:val="single" w:sz="8" w:space="0" w:color="FFFFFF"/>
                    <w:left w:val="single" w:sz="8" w:space="0" w:color="FFFFFF"/>
                    <w:bottom w:val="single" w:sz="8" w:space="0" w:color="FFFFFF"/>
                    <w:right w:val="single" w:sz="8" w:space="0" w:color="FFFFFF"/>
                  </w:tcBorders>
                  <w:vAlign w:val="center"/>
                  <w:hideMark/>
                </w:tcPr>
                <w:p w:rsidR="001E2C65" w:rsidRPr="003B5E6A" w:rsidRDefault="001E2C65" w:rsidP="009C2D68">
                  <w:pPr>
                    <w:spacing w:after="0" w:line="240" w:lineRule="auto"/>
                    <w:jc w:val="both"/>
                    <w:rPr>
                      <w:rFonts w:eastAsia="MS Mincho" w:cs="Times New Roman"/>
                      <w:noProof/>
                      <w:sz w:val="18"/>
                      <w:szCs w:val="32"/>
                    </w:rPr>
                  </w:pPr>
                </w:p>
              </w:tc>
            </w:tr>
            <w:tr w:rsidR="001E2C65" w:rsidRPr="003B5E6A" w:rsidTr="009C2D68">
              <w:trPr>
                <w:trHeight w:val="20"/>
              </w:trPr>
              <w:tc>
                <w:tcPr>
                  <w:tcW w:w="1159" w:type="dxa"/>
                  <w:vMerge/>
                  <w:tcBorders>
                    <w:top w:val="single" w:sz="8" w:space="0" w:color="FFFFFF"/>
                    <w:left w:val="single" w:sz="8" w:space="0" w:color="FFFFFF"/>
                    <w:bottom w:val="single" w:sz="8" w:space="0" w:color="FFFFFF"/>
                    <w:right w:val="single" w:sz="8" w:space="0" w:color="FFFFFF"/>
                  </w:tcBorders>
                  <w:vAlign w:val="center"/>
                  <w:hideMark/>
                </w:tcPr>
                <w:p w:rsidR="001E2C65" w:rsidRPr="003B5E6A" w:rsidRDefault="001E2C65" w:rsidP="009C2D68">
                  <w:pPr>
                    <w:spacing w:after="0" w:line="240" w:lineRule="auto"/>
                    <w:rPr>
                      <w:rFonts w:eastAsia="MS Mincho" w:cs="Times New Roman"/>
                      <w:noProof/>
                      <w:sz w:val="18"/>
                      <w:szCs w:val="32"/>
                    </w:rPr>
                  </w:pPr>
                </w:p>
              </w:tc>
              <w:tc>
                <w:tcPr>
                  <w:tcW w:w="1154" w:type="dxa"/>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vAlign w:val="center"/>
                  <w:hideMark/>
                </w:tcPr>
                <w:p w:rsidR="001E2C65" w:rsidRPr="003B5E6A" w:rsidRDefault="001E2C65" w:rsidP="009C2D68">
                  <w:pPr>
                    <w:spacing w:after="0" w:line="240" w:lineRule="auto"/>
                    <w:rPr>
                      <w:rFonts w:eastAsia="MS Mincho" w:cs="Times New Roman"/>
                      <w:noProof/>
                      <w:sz w:val="18"/>
                      <w:szCs w:val="32"/>
                    </w:rPr>
                  </w:pPr>
                  <w:r w:rsidRPr="003B5E6A">
                    <w:rPr>
                      <w:rFonts w:eastAsia="MS Mincho" w:cs="Times New Roman"/>
                      <w:noProof/>
                      <w:sz w:val="18"/>
                      <w:szCs w:val="32"/>
                    </w:rPr>
                    <w:t xml:space="preserve">Yes / No </w:t>
                  </w:r>
                </w:p>
              </w:tc>
              <w:tc>
                <w:tcPr>
                  <w:tcW w:w="648" w:type="dxa"/>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vAlign w:val="center"/>
                  <w:hideMark/>
                </w:tcPr>
                <w:p w:rsidR="001E2C65" w:rsidRPr="003B5E6A" w:rsidRDefault="001E2C65" w:rsidP="009C2D68">
                  <w:pPr>
                    <w:spacing w:after="0" w:line="240" w:lineRule="auto"/>
                    <w:rPr>
                      <w:rFonts w:eastAsia="MS Mincho" w:cs="Times New Roman"/>
                      <w:noProof/>
                      <w:sz w:val="18"/>
                      <w:szCs w:val="32"/>
                    </w:rPr>
                  </w:pPr>
                  <w:r w:rsidRPr="003B5E6A">
                    <w:rPr>
                      <w:rFonts w:eastAsia="MS Mincho" w:cs="Times New Roman"/>
                      <w:noProof/>
                      <w:sz w:val="18"/>
                      <w:szCs w:val="32"/>
                    </w:rPr>
                    <w:t>001</w:t>
                  </w:r>
                </w:p>
              </w:tc>
              <w:tc>
                <w:tcPr>
                  <w:tcW w:w="716" w:type="dxa"/>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vAlign w:val="center"/>
                  <w:hideMark/>
                </w:tcPr>
                <w:p w:rsidR="001E2C65" w:rsidRPr="003B5E6A" w:rsidRDefault="001E2C65" w:rsidP="009C2D68">
                  <w:pPr>
                    <w:spacing w:after="0" w:line="240" w:lineRule="auto"/>
                    <w:rPr>
                      <w:rFonts w:eastAsia="MS Mincho" w:cs="Times New Roman"/>
                      <w:noProof/>
                      <w:sz w:val="18"/>
                      <w:szCs w:val="32"/>
                    </w:rPr>
                  </w:pPr>
                  <w:r w:rsidRPr="003B5E6A">
                    <w:rPr>
                      <w:rFonts w:eastAsia="MS Mincho" w:cs="Times New Roman"/>
                      <w:noProof/>
                      <w:sz w:val="18"/>
                      <w:szCs w:val="32"/>
                    </w:rPr>
                    <w:t>010</w:t>
                  </w:r>
                </w:p>
              </w:tc>
              <w:tc>
                <w:tcPr>
                  <w:tcW w:w="3584" w:type="dxa"/>
                  <w:vMerge/>
                  <w:tcBorders>
                    <w:top w:val="single" w:sz="8" w:space="0" w:color="FFFFFF"/>
                    <w:left w:val="single" w:sz="8" w:space="0" w:color="FFFFFF"/>
                    <w:bottom w:val="single" w:sz="8" w:space="0" w:color="FFFFFF"/>
                    <w:right w:val="single" w:sz="8" w:space="0" w:color="FFFFFF"/>
                  </w:tcBorders>
                  <w:vAlign w:val="center"/>
                  <w:hideMark/>
                </w:tcPr>
                <w:p w:rsidR="001E2C65" w:rsidRPr="003B5E6A" w:rsidRDefault="001E2C65" w:rsidP="009C2D68">
                  <w:pPr>
                    <w:spacing w:after="0" w:line="240" w:lineRule="auto"/>
                    <w:jc w:val="both"/>
                    <w:rPr>
                      <w:rFonts w:eastAsia="MS Mincho" w:cs="Times New Roman"/>
                      <w:noProof/>
                      <w:sz w:val="18"/>
                      <w:szCs w:val="32"/>
                    </w:rPr>
                  </w:pPr>
                </w:p>
              </w:tc>
            </w:tr>
          </w:tbl>
          <w:p w:rsidR="001333B1" w:rsidRDefault="003B5E6A" w:rsidP="00902C5C">
            <w:pPr>
              <w:spacing w:before="120"/>
              <w:jc w:val="both"/>
              <w:rPr>
                <w:rFonts w:eastAsia="MS Mincho" w:cs="Times New Roman"/>
                <w:noProof/>
                <w:szCs w:val="32"/>
              </w:rPr>
            </w:pPr>
            <w:r w:rsidRPr="003B5E6A">
              <w:rPr>
                <w:rFonts w:eastAsia="MS Mincho" w:cs="Times New Roman"/>
                <w:b/>
                <w:i/>
                <w:noProof/>
                <w:szCs w:val="32"/>
                <w:u w:val="single"/>
              </w:rPr>
              <w:t>T</w:t>
            </w:r>
            <w:r>
              <w:rPr>
                <w:rFonts w:eastAsia="MS Mincho" w:cs="Times New Roman"/>
                <w:b/>
                <w:i/>
                <w:noProof/>
                <w:szCs w:val="32"/>
                <w:u w:val="single"/>
              </w:rPr>
              <w:t>o</w:t>
            </w:r>
            <w:r w:rsidRPr="003B5E6A">
              <w:rPr>
                <w:rFonts w:eastAsia="MS Mincho" w:cs="Times New Roman"/>
                <w:b/>
                <w:i/>
                <w:noProof/>
                <w:szCs w:val="32"/>
                <w:u w:val="single"/>
              </w:rPr>
              <w:t xml:space="preserve"> be noted</w:t>
            </w:r>
            <w:r>
              <w:rPr>
                <w:rFonts w:eastAsia="MS Mincho" w:cs="Times New Roman"/>
                <w:noProof/>
                <w:szCs w:val="32"/>
              </w:rPr>
              <w:t>: in the case of ‘Free of Payment Without Matching’ (‘already matched’), the delivering party will be the one inputting the CTO code, that will be controlled by Euroclear.</w:t>
            </w:r>
          </w:p>
          <w:p w:rsidR="003B5E6A" w:rsidRDefault="003B5E6A" w:rsidP="00902C5C">
            <w:pPr>
              <w:spacing w:before="120"/>
              <w:jc w:val="both"/>
              <w:rPr>
                <w:rFonts w:eastAsia="MS Mincho" w:cs="Times New Roman"/>
                <w:noProof/>
                <w:szCs w:val="32"/>
              </w:rPr>
            </w:pPr>
          </w:p>
          <w:p w:rsidR="003B5E6A" w:rsidRPr="00902C5C" w:rsidRDefault="003B5E6A" w:rsidP="003B5E6A">
            <w:pPr>
              <w:pStyle w:val="ListParagraph"/>
              <w:numPr>
                <w:ilvl w:val="0"/>
                <w:numId w:val="11"/>
              </w:numPr>
              <w:spacing w:before="120"/>
              <w:ind w:left="317" w:hanging="241"/>
              <w:jc w:val="both"/>
              <w:rPr>
                <w:rFonts w:eastAsia="MS Mincho" w:cs="Times New Roman"/>
                <w:b/>
                <w:noProof/>
                <w:szCs w:val="32"/>
              </w:rPr>
            </w:pPr>
            <w:r>
              <w:rPr>
                <w:rFonts w:eastAsia="MS Mincho" w:cs="Times New Roman"/>
                <w:b/>
                <w:noProof/>
                <w:szCs w:val="32"/>
              </w:rPr>
              <w:t>Pre-settlement controls carried out by Euroclear France on instructions initiated by a DCP</w:t>
            </w:r>
          </w:p>
          <w:p w:rsidR="003B5E6A" w:rsidRDefault="003B5E6A" w:rsidP="00902C5C">
            <w:pPr>
              <w:spacing w:before="120"/>
              <w:jc w:val="both"/>
              <w:rPr>
                <w:rFonts w:eastAsia="MS Mincho" w:cs="Times New Roman"/>
                <w:noProof/>
                <w:szCs w:val="32"/>
              </w:rPr>
            </w:pPr>
            <w:r>
              <w:rPr>
                <w:rFonts w:eastAsia="MS Mincho" w:cs="Times New Roman"/>
                <w:noProof/>
                <w:szCs w:val="32"/>
              </w:rPr>
              <w:t xml:space="preserve">When the instructions are directly sent to T2S by a DCP, pre-settlement controls are not carried out by Euroclear, but by T2S. The control will be </w:t>
            </w:r>
            <w:r w:rsidR="00CA28B4">
              <w:rPr>
                <w:rFonts w:eastAsia="MS Mincho" w:cs="Times New Roman"/>
                <w:noProof/>
                <w:szCs w:val="32"/>
              </w:rPr>
              <w:t xml:space="preserve">made on compatibility of </w:t>
            </w:r>
            <w:r>
              <w:rPr>
                <w:rFonts w:eastAsia="MS Mincho" w:cs="Times New Roman"/>
                <w:noProof/>
                <w:szCs w:val="32"/>
              </w:rPr>
              <w:t>account nature</w:t>
            </w:r>
            <w:r w:rsidR="00CA28B4">
              <w:rPr>
                <w:rFonts w:eastAsia="MS Mincho" w:cs="Times New Roman"/>
                <w:noProof/>
                <w:szCs w:val="32"/>
              </w:rPr>
              <w:t>s</w:t>
            </w:r>
            <w:r>
              <w:rPr>
                <w:rFonts w:eastAsia="MS Mincho" w:cs="Times New Roman"/>
                <w:noProof/>
                <w:szCs w:val="32"/>
              </w:rPr>
              <w:t>.</w:t>
            </w:r>
          </w:p>
          <w:p w:rsidR="003B5E6A" w:rsidRDefault="003B5E6A" w:rsidP="00902C5C">
            <w:pPr>
              <w:spacing w:before="120"/>
              <w:jc w:val="both"/>
              <w:rPr>
                <w:rFonts w:eastAsia="MS Mincho" w:cs="Times New Roman"/>
                <w:noProof/>
                <w:szCs w:val="32"/>
              </w:rPr>
            </w:pPr>
            <w:r>
              <w:rPr>
                <w:rFonts w:eastAsia="MS Mincho" w:cs="Times New Roman"/>
                <w:noProof/>
                <w:szCs w:val="32"/>
              </w:rPr>
              <w:t xml:space="preserve">Nonetheless, T2S making limited controls there, </w:t>
            </w:r>
            <w:r w:rsidR="00535757">
              <w:rPr>
                <w:rFonts w:eastAsia="MS Mincho" w:cs="Times New Roman"/>
                <w:noProof/>
                <w:szCs w:val="32"/>
              </w:rPr>
              <w:t xml:space="preserve">T2S </w:t>
            </w:r>
            <w:r>
              <w:rPr>
                <w:rFonts w:eastAsia="MS Mincho" w:cs="Times New Roman"/>
                <w:noProof/>
                <w:szCs w:val="32"/>
              </w:rPr>
              <w:t xml:space="preserve">may need further </w:t>
            </w:r>
            <w:r>
              <w:rPr>
                <w:rFonts w:eastAsia="MS Mincho" w:cs="Times New Roman"/>
                <w:noProof/>
                <w:szCs w:val="32"/>
              </w:rPr>
              <w:lastRenderedPageBreak/>
              <w:t>information from the CSD to confirm the settlement of the instruction.</w:t>
            </w:r>
          </w:p>
          <w:p w:rsidR="003B5E6A" w:rsidRDefault="003B5E6A" w:rsidP="00902C5C">
            <w:pPr>
              <w:spacing w:before="120"/>
              <w:jc w:val="both"/>
              <w:rPr>
                <w:rFonts w:eastAsia="MS Mincho" w:cs="Times New Roman"/>
                <w:noProof/>
                <w:szCs w:val="32"/>
              </w:rPr>
            </w:pPr>
            <w:r>
              <w:rPr>
                <w:rFonts w:eastAsia="MS Mincho" w:cs="Times New Roman"/>
                <w:noProof/>
                <w:szCs w:val="32"/>
              </w:rPr>
              <w:t xml:space="preserve">Example: </w:t>
            </w:r>
            <w:r w:rsidR="00CA28B4">
              <w:rPr>
                <w:rFonts w:eastAsia="MS Mincho" w:cs="Times New Roman"/>
                <w:noProof/>
                <w:szCs w:val="32"/>
              </w:rPr>
              <w:t>compatibility</w:t>
            </w:r>
            <w:r>
              <w:rPr>
                <w:rFonts w:eastAsia="MS Mincho" w:cs="Times New Roman"/>
                <w:noProof/>
                <w:szCs w:val="32"/>
              </w:rPr>
              <w:t xml:space="preserve"> between </w:t>
            </w:r>
            <w:r w:rsidR="00CA28B4">
              <w:rPr>
                <w:rFonts w:eastAsia="MS Mincho" w:cs="Times New Roman"/>
                <w:noProof/>
                <w:szCs w:val="32"/>
              </w:rPr>
              <w:t>the account nature used and t</w:t>
            </w:r>
            <w:r w:rsidR="00535757">
              <w:rPr>
                <w:rFonts w:eastAsia="MS Mincho" w:cs="Times New Roman"/>
                <w:noProof/>
                <w:szCs w:val="32"/>
              </w:rPr>
              <w:t>he institution concerned. For i</w:t>
            </w:r>
            <w:r w:rsidR="00CA28B4">
              <w:rPr>
                <w:rFonts w:eastAsia="MS Mincho" w:cs="Times New Roman"/>
                <w:noProof/>
                <w:szCs w:val="32"/>
              </w:rPr>
              <w:t>n</w:t>
            </w:r>
            <w:r w:rsidR="00535757">
              <w:rPr>
                <w:rFonts w:eastAsia="MS Mincho" w:cs="Times New Roman"/>
                <w:noProof/>
                <w:szCs w:val="32"/>
              </w:rPr>
              <w:t>s</w:t>
            </w:r>
            <w:r w:rsidR="00CA28B4">
              <w:rPr>
                <w:rFonts w:eastAsia="MS Mincho" w:cs="Times New Roman"/>
                <w:noProof/>
                <w:szCs w:val="32"/>
              </w:rPr>
              <w:t xml:space="preserve">tance in the case of a credit in favor of an account </w:t>
            </w:r>
            <w:r w:rsidR="00535757">
              <w:rPr>
                <w:rFonts w:eastAsia="MS Mincho" w:cs="Times New Roman"/>
                <w:noProof/>
                <w:szCs w:val="32"/>
              </w:rPr>
              <w:t xml:space="preserve">of </w:t>
            </w:r>
            <w:r w:rsidR="00CA28B4">
              <w:rPr>
                <w:rFonts w:eastAsia="MS Mincho" w:cs="Times New Roman"/>
                <w:noProof/>
                <w:szCs w:val="32"/>
              </w:rPr>
              <w:t xml:space="preserve">account nature 9. T2S cannot check at its level that this is the account of the agent of the issuer. In this case, the related movements will be put in ‘CDS Validation Hold’ by T2S and sent back to </w:t>
            </w:r>
            <w:r w:rsidR="00535757">
              <w:rPr>
                <w:rFonts w:eastAsia="MS Mincho" w:cs="Times New Roman"/>
                <w:noProof/>
                <w:szCs w:val="32"/>
              </w:rPr>
              <w:t xml:space="preserve">ESES </w:t>
            </w:r>
            <w:r w:rsidR="00CA28B4">
              <w:rPr>
                <w:rFonts w:eastAsia="MS Mincho" w:cs="Times New Roman"/>
                <w:noProof/>
                <w:szCs w:val="32"/>
              </w:rPr>
              <w:t>who will make pre-settlement controls and potentially reject the instruction created by the DCP.</w:t>
            </w:r>
          </w:p>
          <w:p w:rsidR="00CA28B4" w:rsidRDefault="00CA28B4" w:rsidP="00902C5C">
            <w:pPr>
              <w:spacing w:before="120"/>
              <w:jc w:val="both"/>
              <w:rPr>
                <w:rFonts w:eastAsia="MS Mincho" w:cs="Times New Roman"/>
                <w:noProof/>
                <w:szCs w:val="32"/>
              </w:rPr>
            </w:pPr>
          </w:p>
          <w:p w:rsidR="00CA28B4" w:rsidRPr="00902C5C" w:rsidRDefault="00CA28B4" w:rsidP="00CA28B4">
            <w:pPr>
              <w:pStyle w:val="ListParagraph"/>
              <w:numPr>
                <w:ilvl w:val="0"/>
                <w:numId w:val="11"/>
              </w:numPr>
              <w:spacing w:before="120"/>
              <w:ind w:left="317" w:hanging="241"/>
              <w:jc w:val="both"/>
              <w:rPr>
                <w:rFonts w:eastAsia="MS Mincho" w:cs="Times New Roman"/>
                <w:b/>
                <w:noProof/>
                <w:szCs w:val="32"/>
              </w:rPr>
            </w:pPr>
            <w:r>
              <w:rPr>
                <w:rFonts w:eastAsia="MS Mincho" w:cs="Times New Roman"/>
                <w:b/>
                <w:noProof/>
                <w:szCs w:val="32"/>
              </w:rPr>
              <w:t>Management of T2S status codes common to both DCP &amp; ICP</w:t>
            </w:r>
          </w:p>
          <w:p w:rsidR="00CA28B4" w:rsidRDefault="00CA28B4" w:rsidP="00902C5C">
            <w:pPr>
              <w:spacing w:before="120"/>
              <w:jc w:val="both"/>
              <w:rPr>
                <w:rFonts w:eastAsia="MS Mincho" w:cs="Times New Roman"/>
                <w:noProof/>
                <w:szCs w:val="32"/>
              </w:rPr>
            </w:pPr>
            <w:r>
              <w:rPr>
                <w:rFonts w:eastAsia="MS Mincho" w:cs="Times New Roman"/>
                <w:noProof/>
                <w:szCs w:val="32"/>
              </w:rPr>
              <w:t>The cross-refer</w:t>
            </w:r>
            <w:r w:rsidR="0083590F">
              <w:rPr>
                <w:rFonts w:eastAsia="MS Mincho" w:cs="Times New Roman"/>
                <w:noProof/>
                <w:szCs w:val="32"/>
              </w:rPr>
              <w:t>e</w:t>
            </w:r>
            <w:r>
              <w:rPr>
                <w:rFonts w:eastAsia="MS Mincho" w:cs="Times New Roman"/>
                <w:noProof/>
                <w:szCs w:val="32"/>
              </w:rPr>
              <w:t>nce table between the rejection messages generated by T2S as a result of pre-settlement controls, and the re</w:t>
            </w:r>
            <w:r w:rsidR="00CF7EFC">
              <w:rPr>
                <w:rFonts w:eastAsia="MS Mincho" w:cs="Times New Roman"/>
                <w:noProof/>
                <w:szCs w:val="32"/>
              </w:rPr>
              <w:t>jection codes existing in ESES i</w:t>
            </w:r>
            <w:r>
              <w:rPr>
                <w:rFonts w:eastAsia="MS Mincho" w:cs="Times New Roman"/>
                <w:noProof/>
                <w:szCs w:val="32"/>
              </w:rPr>
              <w:t xml:space="preserve">s presented in </w:t>
            </w:r>
            <w:r w:rsidR="00CF7EFC">
              <w:rPr>
                <w:rFonts w:eastAsia="MS Mincho" w:cs="Times New Roman"/>
                <w:noProof/>
                <w:szCs w:val="32"/>
              </w:rPr>
              <w:t xml:space="preserve">the </w:t>
            </w:r>
            <w:r>
              <w:rPr>
                <w:rFonts w:eastAsia="MS Mincho" w:cs="Times New Roman"/>
                <w:noProof/>
                <w:szCs w:val="32"/>
              </w:rPr>
              <w:t xml:space="preserve">appendix </w:t>
            </w:r>
            <w:r w:rsidR="00CF7EFC">
              <w:rPr>
                <w:rFonts w:eastAsia="MS Mincho" w:cs="Times New Roman"/>
                <w:noProof/>
                <w:szCs w:val="32"/>
              </w:rPr>
              <w:t xml:space="preserve">to </w:t>
            </w:r>
            <w:r>
              <w:rPr>
                <w:rFonts w:eastAsia="MS Mincho" w:cs="Times New Roman"/>
                <w:noProof/>
                <w:szCs w:val="32"/>
              </w:rPr>
              <w:t>this market practice.</w:t>
            </w:r>
          </w:p>
          <w:p w:rsidR="00CA28B4" w:rsidRDefault="0083590F" w:rsidP="00902C5C">
            <w:pPr>
              <w:spacing w:before="120"/>
              <w:jc w:val="both"/>
              <w:rPr>
                <w:rFonts w:eastAsia="MS Mincho" w:cs="Times New Roman"/>
                <w:noProof/>
                <w:szCs w:val="32"/>
              </w:rPr>
            </w:pPr>
            <w:r>
              <w:rPr>
                <w:rFonts w:eastAsia="MS Mincho" w:cs="Times New Roman"/>
                <w:noProof/>
                <w:szCs w:val="32"/>
              </w:rPr>
              <w:t>T2S rejection codes will be identical, whether the instructions are sent in ICP or DCP mode. At that stage, rejections by T2S and non-observance of the restriction types will be signaled by a single code: MVSR703, whatever the reason for the rejection. A change request is ongoing to present the type of rejection.</w:t>
            </w:r>
          </w:p>
          <w:p w:rsidR="00902C5C" w:rsidRDefault="00902C5C" w:rsidP="00902C5C">
            <w:pPr>
              <w:spacing w:before="120"/>
              <w:jc w:val="both"/>
              <w:rPr>
                <w:rFonts w:eastAsia="MS Mincho" w:cs="Times New Roman"/>
                <w:noProof/>
                <w:szCs w:val="32"/>
              </w:rPr>
            </w:pPr>
          </w:p>
          <w:p w:rsidR="0083590F" w:rsidRPr="00902C5C" w:rsidRDefault="0083590F" w:rsidP="0083590F">
            <w:pPr>
              <w:pStyle w:val="ListParagraph"/>
              <w:numPr>
                <w:ilvl w:val="0"/>
                <w:numId w:val="11"/>
              </w:numPr>
              <w:spacing w:before="120"/>
              <w:ind w:left="317" w:hanging="241"/>
              <w:jc w:val="both"/>
              <w:rPr>
                <w:rFonts w:eastAsia="MS Mincho" w:cs="Times New Roman"/>
                <w:b/>
                <w:noProof/>
                <w:szCs w:val="32"/>
              </w:rPr>
            </w:pPr>
            <w:r>
              <w:rPr>
                <w:rFonts w:eastAsia="MS Mincho" w:cs="Times New Roman"/>
                <w:b/>
                <w:noProof/>
                <w:szCs w:val="32"/>
              </w:rPr>
              <w:t>Post-settlement controls</w:t>
            </w:r>
          </w:p>
          <w:p w:rsidR="0083590F" w:rsidRDefault="0083590F" w:rsidP="00902C5C">
            <w:pPr>
              <w:spacing w:before="120"/>
              <w:jc w:val="both"/>
              <w:rPr>
                <w:rFonts w:eastAsia="MS Mincho" w:cs="Times New Roman"/>
                <w:noProof/>
                <w:szCs w:val="32"/>
              </w:rPr>
            </w:pPr>
            <w:r>
              <w:rPr>
                <w:rFonts w:eastAsia="MS Mincho" w:cs="Times New Roman"/>
                <w:noProof/>
                <w:szCs w:val="32"/>
              </w:rPr>
              <w:t>The control of the CTO code in Free of Payment instructions will be made by Euroclear post-settlement, and not T2S, whatever the nature of the operation on registered shares (see CTO codes on page 3).</w:t>
            </w:r>
          </w:p>
          <w:p w:rsidR="0083590F" w:rsidRDefault="0083590F" w:rsidP="0083590F">
            <w:pPr>
              <w:pStyle w:val="ListParagraph"/>
              <w:numPr>
                <w:ilvl w:val="0"/>
                <w:numId w:val="12"/>
              </w:numPr>
              <w:spacing w:before="120"/>
              <w:jc w:val="both"/>
              <w:rPr>
                <w:rFonts w:eastAsia="MS Mincho" w:cs="Times New Roman"/>
                <w:noProof/>
                <w:szCs w:val="32"/>
              </w:rPr>
            </w:pPr>
            <w:r>
              <w:rPr>
                <w:rFonts w:eastAsia="MS Mincho" w:cs="Times New Roman"/>
                <w:noProof/>
                <w:szCs w:val="32"/>
              </w:rPr>
              <w:t>Euroclear France procedure for post-settlement controls</w:t>
            </w:r>
          </w:p>
          <w:p w:rsidR="0083590F" w:rsidRDefault="0083590F" w:rsidP="0083590F">
            <w:pPr>
              <w:pStyle w:val="ListParagraph"/>
              <w:numPr>
                <w:ilvl w:val="1"/>
                <w:numId w:val="12"/>
              </w:numPr>
              <w:spacing w:before="120"/>
              <w:jc w:val="both"/>
              <w:rPr>
                <w:rFonts w:eastAsia="MS Mincho" w:cs="Times New Roman"/>
                <w:noProof/>
                <w:szCs w:val="32"/>
              </w:rPr>
            </w:pPr>
            <w:r>
              <w:rPr>
                <w:rFonts w:eastAsia="MS Mincho" w:cs="Times New Roman"/>
                <w:noProof/>
                <w:szCs w:val="32"/>
              </w:rPr>
              <w:t xml:space="preserve">If both CTO codes provided by participants differ, the code provided by the delivering party will prevail and be applied to the </w:t>
            </w:r>
            <w:r w:rsidR="00CF7EFC">
              <w:rPr>
                <w:rFonts w:eastAsia="MS Mincho" w:cs="Times New Roman"/>
                <w:noProof/>
                <w:szCs w:val="32"/>
              </w:rPr>
              <w:t>receiving party</w:t>
            </w:r>
            <w:r>
              <w:rPr>
                <w:rFonts w:eastAsia="MS Mincho" w:cs="Times New Roman"/>
                <w:noProof/>
                <w:szCs w:val="32"/>
              </w:rPr>
              <w:t>.</w:t>
            </w:r>
          </w:p>
          <w:p w:rsidR="0083590F" w:rsidRPr="0083590F" w:rsidRDefault="0083590F" w:rsidP="0083590F">
            <w:pPr>
              <w:pStyle w:val="ListParagraph"/>
              <w:numPr>
                <w:ilvl w:val="1"/>
                <w:numId w:val="12"/>
              </w:numPr>
              <w:spacing w:before="120"/>
              <w:jc w:val="both"/>
              <w:rPr>
                <w:rFonts w:eastAsia="MS Mincho" w:cs="Times New Roman"/>
                <w:noProof/>
                <w:szCs w:val="32"/>
              </w:rPr>
            </w:pPr>
            <w:r>
              <w:rPr>
                <w:rFonts w:eastAsia="MS Mincho" w:cs="Times New Roman"/>
                <w:noProof/>
                <w:szCs w:val="32"/>
              </w:rPr>
              <w:t xml:space="preserve">If no CTO code is provided or if the CTO code is inconsistent, Euroclear will book the movement on the error account in the ancillary accounting of both the issuer of the instruction and the </w:t>
            </w:r>
            <w:r w:rsidR="00CF7EFC">
              <w:rPr>
                <w:rFonts w:eastAsia="MS Mincho" w:cs="Times New Roman"/>
                <w:noProof/>
                <w:szCs w:val="32"/>
              </w:rPr>
              <w:t>receiving party</w:t>
            </w:r>
            <w:r>
              <w:rPr>
                <w:rFonts w:eastAsia="MS Mincho" w:cs="Times New Roman"/>
                <w:noProof/>
                <w:szCs w:val="32"/>
              </w:rPr>
              <w:t xml:space="preserve">. As a reminder, only the instructions that successfully go through the pre-settlement controls presented on page </w:t>
            </w:r>
            <w:r w:rsidR="00CF7EFC">
              <w:rPr>
                <w:rFonts w:eastAsia="MS Mincho" w:cs="Times New Roman"/>
                <w:noProof/>
                <w:szCs w:val="32"/>
              </w:rPr>
              <w:t>3</w:t>
            </w:r>
            <w:r>
              <w:rPr>
                <w:rFonts w:eastAsia="MS Mincho" w:cs="Times New Roman"/>
                <w:noProof/>
                <w:szCs w:val="32"/>
              </w:rPr>
              <w:t xml:space="preserve"> will be subject to post-settlement controls between the CTO code for the free of payment or DvP instruction, and the CTO code in the BRN.</w:t>
            </w:r>
          </w:p>
          <w:p w:rsidR="0083590F" w:rsidRDefault="0083590F" w:rsidP="00E46710">
            <w:pPr>
              <w:spacing w:before="120"/>
              <w:ind w:left="742"/>
              <w:jc w:val="both"/>
              <w:rPr>
                <w:rFonts w:eastAsia="MS Mincho" w:cs="Times New Roman"/>
                <w:noProof/>
                <w:szCs w:val="32"/>
              </w:rPr>
            </w:pPr>
            <w:r>
              <w:rPr>
                <w:rFonts w:eastAsia="MS Mincho" w:cs="Times New Roman"/>
                <w:noProof/>
                <w:szCs w:val="32"/>
              </w:rPr>
              <w:t xml:space="preserve">Error accounts are ancillary accounts created for the implementation of T2S, and will be subject to reporting, and potentially </w:t>
            </w:r>
            <w:r w:rsidR="000378F0">
              <w:rPr>
                <w:rFonts w:eastAsia="MS Mincho" w:cs="Times New Roman"/>
                <w:noProof/>
                <w:szCs w:val="32"/>
              </w:rPr>
              <w:t>formal notices and penalties. These error accounts will be accounts 52 (credits) and 62 (debits).</w:t>
            </w:r>
          </w:p>
          <w:p w:rsidR="0083590F" w:rsidRDefault="0083590F" w:rsidP="00902C5C">
            <w:pPr>
              <w:spacing w:before="120"/>
              <w:jc w:val="both"/>
              <w:rPr>
                <w:rFonts w:eastAsia="MS Mincho" w:cs="Times New Roman"/>
                <w:noProof/>
                <w:szCs w:val="32"/>
              </w:rPr>
            </w:pPr>
          </w:p>
          <w:p w:rsidR="000378F0" w:rsidRDefault="000378F0" w:rsidP="00902C5C">
            <w:pPr>
              <w:spacing w:before="120"/>
              <w:jc w:val="both"/>
              <w:rPr>
                <w:rFonts w:eastAsia="MS Mincho" w:cs="Times New Roman"/>
                <w:noProof/>
                <w:szCs w:val="32"/>
              </w:rPr>
            </w:pPr>
          </w:p>
          <w:p w:rsidR="000378F0" w:rsidRDefault="000378F0" w:rsidP="00902C5C">
            <w:pPr>
              <w:spacing w:before="120"/>
              <w:jc w:val="both"/>
              <w:rPr>
                <w:rFonts w:eastAsia="MS Mincho" w:cs="Times New Roman"/>
                <w:noProof/>
                <w:szCs w:val="32"/>
              </w:rPr>
            </w:pPr>
          </w:p>
          <w:tbl>
            <w:tblPr>
              <w:tblStyle w:val="LightGrid-Accent1"/>
              <w:tblW w:w="7171" w:type="dxa"/>
              <w:tblLayout w:type="fixed"/>
              <w:tblLook w:val="0420" w:firstRow="1" w:lastRow="0" w:firstColumn="0" w:lastColumn="0" w:noHBand="0" w:noVBand="1"/>
            </w:tblPr>
            <w:tblGrid>
              <w:gridCol w:w="1016"/>
              <w:gridCol w:w="1206"/>
              <w:gridCol w:w="1191"/>
              <w:gridCol w:w="732"/>
              <w:gridCol w:w="1440"/>
              <w:gridCol w:w="1586"/>
            </w:tblGrid>
            <w:tr w:rsidR="000378F0" w:rsidRPr="00951B18" w:rsidTr="009C2D68">
              <w:trPr>
                <w:cnfStyle w:val="100000000000" w:firstRow="1" w:lastRow="0" w:firstColumn="0" w:lastColumn="0" w:oddVBand="0" w:evenVBand="0" w:oddHBand="0" w:evenHBand="0" w:firstRowFirstColumn="0" w:firstRowLastColumn="0" w:lastRowFirstColumn="0" w:lastRowLastColumn="0"/>
                <w:trHeight w:val="338"/>
              </w:trPr>
              <w:tc>
                <w:tcPr>
                  <w:tcW w:w="1016" w:type="dxa"/>
                  <w:shd w:val="clear" w:color="auto" w:fill="DBE5F1" w:themeFill="accent1" w:themeFillTint="33"/>
                  <w:vAlign w:val="center"/>
                  <w:hideMark/>
                </w:tcPr>
                <w:p w:rsidR="000378F0" w:rsidRPr="0019289E" w:rsidRDefault="000378F0" w:rsidP="009C2D68">
                  <w:pPr>
                    <w:rPr>
                      <w:rFonts w:asciiTheme="minorHAnsi" w:eastAsia="MS Mincho" w:hAnsiTheme="minorHAnsi" w:cstheme="minorHAnsi"/>
                      <w:noProof/>
                      <w:sz w:val="16"/>
                      <w:szCs w:val="16"/>
                      <w:lang w:val="fr-FR"/>
                    </w:rPr>
                  </w:pPr>
                  <w:r w:rsidRPr="0019289E">
                    <w:rPr>
                      <w:rFonts w:asciiTheme="minorHAnsi" w:eastAsia="MS Mincho" w:hAnsiTheme="minorHAnsi" w:cstheme="minorHAnsi"/>
                      <w:bCs w:val="0"/>
                      <w:noProof/>
                      <w:sz w:val="16"/>
                      <w:szCs w:val="16"/>
                      <w:lang w:val="fr-FR"/>
                    </w:rPr>
                    <w:t>Participants</w:t>
                  </w:r>
                </w:p>
              </w:tc>
              <w:tc>
                <w:tcPr>
                  <w:tcW w:w="1206" w:type="dxa"/>
                  <w:shd w:val="clear" w:color="auto" w:fill="DBE5F1" w:themeFill="accent1" w:themeFillTint="33"/>
                  <w:vAlign w:val="center"/>
                  <w:hideMark/>
                </w:tcPr>
                <w:p w:rsidR="000378F0" w:rsidRPr="0019289E" w:rsidRDefault="00A50DC7" w:rsidP="009C2D68">
                  <w:pPr>
                    <w:ind w:right="100"/>
                    <w:rPr>
                      <w:rFonts w:asciiTheme="minorHAnsi" w:eastAsia="MS Mincho" w:hAnsiTheme="minorHAnsi" w:cstheme="minorHAnsi"/>
                      <w:noProof/>
                      <w:sz w:val="16"/>
                      <w:szCs w:val="16"/>
                      <w:lang w:val="fr-FR"/>
                    </w:rPr>
                  </w:pPr>
                  <w:r>
                    <w:rPr>
                      <w:rFonts w:asciiTheme="minorHAnsi" w:eastAsia="MS Mincho" w:hAnsiTheme="minorHAnsi" w:cstheme="minorHAnsi"/>
                      <w:bCs w:val="0"/>
                      <w:noProof/>
                      <w:sz w:val="16"/>
                      <w:szCs w:val="16"/>
                      <w:lang w:val="fr-FR"/>
                    </w:rPr>
                    <w:t>Connectivity</w:t>
                  </w:r>
                </w:p>
              </w:tc>
              <w:tc>
                <w:tcPr>
                  <w:tcW w:w="1191" w:type="dxa"/>
                  <w:shd w:val="clear" w:color="auto" w:fill="DBE5F1" w:themeFill="accent1" w:themeFillTint="33"/>
                  <w:vAlign w:val="center"/>
                  <w:hideMark/>
                </w:tcPr>
                <w:p w:rsidR="000378F0" w:rsidRPr="0019289E" w:rsidRDefault="000378F0" w:rsidP="009C2D68">
                  <w:pPr>
                    <w:rPr>
                      <w:rFonts w:asciiTheme="minorHAnsi" w:eastAsia="MS Mincho" w:hAnsiTheme="minorHAnsi" w:cstheme="minorHAnsi"/>
                      <w:bCs w:val="0"/>
                      <w:noProof/>
                      <w:sz w:val="16"/>
                      <w:szCs w:val="16"/>
                      <w:lang w:val="fr-FR"/>
                    </w:rPr>
                  </w:pPr>
                  <w:r w:rsidRPr="0019289E">
                    <w:rPr>
                      <w:rFonts w:asciiTheme="minorHAnsi" w:eastAsia="MS Mincho" w:hAnsiTheme="minorHAnsi" w:cstheme="minorHAnsi"/>
                      <w:bCs w:val="0"/>
                      <w:noProof/>
                      <w:sz w:val="16"/>
                      <w:szCs w:val="16"/>
                      <w:lang w:val="fr-FR"/>
                    </w:rPr>
                    <w:t>CTO FOP</w:t>
                  </w:r>
                </w:p>
              </w:tc>
              <w:tc>
                <w:tcPr>
                  <w:tcW w:w="732" w:type="dxa"/>
                  <w:shd w:val="clear" w:color="auto" w:fill="DBE5F1" w:themeFill="accent1" w:themeFillTint="33"/>
                  <w:vAlign w:val="center"/>
                  <w:hideMark/>
                </w:tcPr>
                <w:p w:rsidR="000378F0" w:rsidRPr="0019289E" w:rsidRDefault="000378F0" w:rsidP="009C2D68">
                  <w:pPr>
                    <w:rPr>
                      <w:rFonts w:asciiTheme="minorHAnsi" w:eastAsia="MS Mincho" w:hAnsiTheme="minorHAnsi" w:cstheme="minorHAnsi"/>
                      <w:bCs w:val="0"/>
                      <w:noProof/>
                      <w:sz w:val="16"/>
                      <w:szCs w:val="16"/>
                      <w:lang w:val="fr-FR"/>
                    </w:rPr>
                  </w:pPr>
                  <w:r w:rsidRPr="0019289E">
                    <w:rPr>
                      <w:rFonts w:asciiTheme="minorHAnsi" w:eastAsia="MS Mincho" w:hAnsiTheme="minorHAnsi" w:cstheme="minorHAnsi"/>
                      <w:bCs w:val="0"/>
                      <w:noProof/>
                      <w:sz w:val="16"/>
                      <w:szCs w:val="16"/>
                      <w:lang w:val="fr-FR"/>
                    </w:rPr>
                    <w:t>CTO BRN</w:t>
                  </w:r>
                </w:p>
              </w:tc>
              <w:tc>
                <w:tcPr>
                  <w:tcW w:w="1440" w:type="dxa"/>
                  <w:shd w:val="clear" w:color="auto" w:fill="DBE5F1" w:themeFill="accent1" w:themeFillTint="33"/>
                  <w:vAlign w:val="center"/>
                  <w:hideMark/>
                </w:tcPr>
                <w:p w:rsidR="000378F0" w:rsidRPr="0019289E" w:rsidRDefault="00A50DC7" w:rsidP="009C2D68">
                  <w:pPr>
                    <w:rPr>
                      <w:rFonts w:asciiTheme="minorHAnsi" w:eastAsia="MS Mincho" w:hAnsiTheme="minorHAnsi" w:cstheme="minorHAnsi"/>
                      <w:bCs w:val="0"/>
                      <w:noProof/>
                      <w:sz w:val="16"/>
                      <w:szCs w:val="16"/>
                      <w:lang w:val="fr-FR"/>
                    </w:rPr>
                  </w:pPr>
                  <w:r>
                    <w:rPr>
                      <w:rFonts w:asciiTheme="minorHAnsi" w:eastAsia="MS Mincho" w:hAnsiTheme="minorHAnsi" w:cstheme="minorHAnsi"/>
                      <w:bCs w:val="0"/>
                      <w:noProof/>
                      <w:sz w:val="16"/>
                      <w:szCs w:val="16"/>
                      <w:lang w:val="fr-FR"/>
                    </w:rPr>
                    <w:t>Ancillary accounting</w:t>
                  </w:r>
                </w:p>
              </w:tc>
              <w:tc>
                <w:tcPr>
                  <w:tcW w:w="1586" w:type="dxa"/>
                  <w:shd w:val="clear" w:color="auto" w:fill="DBE5F1" w:themeFill="accent1" w:themeFillTint="33"/>
                  <w:vAlign w:val="center"/>
                  <w:hideMark/>
                </w:tcPr>
                <w:p w:rsidR="000378F0" w:rsidRPr="0019289E" w:rsidRDefault="000378F0" w:rsidP="00A50DC7">
                  <w:pPr>
                    <w:rPr>
                      <w:rFonts w:asciiTheme="minorHAnsi" w:eastAsia="MS Mincho" w:hAnsiTheme="minorHAnsi" w:cstheme="minorHAnsi"/>
                      <w:bCs w:val="0"/>
                      <w:noProof/>
                      <w:sz w:val="16"/>
                      <w:szCs w:val="16"/>
                      <w:lang w:val="fr-FR"/>
                    </w:rPr>
                  </w:pPr>
                  <w:r w:rsidRPr="0019289E">
                    <w:rPr>
                      <w:rFonts w:asciiTheme="minorHAnsi" w:eastAsia="MS Mincho" w:hAnsiTheme="minorHAnsi" w:cstheme="minorHAnsi"/>
                      <w:bCs w:val="0"/>
                      <w:noProof/>
                      <w:sz w:val="16"/>
                      <w:szCs w:val="16"/>
                      <w:lang w:val="fr-FR"/>
                    </w:rPr>
                    <w:t>R</w:t>
                  </w:r>
                  <w:r w:rsidR="00A50DC7">
                    <w:rPr>
                      <w:rFonts w:asciiTheme="minorHAnsi" w:eastAsia="MS Mincho" w:hAnsiTheme="minorHAnsi" w:cstheme="minorHAnsi"/>
                      <w:bCs w:val="0"/>
                      <w:noProof/>
                      <w:sz w:val="16"/>
                      <w:szCs w:val="16"/>
                      <w:lang w:val="fr-FR"/>
                    </w:rPr>
                    <w:t>e</w:t>
                  </w:r>
                  <w:r w:rsidRPr="0019289E">
                    <w:rPr>
                      <w:rFonts w:asciiTheme="minorHAnsi" w:eastAsia="MS Mincho" w:hAnsiTheme="minorHAnsi" w:cstheme="minorHAnsi"/>
                      <w:bCs w:val="0"/>
                      <w:noProof/>
                      <w:sz w:val="16"/>
                      <w:szCs w:val="16"/>
                      <w:lang w:val="fr-FR"/>
                    </w:rPr>
                    <w:t>gulari</w:t>
                  </w:r>
                  <w:r w:rsidR="00A50DC7">
                    <w:rPr>
                      <w:rFonts w:asciiTheme="minorHAnsi" w:eastAsia="MS Mincho" w:hAnsiTheme="minorHAnsi" w:cstheme="minorHAnsi"/>
                      <w:bCs w:val="0"/>
                      <w:noProof/>
                      <w:sz w:val="16"/>
                      <w:szCs w:val="16"/>
                      <w:lang w:val="fr-FR"/>
                    </w:rPr>
                    <w:t>z</w:t>
                  </w:r>
                  <w:r w:rsidRPr="0019289E">
                    <w:rPr>
                      <w:rFonts w:asciiTheme="minorHAnsi" w:eastAsia="MS Mincho" w:hAnsiTheme="minorHAnsi" w:cstheme="minorHAnsi"/>
                      <w:bCs w:val="0"/>
                      <w:noProof/>
                      <w:sz w:val="16"/>
                      <w:szCs w:val="16"/>
                      <w:lang w:val="fr-FR"/>
                    </w:rPr>
                    <w:t>ation</w:t>
                  </w:r>
                </w:p>
              </w:tc>
            </w:tr>
            <w:tr w:rsidR="000378F0" w:rsidRPr="00951B18" w:rsidTr="009C2D68">
              <w:trPr>
                <w:cnfStyle w:val="000000100000" w:firstRow="0" w:lastRow="0" w:firstColumn="0" w:lastColumn="0" w:oddVBand="0" w:evenVBand="0" w:oddHBand="1" w:evenHBand="0" w:firstRowFirstColumn="0" w:firstRowLastColumn="0" w:lastRowFirstColumn="0" w:lastRowLastColumn="0"/>
                <w:trHeight w:val="384"/>
              </w:trPr>
              <w:tc>
                <w:tcPr>
                  <w:tcW w:w="1016" w:type="dxa"/>
                  <w:vMerge w:val="restart"/>
                  <w:vAlign w:val="center"/>
                  <w:hideMark/>
                </w:tcPr>
                <w:p w:rsidR="000378F0" w:rsidRPr="0019289E" w:rsidRDefault="000378F0" w:rsidP="009C2D68">
                  <w:pPr>
                    <w:rPr>
                      <w:rFonts w:eastAsia="MS Mincho" w:cstheme="minorHAnsi"/>
                      <w:noProof/>
                      <w:sz w:val="16"/>
                      <w:szCs w:val="16"/>
                      <w:lang w:val="fr-FR"/>
                    </w:rPr>
                  </w:pPr>
                  <w:r>
                    <w:rPr>
                      <w:rFonts w:eastAsia="MS Mincho" w:cstheme="minorHAnsi"/>
                      <w:noProof/>
                      <w:sz w:val="16"/>
                      <w:szCs w:val="16"/>
                      <w:lang w:val="fr-FR"/>
                    </w:rPr>
                    <w:t xml:space="preserve">ICP Vs </w:t>
                  </w:r>
                  <w:r w:rsidRPr="0019289E">
                    <w:rPr>
                      <w:rFonts w:eastAsia="MS Mincho" w:cstheme="minorHAnsi"/>
                      <w:noProof/>
                      <w:sz w:val="16"/>
                      <w:szCs w:val="16"/>
                      <w:lang w:val="fr-FR"/>
                    </w:rPr>
                    <w:t xml:space="preserve"> ICP</w:t>
                  </w:r>
                </w:p>
              </w:tc>
              <w:tc>
                <w:tcPr>
                  <w:tcW w:w="1206" w:type="dxa"/>
                  <w:vMerge w:val="restart"/>
                  <w:vAlign w:val="center"/>
                  <w:hideMark/>
                </w:tcPr>
                <w:p w:rsidR="000378F0" w:rsidRPr="00A50DC7" w:rsidRDefault="000378F0" w:rsidP="00A50DC7">
                  <w:pPr>
                    <w:rPr>
                      <w:rFonts w:eastAsia="MS Mincho" w:cstheme="minorHAnsi"/>
                      <w:noProof/>
                      <w:sz w:val="16"/>
                      <w:szCs w:val="16"/>
                    </w:rPr>
                  </w:pPr>
                  <w:r w:rsidRPr="00A50DC7">
                    <w:rPr>
                      <w:rFonts w:eastAsia="MS Mincho" w:cstheme="minorHAnsi"/>
                      <w:noProof/>
                      <w:sz w:val="16"/>
                      <w:szCs w:val="16"/>
                    </w:rPr>
                    <w:t>STP o</w:t>
                  </w:r>
                  <w:r w:rsidR="00A50DC7" w:rsidRPr="00A50DC7">
                    <w:rPr>
                      <w:rFonts w:eastAsia="MS Mincho" w:cstheme="minorHAnsi"/>
                      <w:noProof/>
                      <w:sz w:val="16"/>
                      <w:szCs w:val="16"/>
                    </w:rPr>
                    <w:t>r</w:t>
                  </w:r>
                  <w:r w:rsidRPr="00A50DC7">
                    <w:rPr>
                      <w:rFonts w:eastAsia="MS Mincho" w:cstheme="minorHAnsi"/>
                      <w:noProof/>
                      <w:sz w:val="16"/>
                      <w:szCs w:val="16"/>
                    </w:rPr>
                    <w:t xml:space="preserve"> EuroclearConnect</w:t>
                  </w:r>
                  <w:r w:rsidR="00A50DC7" w:rsidRPr="00A50DC7">
                    <w:rPr>
                      <w:rFonts w:eastAsia="MS Mincho" w:cstheme="minorHAnsi"/>
                      <w:noProof/>
                      <w:sz w:val="16"/>
                      <w:szCs w:val="16"/>
                    </w:rPr>
                    <w:t xml:space="preserve"> for Screens</w:t>
                  </w:r>
                </w:p>
              </w:tc>
              <w:tc>
                <w:tcPr>
                  <w:tcW w:w="1923" w:type="dxa"/>
                  <w:gridSpan w:val="2"/>
                  <w:vAlign w:val="center"/>
                  <w:hideMark/>
                </w:tcPr>
                <w:p w:rsidR="000378F0" w:rsidRPr="0019289E" w:rsidRDefault="00A50DC7" w:rsidP="00A50DC7">
                  <w:pPr>
                    <w:jc w:val="center"/>
                    <w:rPr>
                      <w:rFonts w:eastAsia="MS Mincho" w:cstheme="minorHAnsi"/>
                      <w:noProof/>
                      <w:sz w:val="16"/>
                      <w:szCs w:val="16"/>
                      <w:lang w:val="fr-FR"/>
                    </w:rPr>
                  </w:pPr>
                  <w:r>
                    <w:rPr>
                      <w:rFonts w:eastAsia="MS Mincho" w:cstheme="minorHAnsi"/>
                      <w:noProof/>
                      <w:sz w:val="16"/>
                      <w:szCs w:val="16"/>
                      <w:lang w:val="fr-FR"/>
                    </w:rPr>
                    <w:t xml:space="preserve">Identical </w:t>
                  </w:r>
                  <w:r w:rsidR="000378F0" w:rsidRPr="0019289E">
                    <w:rPr>
                      <w:rFonts w:eastAsia="MS Mincho" w:cstheme="minorHAnsi"/>
                      <w:noProof/>
                      <w:sz w:val="16"/>
                      <w:szCs w:val="16"/>
                      <w:lang w:val="fr-FR"/>
                    </w:rPr>
                    <w:t>CTO</w:t>
                  </w:r>
                  <w:r>
                    <w:rPr>
                      <w:rFonts w:eastAsia="MS Mincho" w:cstheme="minorHAnsi"/>
                      <w:noProof/>
                      <w:sz w:val="16"/>
                      <w:szCs w:val="16"/>
                      <w:lang w:val="fr-FR"/>
                    </w:rPr>
                    <w:t>s</w:t>
                  </w:r>
                </w:p>
              </w:tc>
              <w:tc>
                <w:tcPr>
                  <w:tcW w:w="1440" w:type="dxa"/>
                  <w:vAlign w:val="center"/>
                  <w:hideMark/>
                </w:tcPr>
                <w:p w:rsidR="000378F0" w:rsidRPr="0019289E" w:rsidRDefault="00A50DC7" w:rsidP="00A50DC7">
                  <w:pPr>
                    <w:rPr>
                      <w:rFonts w:eastAsia="MS Mincho" w:cstheme="minorHAnsi"/>
                      <w:noProof/>
                      <w:sz w:val="16"/>
                      <w:szCs w:val="16"/>
                      <w:lang w:val="fr-FR"/>
                    </w:rPr>
                  </w:pPr>
                  <w:r>
                    <w:rPr>
                      <w:rFonts w:eastAsia="MS Mincho" w:cstheme="minorHAnsi"/>
                      <w:noProof/>
                      <w:sz w:val="16"/>
                      <w:szCs w:val="16"/>
                      <w:lang w:val="fr-FR"/>
                    </w:rPr>
                    <w:t>Identical ancillary accounting</w:t>
                  </w:r>
                </w:p>
              </w:tc>
              <w:tc>
                <w:tcPr>
                  <w:tcW w:w="1586" w:type="dxa"/>
                  <w:vAlign w:val="center"/>
                  <w:hideMark/>
                </w:tcPr>
                <w:p w:rsidR="000378F0" w:rsidRPr="0019289E" w:rsidRDefault="00A50DC7" w:rsidP="00A50DC7">
                  <w:pPr>
                    <w:rPr>
                      <w:rFonts w:eastAsia="MS Mincho" w:cstheme="minorHAnsi"/>
                      <w:noProof/>
                      <w:sz w:val="16"/>
                      <w:szCs w:val="16"/>
                      <w:lang w:val="fr-FR"/>
                    </w:rPr>
                  </w:pPr>
                  <w:r>
                    <w:rPr>
                      <w:rFonts w:eastAsia="MS Mincho" w:cstheme="minorHAnsi"/>
                      <w:noProof/>
                      <w:sz w:val="16"/>
                      <w:szCs w:val="16"/>
                      <w:lang w:val="fr-FR"/>
                    </w:rPr>
                    <w:t xml:space="preserve">No </w:t>
                  </w:r>
                  <w:r w:rsidR="000378F0" w:rsidRPr="0019289E">
                    <w:rPr>
                      <w:rFonts w:eastAsia="MS Mincho" w:cstheme="minorHAnsi"/>
                      <w:noProof/>
                      <w:sz w:val="16"/>
                      <w:szCs w:val="16"/>
                      <w:lang w:val="fr-FR"/>
                    </w:rPr>
                    <w:t>r</w:t>
                  </w:r>
                  <w:r>
                    <w:rPr>
                      <w:rFonts w:eastAsia="MS Mincho" w:cstheme="minorHAnsi"/>
                      <w:noProof/>
                      <w:sz w:val="16"/>
                      <w:szCs w:val="16"/>
                      <w:lang w:val="fr-FR"/>
                    </w:rPr>
                    <w:t>e</w:t>
                  </w:r>
                  <w:r w:rsidR="000378F0" w:rsidRPr="0019289E">
                    <w:rPr>
                      <w:rFonts w:eastAsia="MS Mincho" w:cstheme="minorHAnsi"/>
                      <w:noProof/>
                      <w:sz w:val="16"/>
                      <w:szCs w:val="16"/>
                      <w:lang w:val="fr-FR"/>
                    </w:rPr>
                    <w:t>gulari</w:t>
                  </w:r>
                  <w:r>
                    <w:rPr>
                      <w:rFonts w:eastAsia="MS Mincho" w:cstheme="minorHAnsi"/>
                      <w:noProof/>
                      <w:sz w:val="16"/>
                      <w:szCs w:val="16"/>
                      <w:lang w:val="fr-FR"/>
                    </w:rPr>
                    <w:t>z</w:t>
                  </w:r>
                  <w:r w:rsidR="000378F0" w:rsidRPr="0019289E">
                    <w:rPr>
                      <w:rFonts w:eastAsia="MS Mincho" w:cstheme="minorHAnsi"/>
                      <w:noProof/>
                      <w:sz w:val="16"/>
                      <w:szCs w:val="16"/>
                      <w:lang w:val="fr-FR"/>
                    </w:rPr>
                    <w:t>ation</w:t>
                  </w:r>
                </w:p>
              </w:tc>
            </w:tr>
            <w:tr w:rsidR="000378F0" w:rsidRPr="00A50DC7" w:rsidTr="009C2D68">
              <w:trPr>
                <w:cnfStyle w:val="000000010000" w:firstRow="0" w:lastRow="0" w:firstColumn="0" w:lastColumn="0" w:oddVBand="0" w:evenVBand="0" w:oddHBand="0" w:evenHBand="1" w:firstRowFirstColumn="0" w:firstRowLastColumn="0" w:lastRowFirstColumn="0" w:lastRowLastColumn="0"/>
                <w:trHeight w:val="481"/>
              </w:trPr>
              <w:tc>
                <w:tcPr>
                  <w:tcW w:w="1016" w:type="dxa"/>
                  <w:vMerge/>
                  <w:vAlign w:val="center"/>
                  <w:hideMark/>
                </w:tcPr>
                <w:p w:rsidR="000378F0" w:rsidRPr="0019289E" w:rsidRDefault="000378F0" w:rsidP="009C2D68">
                  <w:pPr>
                    <w:rPr>
                      <w:rFonts w:eastAsia="MS Mincho" w:cstheme="minorHAnsi"/>
                      <w:noProof/>
                      <w:sz w:val="16"/>
                      <w:szCs w:val="16"/>
                      <w:lang w:val="fr-FR"/>
                    </w:rPr>
                  </w:pPr>
                </w:p>
              </w:tc>
              <w:tc>
                <w:tcPr>
                  <w:tcW w:w="1206" w:type="dxa"/>
                  <w:vMerge/>
                  <w:vAlign w:val="center"/>
                  <w:hideMark/>
                </w:tcPr>
                <w:p w:rsidR="000378F0" w:rsidRPr="0019289E" w:rsidRDefault="000378F0" w:rsidP="009C2D68">
                  <w:pPr>
                    <w:rPr>
                      <w:rFonts w:eastAsia="MS Mincho" w:cstheme="minorHAnsi"/>
                      <w:noProof/>
                      <w:sz w:val="16"/>
                      <w:szCs w:val="16"/>
                      <w:lang w:val="fr-FR"/>
                    </w:rPr>
                  </w:pPr>
                </w:p>
              </w:tc>
              <w:tc>
                <w:tcPr>
                  <w:tcW w:w="1923" w:type="dxa"/>
                  <w:gridSpan w:val="2"/>
                  <w:vAlign w:val="center"/>
                  <w:hideMark/>
                </w:tcPr>
                <w:p w:rsidR="000378F0" w:rsidRPr="0019289E" w:rsidRDefault="00A50DC7" w:rsidP="00A50DC7">
                  <w:pPr>
                    <w:jc w:val="center"/>
                    <w:rPr>
                      <w:rFonts w:eastAsia="MS Mincho" w:cstheme="minorHAnsi"/>
                      <w:noProof/>
                      <w:sz w:val="16"/>
                      <w:szCs w:val="16"/>
                      <w:lang w:val="fr-FR"/>
                    </w:rPr>
                  </w:pPr>
                  <w:r>
                    <w:rPr>
                      <w:rFonts w:eastAsia="MS Mincho" w:cstheme="minorHAnsi"/>
                      <w:noProof/>
                      <w:sz w:val="16"/>
                      <w:szCs w:val="16"/>
                      <w:lang w:val="fr-FR"/>
                    </w:rPr>
                    <w:t xml:space="preserve">Different but consistent </w:t>
                  </w:r>
                  <w:r w:rsidR="000378F0" w:rsidRPr="0019289E">
                    <w:rPr>
                      <w:rFonts w:eastAsia="MS Mincho" w:cstheme="minorHAnsi"/>
                      <w:noProof/>
                      <w:sz w:val="16"/>
                      <w:szCs w:val="16"/>
                      <w:lang w:val="fr-FR"/>
                    </w:rPr>
                    <w:t>CTO</w:t>
                  </w:r>
                  <w:r>
                    <w:rPr>
                      <w:rFonts w:eastAsia="MS Mincho" w:cstheme="minorHAnsi"/>
                      <w:noProof/>
                      <w:sz w:val="16"/>
                      <w:szCs w:val="16"/>
                      <w:lang w:val="fr-FR"/>
                    </w:rPr>
                    <w:t>s</w:t>
                  </w:r>
                  <w:r w:rsidR="000378F0" w:rsidRPr="0019289E">
                    <w:rPr>
                      <w:rFonts w:eastAsia="MS Mincho" w:cstheme="minorHAnsi"/>
                      <w:noProof/>
                      <w:sz w:val="16"/>
                      <w:szCs w:val="16"/>
                      <w:lang w:val="fr-FR"/>
                    </w:rPr>
                    <w:t xml:space="preserve"> </w:t>
                  </w:r>
                </w:p>
              </w:tc>
              <w:tc>
                <w:tcPr>
                  <w:tcW w:w="1440" w:type="dxa"/>
                  <w:vAlign w:val="center"/>
                  <w:hideMark/>
                </w:tcPr>
                <w:p w:rsidR="000378F0" w:rsidRPr="00535757" w:rsidRDefault="00A50DC7" w:rsidP="00A50DC7">
                  <w:pPr>
                    <w:rPr>
                      <w:rFonts w:eastAsia="MS Mincho" w:cstheme="minorHAnsi"/>
                      <w:noProof/>
                      <w:sz w:val="16"/>
                      <w:szCs w:val="16"/>
                    </w:rPr>
                  </w:pPr>
                  <w:r w:rsidRPr="00535757">
                    <w:rPr>
                      <w:rFonts w:eastAsia="MS Mincho" w:cstheme="minorHAnsi"/>
                      <w:noProof/>
                      <w:sz w:val="16"/>
                      <w:szCs w:val="16"/>
                    </w:rPr>
                    <w:t>Ancillary accounting booked according to CTO of the delivering party</w:t>
                  </w:r>
                </w:p>
              </w:tc>
              <w:tc>
                <w:tcPr>
                  <w:tcW w:w="1586" w:type="dxa"/>
                  <w:vAlign w:val="center"/>
                  <w:hideMark/>
                </w:tcPr>
                <w:p w:rsidR="000378F0" w:rsidRPr="00A50DC7" w:rsidRDefault="00A50DC7" w:rsidP="00A50DC7">
                  <w:pPr>
                    <w:rPr>
                      <w:rFonts w:eastAsia="MS Mincho" w:cstheme="minorHAnsi"/>
                      <w:noProof/>
                      <w:sz w:val="16"/>
                      <w:szCs w:val="16"/>
                    </w:rPr>
                  </w:pPr>
                  <w:r w:rsidRPr="00A50DC7">
                    <w:rPr>
                      <w:rFonts w:eastAsia="MS Mincho" w:cstheme="minorHAnsi"/>
                      <w:noProof/>
                      <w:sz w:val="16"/>
                      <w:szCs w:val="16"/>
                    </w:rPr>
                    <w:t xml:space="preserve">The </w:t>
                  </w:r>
                  <w:r>
                    <w:rPr>
                      <w:rFonts w:eastAsia="MS Mincho" w:cstheme="minorHAnsi"/>
                      <w:noProof/>
                      <w:sz w:val="16"/>
                      <w:szCs w:val="16"/>
                    </w:rPr>
                    <w:t xml:space="preserve">receiving </w:t>
                  </w:r>
                  <w:r w:rsidRPr="00A50DC7">
                    <w:rPr>
                      <w:rFonts w:eastAsia="MS Mincho" w:cstheme="minorHAnsi"/>
                      <w:noProof/>
                      <w:sz w:val="16"/>
                      <w:szCs w:val="16"/>
                    </w:rPr>
                    <w:t>party will have to regularize its ancillary accounting via Euroclear forms</w:t>
                  </w:r>
                </w:p>
              </w:tc>
            </w:tr>
            <w:tr w:rsidR="00A50DC7" w:rsidRPr="00D977EA" w:rsidTr="009C2D68">
              <w:trPr>
                <w:cnfStyle w:val="000000100000" w:firstRow="0" w:lastRow="0" w:firstColumn="0" w:lastColumn="0" w:oddVBand="0" w:evenVBand="0" w:oddHBand="1" w:evenHBand="0" w:firstRowFirstColumn="0" w:firstRowLastColumn="0" w:lastRowFirstColumn="0" w:lastRowLastColumn="0"/>
                <w:trHeight w:val="581"/>
              </w:trPr>
              <w:tc>
                <w:tcPr>
                  <w:tcW w:w="1016" w:type="dxa"/>
                  <w:vMerge w:val="restart"/>
                  <w:vAlign w:val="center"/>
                  <w:hideMark/>
                </w:tcPr>
                <w:p w:rsidR="00A50DC7" w:rsidRPr="00535757" w:rsidRDefault="00A50DC7" w:rsidP="009C2D68">
                  <w:pPr>
                    <w:rPr>
                      <w:rFonts w:eastAsia="MS Mincho" w:cstheme="minorHAnsi"/>
                      <w:noProof/>
                      <w:sz w:val="16"/>
                      <w:szCs w:val="16"/>
                    </w:rPr>
                  </w:pPr>
                  <w:r w:rsidRPr="00535757">
                    <w:rPr>
                      <w:rFonts w:eastAsia="MS Mincho" w:cstheme="minorHAnsi"/>
                      <w:noProof/>
                      <w:sz w:val="16"/>
                      <w:szCs w:val="16"/>
                    </w:rPr>
                    <w:t>ICP Vs DCP</w:t>
                  </w:r>
                </w:p>
                <w:p w:rsidR="00A50DC7" w:rsidRPr="00535757" w:rsidRDefault="00A50DC7" w:rsidP="009C2D68">
                  <w:pPr>
                    <w:rPr>
                      <w:rFonts w:eastAsia="MS Mincho" w:cstheme="minorHAnsi"/>
                      <w:noProof/>
                      <w:sz w:val="16"/>
                      <w:szCs w:val="16"/>
                    </w:rPr>
                  </w:pPr>
                  <w:r w:rsidRPr="00535757">
                    <w:rPr>
                      <w:rFonts w:eastAsia="MS Mincho" w:cstheme="minorHAnsi"/>
                      <w:noProof/>
                      <w:sz w:val="16"/>
                      <w:szCs w:val="16"/>
                    </w:rPr>
                    <w:t>DCP Vs DCP</w:t>
                  </w:r>
                </w:p>
              </w:tc>
              <w:tc>
                <w:tcPr>
                  <w:tcW w:w="1206" w:type="dxa"/>
                  <w:vMerge w:val="restart"/>
                  <w:vAlign w:val="center"/>
                  <w:hideMark/>
                </w:tcPr>
                <w:p w:rsidR="00A50DC7" w:rsidRPr="00A50DC7" w:rsidRDefault="00A50DC7" w:rsidP="00A50DC7">
                  <w:pPr>
                    <w:rPr>
                      <w:rFonts w:eastAsia="MS Mincho" w:cstheme="minorHAnsi"/>
                      <w:noProof/>
                      <w:sz w:val="16"/>
                      <w:szCs w:val="16"/>
                    </w:rPr>
                  </w:pPr>
                  <w:r w:rsidRPr="00A50DC7">
                    <w:rPr>
                      <w:rFonts w:eastAsia="MS Mincho" w:cstheme="minorHAnsi"/>
                      <w:noProof/>
                      <w:sz w:val="16"/>
                      <w:szCs w:val="16"/>
                    </w:rPr>
                    <w:t>STP or EuroclearConnect for Screens (ICP</w:t>
                  </w:r>
                  <w:r>
                    <w:rPr>
                      <w:rFonts w:eastAsia="MS Mincho" w:cstheme="minorHAnsi"/>
                      <w:noProof/>
                      <w:sz w:val="16"/>
                      <w:szCs w:val="16"/>
                    </w:rPr>
                    <w:t xml:space="preserve"> only</w:t>
                  </w:r>
                  <w:r w:rsidRPr="00A50DC7">
                    <w:rPr>
                      <w:rFonts w:eastAsia="MS Mincho" w:cstheme="minorHAnsi"/>
                      <w:noProof/>
                      <w:sz w:val="16"/>
                      <w:szCs w:val="16"/>
                    </w:rPr>
                    <w:t>)</w:t>
                  </w:r>
                </w:p>
              </w:tc>
              <w:tc>
                <w:tcPr>
                  <w:tcW w:w="1923" w:type="dxa"/>
                  <w:gridSpan w:val="2"/>
                  <w:vAlign w:val="center"/>
                  <w:hideMark/>
                </w:tcPr>
                <w:p w:rsidR="00A50DC7" w:rsidRPr="0019289E" w:rsidRDefault="00A50DC7" w:rsidP="00A50DC7">
                  <w:pPr>
                    <w:jc w:val="center"/>
                    <w:rPr>
                      <w:rFonts w:eastAsia="MS Mincho" w:cstheme="minorHAnsi"/>
                      <w:noProof/>
                      <w:sz w:val="16"/>
                      <w:szCs w:val="16"/>
                      <w:lang w:val="fr-FR"/>
                    </w:rPr>
                  </w:pPr>
                  <w:r>
                    <w:rPr>
                      <w:rFonts w:eastAsia="MS Mincho" w:cstheme="minorHAnsi"/>
                      <w:noProof/>
                      <w:sz w:val="16"/>
                      <w:szCs w:val="16"/>
                      <w:lang w:val="fr-FR"/>
                    </w:rPr>
                    <w:t>Identical CTOs</w:t>
                  </w:r>
                </w:p>
              </w:tc>
              <w:tc>
                <w:tcPr>
                  <w:tcW w:w="1440" w:type="dxa"/>
                  <w:vAlign w:val="center"/>
                  <w:hideMark/>
                </w:tcPr>
                <w:p w:rsidR="00A50DC7" w:rsidRPr="0019289E" w:rsidRDefault="00A50DC7" w:rsidP="009C2D68">
                  <w:pPr>
                    <w:rPr>
                      <w:rFonts w:eastAsia="MS Mincho" w:cstheme="minorHAnsi"/>
                      <w:noProof/>
                      <w:sz w:val="16"/>
                      <w:szCs w:val="16"/>
                      <w:lang w:val="fr-FR"/>
                    </w:rPr>
                  </w:pPr>
                  <w:r>
                    <w:rPr>
                      <w:rFonts w:eastAsia="MS Mincho" w:cstheme="minorHAnsi"/>
                      <w:noProof/>
                      <w:sz w:val="16"/>
                      <w:szCs w:val="16"/>
                      <w:lang w:val="fr-FR"/>
                    </w:rPr>
                    <w:t>Identical ancillary accounting</w:t>
                  </w:r>
                </w:p>
              </w:tc>
              <w:tc>
                <w:tcPr>
                  <w:tcW w:w="1586" w:type="dxa"/>
                  <w:vAlign w:val="center"/>
                  <w:hideMark/>
                </w:tcPr>
                <w:p w:rsidR="00A50DC7" w:rsidRPr="0019289E" w:rsidRDefault="00A50DC7" w:rsidP="009C2D68">
                  <w:pPr>
                    <w:rPr>
                      <w:rFonts w:eastAsia="MS Mincho" w:cstheme="minorHAnsi"/>
                      <w:noProof/>
                      <w:sz w:val="16"/>
                      <w:szCs w:val="16"/>
                      <w:lang w:val="fr-FR"/>
                    </w:rPr>
                  </w:pPr>
                  <w:r>
                    <w:rPr>
                      <w:rFonts w:eastAsia="MS Mincho" w:cstheme="minorHAnsi"/>
                      <w:noProof/>
                      <w:sz w:val="16"/>
                      <w:szCs w:val="16"/>
                      <w:lang w:val="fr-FR"/>
                    </w:rPr>
                    <w:t xml:space="preserve">No </w:t>
                  </w:r>
                  <w:r w:rsidRPr="0019289E">
                    <w:rPr>
                      <w:rFonts w:eastAsia="MS Mincho" w:cstheme="minorHAnsi"/>
                      <w:noProof/>
                      <w:sz w:val="16"/>
                      <w:szCs w:val="16"/>
                      <w:lang w:val="fr-FR"/>
                    </w:rPr>
                    <w:t>r</w:t>
                  </w:r>
                  <w:r>
                    <w:rPr>
                      <w:rFonts w:eastAsia="MS Mincho" w:cstheme="minorHAnsi"/>
                      <w:noProof/>
                      <w:sz w:val="16"/>
                      <w:szCs w:val="16"/>
                      <w:lang w:val="fr-FR"/>
                    </w:rPr>
                    <w:t>e</w:t>
                  </w:r>
                  <w:r w:rsidRPr="0019289E">
                    <w:rPr>
                      <w:rFonts w:eastAsia="MS Mincho" w:cstheme="minorHAnsi"/>
                      <w:noProof/>
                      <w:sz w:val="16"/>
                      <w:szCs w:val="16"/>
                      <w:lang w:val="fr-FR"/>
                    </w:rPr>
                    <w:t>gulari</w:t>
                  </w:r>
                  <w:r>
                    <w:rPr>
                      <w:rFonts w:eastAsia="MS Mincho" w:cstheme="minorHAnsi"/>
                      <w:noProof/>
                      <w:sz w:val="16"/>
                      <w:szCs w:val="16"/>
                      <w:lang w:val="fr-FR"/>
                    </w:rPr>
                    <w:t>z</w:t>
                  </w:r>
                  <w:r w:rsidRPr="0019289E">
                    <w:rPr>
                      <w:rFonts w:eastAsia="MS Mincho" w:cstheme="minorHAnsi"/>
                      <w:noProof/>
                      <w:sz w:val="16"/>
                      <w:szCs w:val="16"/>
                      <w:lang w:val="fr-FR"/>
                    </w:rPr>
                    <w:t>ation</w:t>
                  </w:r>
                </w:p>
              </w:tc>
            </w:tr>
            <w:tr w:rsidR="00A50DC7" w:rsidRPr="00A50DC7" w:rsidTr="009C2D68">
              <w:trPr>
                <w:cnfStyle w:val="000000010000" w:firstRow="0" w:lastRow="0" w:firstColumn="0" w:lastColumn="0" w:oddVBand="0" w:evenVBand="0" w:oddHBand="0" w:evenHBand="1" w:firstRowFirstColumn="0" w:firstRowLastColumn="0" w:lastRowFirstColumn="0" w:lastRowLastColumn="0"/>
                <w:trHeight w:val="581"/>
              </w:trPr>
              <w:tc>
                <w:tcPr>
                  <w:tcW w:w="1016" w:type="dxa"/>
                  <w:vMerge/>
                  <w:vAlign w:val="center"/>
                  <w:hideMark/>
                </w:tcPr>
                <w:p w:rsidR="00A50DC7" w:rsidRPr="0019289E" w:rsidRDefault="00A50DC7" w:rsidP="009C2D68">
                  <w:pPr>
                    <w:rPr>
                      <w:rFonts w:eastAsia="MS Mincho" w:cstheme="minorHAnsi"/>
                      <w:noProof/>
                      <w:sz w:val="16"/>
                      <w:szCs w:val="16"/>
                      <w:lang w:val="fr-FR"/>
                    </w:rPr>
                  </w:pPr>
                </w:p>
              </w:tc>
              <w:tc>
                <w:tcPr>
                  <w:tcW w:w="1206" w:type="dxa"/>
                  <w:vMerge/>
                  <w:vAlign w:val="center"/>
                  <w:hideMark/>
                </w:tcPr>
                <w:p w:rsidR="00A50DC7" w:rsidRPr="0019289E" w:rsidRDefault="00A50DC7" w:rsidP="009C2D68">
                  <w:pPr>
                    <w:rPr>
                      <w:rFonts w:eastAsia="MS Mincho" w:cstheme="minorHAnsi"/>
                      <w:noProof/>
                      <w:sz w:val="16"/>
                      <w:szCs w:val="16"/>
                      <w:lang w:val="fr-FR"/>
                    </w:rPr>
                  </w:pPr>
                </w:p>
              </w:tc>
              <w:tc>
                <w:tcPr>
                  <w:tcW w:w="1923" w:type="dxa"/>
                  <w:gridSpan w:val="2"/>
                  <w:vAlign w:val="center"/>
                  <w:hideMark/>
                </w:tcPr>
                <w:p w:rsidR="00A50DC7" w:rsidRPr="0019289E" w:rsidRDefault="00A50DC7" w:rsidP="009C2D68">
                  <w:pPr>
                    <w:jc w:val="center"/>
                    <w:rPr>
                      <w:rFonts w:eastAsia="MS Mincho" w:cstheme="minorHAnsi"/>
                      <w:noProof/>
                      <w:sz w:val="16"/>
                      <w:szCs w:val="16"/>
                      <w:lang w:val="fr-FR"/>
                    </w:rPr>
                  </w:pPr>
                  <w:r>
                    <w:rPr>
                      <w:rFonts w:eastAsia="MS Mincho" w:cstheme="minorHAnsi"/>
                      <w:noProof/>
                      <w:sz w:val="16"/>
                      <w:szCs w:val="16"/>
                      <w:lang w:val="fr-FR"/>
                    </w:rPr>
                    <w:t xml:space="preserve">Different but consistent </w:t>
                  </w:r>
                  <w:r w:rsidRPr="0019289E">
                    <w:rPr>
                      <w:rFonts w:eastAsia="MS Mincho" w:cstheme="minorHAnsi"/>
                      <w:noProof/>
                      <w:sz w:val="16"/>
                      <w:szCs w:val="16"/>
                      <w:lang w:val="fr-FR"/>
                    </w:rPr>
                    <w:t>CTO</w:t>
                  </w:r>
                  <w:r>
                    <w:rPr>
                      <w:rFonts w:eastAsia="MS Mincho" w:cstheme="minorHAnsi"/>
                      <w:noProof/>
                      <w:sz w:val="16"/>
                      <w:szCs w:val="16"/>
                      <w:lang w:val="fr-FR"/>
                    </w:rPr>
                    <w:t>s</w:t>
                  </w:r>
                  <w:r w:rsidRPr="0019289E">
                    <w:rPr>
                      <w:rFonts w:eastAsia="MS Mincho" w:cstheme="minorHAnsi"/>
                      <w:noProof/>
                      <w:sz w:val="16"/>
                      <w:szCs w:val="16"/>
                      <w:lang w:val="fr-FR"/>
                    </w:rPr>
                    <w:t xml:space="preserve"> </w:t>
                  </w:r>
                </w:p>
              </w:tc>
              <w:tc>
                <w:tcPr>
                  <w:tcW w:w="1440" w:type="dxa"/>
                  <w:vAlign w:val="center"/>
                  <w:hideMark/>
                </w:tcPr>
                <w:p w:rsidR="00A50DC7" w:rsidRPr="00A50DC7" w:rsidRDefault="00A50DC7" w:rsidP="009C2D68">
                  <w:pPr>
                    <w:rPr>
                      <w:rFonts w:eastAsia="MS Mincho" w:cstheme="minorHAnsi"/>
                      <w:noProof/>
                      <w:sz w:val="16"/>
                      <w:szCs w:val="16"/>
                    </w:rPr>
                  </w:pPr>
                  <w:r w:rsidRPr="00A50DC7">
                    <w:rPr>
                      <w:rFonts w:eastAsia="MS Mincho" w:cstheme="minorHAnsi"/>
                      <w:noProof/>
                      <w:sz w:val="16"/>
                      <w:szCs w:val="16"/>
                    </w:rPr>
                    <w:t>Ancillary accounting booked according to CTO of the delivering party</w:t>
                  </w:r>
                </w:p>
              </w:tc>
              <w:tc>
                <w:tcPr>
                  <w:tcW w:w="1586" w:type="dxa"/>
                  <w:vAlign w:val="center"/>
                  <w:hideMark/>
                </w:tcPr>
                <w:p w:rsidR="00A50DC7" w:rsidRPr="00A50DC7" w:rsidRDefault="00A50DC7" w:rsidP="009C2D68">
                  <w:pPr>
                    <w:rPr>
                      <w:rFonts w:eastAsia="MS Mincho" w:cstheme="minorHAnsi"/>
                      <w:noProof/>
                      <w:sz w:val="16"/>
                      <w:szCs w:val="16"/>
                    </w:rPr>
                  </w:pPr>
                  <w:r w:rsidRPr="00A50DC7">
                    <w:rPr>
                      <w:rFonts w:eastAsia="MS Mincho" w:cstheme="minorHAnsi"/>
                      <w:noProof/>
                      <w:sz w:val="16"/>
                      <w:szCs w:val="16"/>
                    </w:rPr>
                    <w:t xml:space="preserve">The </w:t>
                  </w:r>
                  <w:r>
                    <w:rPr>
                      <w:rFonts w:eastAsia="MS Mincho" w:cstheme="minorHAnsi"/>
                      <w:noProof/>
                      <w:sz w:val="16"/>
                      <w:szCs w:val="16"/>
                    </w:rPr>
                    <w:t xml:space="preserve">receiving </w:t>
                  </w:r>
                  <w:r w:rsidRPr="00A50DC7">
                    <w:rPr>
                      <w:rFonts w:eastAsia="MS Mincho" w:cstheme="minorHAnsi"/>
                      <w:noProof/>
                      <w:sz w:val="16"/>
                      <w:szCs w:val="16"/>
                    </w:rPr>
                    <w:t>party will have to regularize its ancillary accounting via Euroclear forms</w:t>
                  </w:r>
                </w:p>
              </w:tc>
            </w:tr>
            <w:tr w:rsidR="000378F0" w:rsidRPr="00A50DC7" w:rsidTr="009C2D68">
              <w:trPr>
                <w:cnfStyle w:val="000000100000" w:firstRow="0" w:lastRow="0" w:firstColumn="0" w:lastColumn="0" w:oddVBand="0" w:evenVBand="0" w:oddHBand="1" w:evenHBand="0" w:firstRowFirstColumn="0" w:firstRowLastColumn="0" w:lastRowFirstColumn="0" w:lastRowLastColumn="0"/>
                <w:trHeight w:val="545"/>
              </w:trPr>
              <w:tc>
                <w:tcPr>
                  <w:tcW w:w="1016" w:type="dxa"/>
                  <w:vMerge/>
                  <w:vAlign w:val="center"/>
                  <w:hideMark/>
                </w:tcPr>
                <w:p w:rsidR="000378F0" w:rsidRPr="00A50DC7" w:rsidRDefault="000378F0" w:rsidP="009C2D68">
                  <w:pPr>
                    <w:rPr>
                      <w:rFonts w:eastAsia="MS Mincho" w:cstheme="minorHAnsi"/>
                      <w:noProof/>
                      <w:sz w:val="16"/>
                      <w:szCs w:val="16"/>
                    </w:rPr>
                  </w:pPr>
                </w:p>
              </w:tc>
              <w:tc>
                <w:tcPr>
                  <w:tcW w:w="1206" w:type="dxa"/>
                  <w:vMerge/>
                  <w:vAlign w:val="center"/>
                  <w:hideMark/>
                </w:tcPr>
                <w:p w:rsidR="000378F0" w:rsidRPr="00A50DC7" w:rsidRDefault="000378F0" w:rsidP="009C2D68">
                  <w:pPr>
                    <w:rPr>
                      <w:rFonts w:eastAsia="MS Mincho" w:cstheme="minorHAnsi"/>
                      <w:noProof/>
                      <w:sz w:val="16"/>
                      <w:szCs w:val="16"/>
                    </w:rPr>
                  </w:pPr>
                </w:p>
              </w:tc>
              <w:tc>
                <w:tcPr>
                  <w:tcW w:w="1923" w:type="dxa"/>
                  <w:gridSpan w:val="2"/>
                  <w:vAlign w:val="center"/>
                  <w:hideMark/>
                </w:tcPr>
                <w:p w:rsidR="000378F0" w:rsidRPr="00A50DC7" w:rsidRDefault="00A50DC7" w:rsidP="00A50DC7">
                  <w:pPr>
                    <w:jc w:val="center"/>
                    <w:rPr>
                      <w:rFonts w:eastAsia="MS Mincho" w:cstheme="minorHAnsi"/>
                      <w:noProof/>
                      <w:sz w:val="16"/>
                      <w:szCs w:val="16"/>
                    </w:rPr>
                  </w:pPr>
                  <w:r w:rsidRPr="00A50DC7">
                    <w:rPr>
                      <w:rFonts w:eastAsia="MS Mincho" w:cstheme="minorHAnsi"/>
                      <w:noProof/>
                      <w:sz w:val="16"/>
                      <w:szCs w:val="16"/>
                    </w:rPr>
                    <w:t>Different and inconsistent CTOs</w:t>
                  </w:r>
                  <w:r w:rsidR="000378F0" w:rsidRPr="00A50DC7">
                    <w:rPr>
                      <w:rFonts w:eastAsia="MS Mincho" w:cstheme="minorHAnsi"/>
                      <w:noProof/>
                      <w:sz w:val="16"/>
                      <w:szCs w:val="16"/>
                    </w:rPr>
                    <w:t xml:space="preserve"> (DCP)</w:t>
                  </w:r>
                </w:p>
              </w:tc>
              <w:tc>
                <w:tcPr>
                  <w:tcW w:w="1440" w:type="dxa"/>
                  <w:vAlign w:val="center"/>
                  <w:hideMark/>
                </w:tcPr>
                <w:p w:rsidR="000378F0" w:rsidRPr="00A50DC7" w:rsidRDefault="00A50DC7" w:rsidP="00A50DC7">
                  <w:pPr>
                    <w:rPr>
                      <w:rFonts w:eastAsia="MS Mincho" w:cstheme="minorHAnsi"/>
                      <w:noProof/>
                      <w:sz w:val="16"/>
                      <w:szCs w:val="16"/>
                    </w:rPr>
                  </w:pPr>
                  <w:r w:rsidRPr="00A50DC7">
                    <w:rPr>
                      <w:rFonts w:eastAsia="MS Mincho" w:cstheme="minorHAnsi"/>
                      <w:noProof/>
                      <w:sz w:val="16"/>
                      <w:szCs w:val="16"/>
                    </w:rPr>
                    <w:t xml:space="preserve">Ancillary accounting booked on accounts 52 </w:t>
                  </w:r>
                  <w:r w:rsidR="000378F0" w:rsidRPr="00A50DC7">
                    <w:rPr>
                      <w:rFonts w:eastAsia="MS Mincho" w:cstheme="minorHAnsi"/>
                      <w:noProof/>
                      <w:sz w:val="16"/>
                      <w:szCs w:val="16"/>
                    </w:rPr>
                    <w:t>(cr</w:t>
                  </w:r>
                  <w:r>
                    <w:rPr>
                      <w:rFonts w:eastAsia="MS Mincho" w:cstheme="minorHAnsi"/>
                      <w:noProof/>
                      <w:sz w:val="16"/>
                      <w:szCs w:val="16"/>
                    </w:rPr>
                    <w:t>e</w:t>
                  </w:r>
                  <w:r w:rsidR="000378F0" w:rsidRPr="00A50DC7">
                    <w:rPr>
                      <w:rFonts w:eastAsia="MS Mincho" w:cstheme="minorHAnsi"/>
                      <w:noProof/>
                      <w:sz w:val="16"/>
                      <w:szCs w:val="16"/>
                    </w:rPr>
                    <w:t xml:space="preserve">dit) </w:t>
                  </w:r>
                  <w:r>
                    <w:rPr>
                      <w:rFonts w:eastAsia="MS Mincho" w:cstheme="minorHAnsi"/>
                      <w:noProof/>
                      <w:sz w:val="16"/>
                      <w:szCs w:val="16"/>
                    </w:rPr>
                    <w:t xml:space="preserve">and </w:t>
                  </w:r>
                  <w:r w:rsidR="000378F0" w:rsidRPr="00A50DC7">
                    <w:rPr>
                      <w:rFonts w:eastAsia="MS Mincho" w:cstheme="minorHAnsi"/>
                      <w:noProof/>
                      <w:sz w:val="16"/>
                      <w:szCs w:val="16"/>
                    </w:rPr>
                    <w:t>62 (d</w:t>
                  </w:r>
                  <w:r>
                    <w:rPr>
                      <w:rFonts w:eastAsia="MS Mincho" w:cstheme="minorHAnsi"/>
                      <w:noProof/>
                      <w:sz w:val="16"/>
                      <w:szCs w:val="16"/>
                    </w:rPr>
                    <w:t>e</w:t>
                  </w:r>
                  <w:r w:rsidR="000378F0" w:rsidRPr="00A50DC7">
                    <w:rPr>
                      <w:rFonts w:eastAsia="MS Mincho" w:cstheme="minorHAnsi"/>
                      <w:noProof/>
                      <w:sz w:val="16"/>
                      <w:szCs w:val="16"/>
                    </w:rPr>
                    <w:t>bit)</w:t>
                  </w:r>
                </w:p>
              </w:tc>
              <w:tc>
                <w:tcPr>
                  <w:tcW w:w="1586" w:type="dxa"/>
                  <w:vAlign w:val="center"/>
                  <w:hideMark/>
                </w:tcPr>
                <w:p w:rsidR="000378F0" w:rsidRPr="00A50DC7" w:rsidRDefault="00A50DC7" w:rsidP="009C2D68">
                  <w:pPr>
                    <w:rPr>
                      <w:rFonts w:eastAsia="MS Mincho" w:cstheme="minorHAnsi"/>
                      <w:noProof/>
                      <w:sz w:val="16"/>
                      <w:szCs w:val="16"/>
                    </w:rPr>
                  </w:pPr>
                  <w:r w:rsidRPr="00A50DC7">
                    <w:rPr>
                      <w:rFonts w:eastAsia="MS Mincho" w:cstheme="minorHAnsi"/>
                      <w:noProof/>
                      <w:sz w:val="16"/>
                      <w:szCs w:val="16"/>
                    </w:rPr>
                    <w:t>Both participants will have to regularize their ancillary accounting via Euroclear forms</w:t>
                  </w:r>
                </w:p>
              </w:tc>
            </w:tr>
            <w:tr w:rsidR="00A50DC7" w:rsidRPr="00A50DC7" w:rsidTr="009C2D68">
              <w:trPr>
                <w:cnfStyle w:val="000000010000" w:firstRow="0" w:lastRow="0" w:firstColumn="0" w:lastColumn="0" w:oddVBand="0" w:evenVBand="0" w:oddHBand="0" w:evenHBand="1" w:firstRowFirstColumn="0" w:firstRowLastColumn="0" w:lastRowFirstColumn="0" w:lastRowLastColumn="0"/>
                <w:trHeight w:val="817"/>
              </w:trPr>
              <w:tc>
                <w:tcPr>
                  <w:tcW w:w="1016" w:type="dxa"/>
                  <w:vMerge w:val="restart"/>
                  <w:vAlign w:val="center"/>
                  <w:hideMark/>
                </w:tcPr>
                <w:p w:rsidR="00A50DC7" w:rsidRPr="0019289E" w:rsidRDefault="00A50DC7" w:rsidP="009C2D68">
                  <w:pPr>
                    <w:rPr>
                      <w:rFonts w:eastAsia="MS Mincho" w:cstheme="minorHAnsi"/>
                      <w:noProof/>
                      <w:sz w:val="16"/>
                      <w:szCs w:val="16"/>
                      <w:lang w:val="fr-FR"/>
                    </w:rPr>
                  </w:pPr>
                  <w:r w:rsidRPr="0019289E">
                    <w:rPr>
                      <w:rFonts w:eastAsia="MS Mincho" w:cstheme="minorHAnsi"/>
                      <w:noProof/>
                      <w:sz w:val="16"/>
                      <w:szCs w:val="16"/>
                      <w:lang w:val="fr-FR"/>
                    </w:rPr>
                    <w:t xml:space="preserve">DCP </w:t>
                  </w:r>
                  <w:r>
                    <w:rPr>
                      <w:rFonts w:eastAsia="MS Mincho" w:cstheme="minorHAnsi"/>
                      <w:noProof/>
                      <w:sz w:val="16"/>
                      <w:szCs w:val="16"/>
                      <w:lang w:val="fr-FR"/>
                    </w:rPr>
                    <w:t xml:space="preserve">Vs </w:t>
                  </w:r>
                  <w:r w:rsidRPr="0019289E">
                    <w:rPr>
                      <w:rFonts w:eastAsia="MS Mincho" w:cstheme="minorHAnsi"/>
                      <w:noProof/>
                      <w:sz w:val="16"/>
                      <w:szCs w:val="16"/>
                      <w:lang w:val="fr-FR"/>
                    </w:rPr>
                    <w:t>DCP</w:t>
                  </w:r>
                </w:p>
              </w:tc>
              <w:tc>
                <w:tcPr>
                  <w:tcW w:w="1206" w:type="dxa"/>
                  <w:vMerge w:val="restart"/>
                  <w:vAlign w:val="center"/>
                  <w:hideMark/>
                </w:tcPr>
                <w:p w:rsidR="00A50DC7" w:rsidRPr="0019289E" w:rsidRDefault="00A50DC7" w:rsidP="00A50DC7">
                  <w:pPr>
                    <w:rPr>
                      <w:rFonts w:eastAsia="MS Mincho" w:cstheme="minorHAnsi"/>
                      <w:noProof/>
                      <w:sz w:val="16"/>
                      <w:szCs w:val="16"/>
                      <w:lang w:val="fr-FR"/>
                    </w:rPr>
                  </w:pPr>
                  <w:r w:rsidRPr="0019289E">
                    <w:rPr>
                      <w:rFonts w:eastAsia="MS Mincho" w:cstheme="minorHAnsi"/>
                      <w:noProof/>
                      <w:sz w:val="16"/>
                      <w:szCs w:val="16"/>
                      <w:lang w:val="fr-FR"/>
                    </w:rPr>
                    <w:t>T2S GUI</w:t>
                  </w:r>
                </w:p>
              </w:tc>
              <w:tc>
                <w:tcPr>
                  <w:tcW w:w="1191" w:type="dxa"/>
                  <w:vAlign w:val="center"/>
                  <w:hideMark/>
                </w:tcPr>
                <w:p w:rsidR="00A50DC7" w:rsidRPr="0019289E" w:rsidRDefault="00A50DC7" w:rsidP="00A50DC7">
                  <w:pPr>
                    <w:rPr>
                      <w:rFonts w:eastAsia="MS Mincho" w:cstheme="minorHAnsi"/>
                      <w:noProof/>
                      <w:sz w:val="16"/>
                      <w:szCs w:val="16"/>
                      <w:lang w:val="fr-FR"/>
                    </w:rPr>
                  </w:pPr>
                  <w:r w:rsidRPr="0019289E">
                    <w:rPr>
                      <w:rFonts w:eastAsia="MS Mincho" w:cstheme="minorHAnsi"/>
                      <w:noProof/>
                      <w:sz w:val="16"/>
                      <w:szCs w:val="16"/>
                      <w:lang w:val="fr-FR"/>
                    </w:rPr>
                    <w:t xml:space="preserve">CTO </w:t>
                  </w:r>
                  <w:r>
                    <w:rPr>
                      <w:rFonts w:eastAsia="MS Mincho" w:cstheme="minorHAnsi"/>
                      <w:noProof/>
                      <w:sz w:val="16"/>
                      <w:szCs w:val="16"/>
                      <w:lang w:val="fr-FR"/>
                    </w:rPr>
                    <w:t>at blank</w:t>
                  </w:r>
                </w:p>
              </w:tc>
              <w:tc>
                <w:tcPr>
                  <w:tcW w:w="732" w:type="dxa"/>
                  <w:vAlign w:val="center"/>
                  <w:hideMark/>
                </w:tcPr>
                <w:p w:rsidR="00A50DC7" w:rsidRPr="0019289E" w:rsidRDefault="00A50DC7" w:rsidP="00A50DC7">
                  <w:pPr>
                    <w:rPr>
                      <w:rFonts w:eastAsia="MS Mincho" w:cstheme="minorHAnsi"/>
                      <w:noProof/>
                      <w:sz w:val="16"/>
                      <w:szCs w:val="16"/>
                      <w:lang w:val="fr-FR"/>
                    </w:rPr>
                  </w:pPr>
                  <w:r w:rsidRPr="0019289E">
                    <w:rPr>
                      <w:rFonts w:eastAsia="MS Mincho" w:cstheme="minorHAnsi"/>
                      <w:noProof/>
                      <w:sz w:val="16"/>
                      <w:szCs w:val="16"/>
                      <w:lang w:val="fr-FR"/>
                    </w:rPr>
                    <w:t xml:space="preserve">CTO </w:t>
                  </w:r>
                  <w:r>
                    <w:rPr>
                      <w:rFonts w:eastAsia="MS Mincho" w:cstheme="minorHAnsi"/>
                      <w:noProof/>
                      <w:sz w:val="16"/>
                      <w:szCs w:val="16"/>
                      <w:lang w:val="fr-FR"/>
                    </w:rPr>
                    <w:t>filled</w:t>
                  </w:r>
                </w:p>
              </w:tc>
              <w:tc>
                <w:tcPr>
                  <w:tcW w:w="1440" w:type="dxa"/>
                  <w:vAlign w:val="center"/>
                  <w:hideMark/>
                </w:tcPr>
                <w:p w:rsidR="00A50DC7" w:rsidRPr="00A50DC7" w:rsidRDefault="00A50DC7" w:rsidP="009C2D68">
                  <w:pPr>
                    <w:rPr>
                      <w:rFonts w:eastAsia="MS Mincho" w:cstheme="minorHAnsi"/>
                      <w:noProof/>
                      <w:sz w:val="16"/>
                      <w:szCs w:val="16"/>
                    </w:rPr>
                  </w:pPr>
                  <w:r w:rsidRPr="00A50DC7">
                    <w:rPr>
                      <w:rFonts w:eastAsia="MS Mincho" w:cstheme="minorHAnsi"/>
                      <w:noProof/>
                      <w:sz w:val="16"/>
                      <w:szCs w:val="16"/>
                    </w:rPr>
                    <w:t>Ancillary accounting booked on accounts 52 (cr</w:t>
                  </w:r>
                  <w:r>
                    <w:rPr>
                      <w:rFonts w:eastAsia="MS Mincho" w:cstheme="minorHAnsi"/>
                      <w:noProof/>
                      <w:sz w:val="16"/>
                      <w:szCs w:val="16"/>
                    </w:rPr>
                    <w:t>e</w:t>
                  </w:r>
                  <w:r w:rsidRPr="00A50DC7">
                    <w:rPr>
                      <w:rFonts w:eastAsia="MS Mincho" w:cstheme="minorHAnsi"/>
                      <w:noProof/>
                      <w:sz w:val="16"/>
                      <w:szCs w:val="16"/>
                    </w:rPr>
                    <w:t xml:space="preserve">dit) </w:t>
                  </w:r>
                  <w:r>
                    <w:rPr>
                      <w:rFonts w:eastAsia="MS Mincho" w:cstheme="minorHAnsi"/>
                      <w:noProof/>
                      <w:sz w:val="16"/>
                      <w:szCs w:val="16"/>
                    </w:rPr>
                    <w:t xml:space="preserve">and </w:t>
                  </w:r>
                  <w:r w:rsidRPr="00A50DC7">
                    <w:rPr>
                      <w:rFonts w:eastAsia="MS Mincho" w:cstheme="minorHAnsi"/>
                      <w:noProof/>
                      <w:sz w:val="16"/>
                      <w:szCs w:val="16"/>
                    </w:rPr>
                    <w:t>62 (d</w:t>
                  </w:r>
                  <w:r>
                    <w:rPr>
                      <w:rFonts w:eastAsia="MS Mincho" w:cstheme="minorHAnsi"/>
                      <w:noProof/>
                      <w:sz w:val="16"/>
                      <w:szCs w:val="16"/>
                    </w:rPr>
                    <w:t>e</w:t>
                  </w:r>
                  <w:r w:rsidRPr="00A50DC7">
                    <w:rPr>
                      <w:rFonts w:eastAsia="MS Mincho" w:cstheme="minorHAnsi"/>
                      <w:noProof/>
                      <w:sz w:val="16"/>
                      <w:szCs w:val="16"/>
                    </w:rPr>
                    <w:t>bit)</w:t>
                  </w:r>
                  <w:r>
                    <w:rPr>
                      <w:rFonts w:eastAsia="MS Mincho" w:cstheme="minorHAnsi"/>
                      <w:noProof/>
                      <w:sz w:val="16"/>
                      <w:szCs w:val="16"/>
                    </w:rPr>
                    <w:t xml:space="preserve"> – case of FOP</w:t>
                  </w:r>
                </w:p>
              </w:tc>
              <w:tc>
                <w:tcPr>
                  <w:tcW w:w="1586" w:type="dxa"/>
                  <w:vAlign w:val="center"/>
                  <w:hideMark/>
                </w:tcPr>
                <w:p w:rsidR="00A50DC7" w:rsidRPr="00A50DC7" w:rsidRDefault="00A50DC7" w:rsidP="009C2D68">
                  <w:pPr>
                    <w:rPr>
                      <w:rFonts w:eastAsia="MS Mincho" w:cstheme="minorHAnsi"/>
                      <w:noProof/>
                      <w:sz w:val="16"/>
                      <w:szCs w:val="16"/>
                    </w:rPr>
                  </w:pPr>
                  <w:r w:rsidRPr="00A50DC7">
                    <w:rPr>
                      <w:rFonts w:eastAsia="MS Mincho" w:cstheme="minorHAnsi"/>
                      <w:noProof/>
                      <w:sz w:val="16"/>
                      <w:szCs w:val="16"/>
                    </w:rPr>
                    <w:t>Both participants will have to regularize their ancillary accounting via Euroclear forms</w:t>
                  </w:r>
                </w:p>
              </w:tc>
            </w:tr>
            <w:tr w:rsidR="00A50DC7" w:rsidRPr="00A50DC7" w:rsidTr="009C2D68">
              <w:trPr>
                <w:cnfStyle w:val="000000100000" w:firstRow="0" w:lastRow="0" w:firstColumn="0" w:lastColumn="0" w:oddVBand="0" w:evenVBand="0" w:oddHBand="1" w:evenHBand="0" w:firstRowFirstColumn="0" w:firstRowLastColumn="0" w:lastRowFirstColumn="0" w:lastRowLastColumn="0"/>
                <w:trHeight w:val="752"/>
              </w:trPr>
              <w:tc>
                <w:tcPr>
                  <w:tcW w:w="1016" w:type="dxa"/>
                  <w:vMerge/>
                  <w:vAlign w:val="center"/>
                  <w:hideMark/>
                </w:tcPr>
                <w:p w:rsidR="00A50DC7" w:rsidRPr="00A50DC7" w:rsidRDefault="00A50DC7" w:rsidP="009C2D68">
                  <w:pPr>
                    <w:rPr>
                      <w:rFonts w:eastAsia="MS Mincho" w:cstheme="minorHAnsi"/>
                      <w:noProof/>
                      <w:sz w:val="16"/>
                      <w:szCs w:val="16"/>
                    </w:rPr>
                  </w:pPr>
                </w:p>
              </w:tc>
              <w:tc>
                <w:tcPr>
                  <w:tcW w:w="1206" w:type="dxa"/>
                  <w:vMerge/>
                  <w:vAlign w:val="center"/>
                  <w:hideMark/>
                </w:tcPr>
                <w:p w:rsidR="00A50DC7" w:rsidRPr="00A50DC7" w:rsidRDefault="00A50DC7" w:rsidP="009C2D68">
                  <w:pPr>
                    <w:rPr>
                      <w:rFonts w:eastAsia="MS Mincho" w:cstheme="minorHAnsi"/>
                      <w:noProof/>
                      <w:sz w:val="16"/>
                      <w:szCs w:val="16"/>
                    </w:rPr>
                  </w:pPr>
                </w:p>
              </w:tc>
              <w:tc>
                <w:tcPr>
                  <w:tcW w:w="1191" w:type="dxa"/>
                  <w:vAlign w:val="center"/>
                  <w:hideMark/>
                </w:tcPr>
                <w:p w:rsidR="00A50DC7" w:rsidRPr="0019289E" w:rsidRDefault="00A50DC7" w:rsidP="009C2D68">
                  <w:pPr>
                    <w:rPr>
                      <w:rFonts w:eastAsia="MS Mincho" w:cstheme="minorHAnsi"/>
                      <w:noProof/>
                      <w:sz w:val="16"/>
                      <w:szCs w:val="16"/>
                      <w:lang w:val="fr-FR"/>
                    </w:rPr>
                  </w:pPr>
                  <w:r w:rsidRPr="0019289E">
                    <w:rPr>
                      <w:rFonts w:eastAsia="MS Mincho" w:cstheme="minorHAnsi"/>
                      <w:noProof/>
                      <w:sz w:val="16"/>
                      <w:szCs w:val="16"/>
                      <w:lang w:val="fr-FR"/>
                    </w:rPr>
                    <w:t xml:space="preserve">CTO </w:t>
                  </w:r>
                  <w:r>
                    <w:rPr>
                      <w:rFonts w:eastAsia="MS Mincho" w:cstheme="minorHAnsi"/>
                      <w:noProof/>
                      <w:sz w:val="16"/>
                      <w:szCs w:val="16"/>
                      <w:lang w:val="fr-FR"/>
                    </w:rPr>
                    <w:t>at blank</w:t>
                  </w:r>
                </w:p>
              </w:tc>
              <w:tc>
                <w:tcPr>
                  <w:tcW w:w="732" w:type="dxa"/>
                  <w:vAlign w:val="center"/>
                  <w:hideMark/>
                </w:tcPr>
                <w:p w:rsidR="00A50DC7" w:rsidRPr="0019289E" w:rsidRDefault="00A50DC7" w:rsidP="009C2D68">
                  <w:pPr>
                    <w:rPr>
                      <w:rFonts w:eastAsia="MS Mincho" w:cstheme="minorHAnsi"/>
                      <w:noProof/>
                      <w:sz w:val="16"/>
                      <w:szCs w:val="16"/>
                      <w:lang w:val="fr-FR"/>
                    </w:rPr>
                  </w:pPr>
                  <w:r w:rsidRPr="0019289E">
                    <w:rPr>
                      <w:rFonts w:eastAsia="MS Mincho" w:cstheme="minorHAnsi"/>
                      <w:noProof/>
                      <w:sz w:val="16"/>
                      <w:szCs w:val="16"/>
                      <w:lang w:val="fr-FR"/>
                    </w:rPr>
                    <w:t xml:space="preserve">CTO </w:t>
                  </w:r>
                  <w:r>
                    <w:rPr>
                      <w:rFonts w:eastAsia="MS Mincho" w:cstheme="minorHAnsi"/>
                      <w:noProof/>
                      <w:sz w:val="16"/>
                      <w:szCs w:val="16"/>
                      <w:lang w:val="fr-FR"/>
                    </w:rPr>
                    <w:t>filled</w:t>
                  </w:r>
                </w:p>
              </w:tc>
              <w:tc>
                <w:tcPr>
                  <w:tcW w:w="1440" w:type="dxa"/>
                  <w:vAlign w:val="center"/>
                  <w:hideMark/>
                </w:tcPr>
                <w:p w:rsidR="00A50DC7" w:rsidRPr="00A50DC7" w:rsidRDefault="00A50DC7" w:rsidP="00A50DC7">
                  <w:pPr>
                    <w:rPr>
                      <w:rFonts w:eastAsia="MS Mincho" w:cstheme="minorHAnsi"/>
                      <w:noProof/>
                      <w:sz w:val="16"/>
                      <w:szCs w:val="16"/>
                    </w:rPr>
                  </w:pPr>
                  <w:r w:rsidRPr="00A50DC7">
                    <w:rPr>
                      <w:rFonts w:eastAsia="MS Mincho" w:cstheme="minorHAnsi"/>
                      <w:noProof/>
                      <w:sz w:val="16"/>
                      <w:szCs w:val="16"/>
                    </w:rPr>
                    <w:t>Ancillary accounting identical in the case of DVP/RVP DWP/RWP (CTO=GO)</w:t>
                  </w:r>
                </w:p>
              </w:tc>
              <w:tc>
                <w:tcPr>
                  <w:tcW w:w="1586" w:type="dxa"/>
                  <w:vAlign w:val="center"/>
                  <w:hideMark/>
                </w:tcPr>
                <w:p w:rsidR="00A50DC7" w:rsidRPr="00A50DC7" w:rsidRDefault="00A50DC7" w:rsidP="009C2D68">
                  <w:pPr>
                    <w:rPr>
                      <w:rFonts w:eastAsia="MS Mincho" w:cstheme="minorHAnsi"/>
                      <w:noProof/>
                      <w:sz w:val="16"/>
                      <w:szCs w:val="16"/>
                    </w:rPr>
                  </w:pPr>
                  <w:r w:rsidRPr="00A50DC7">
                    <w:rPr>
                      <w:rFonts w:eastAsia="MS Mincho" w:cstheme="minorHAnsi"/>
                      <w:noProof/>
                      <w:sz w:val="16"/>
                      <w:szCs w:val="16"/>
                    </w:rPr>
                    <w:t>Both participants will have to regularize their ancillary accounting via Euroclear forms</w:t>
                  </w:r>
                </w:p>
              </w:tc>
            </w:tr>
            <w:tr w:rsidR="00A50DC7" w:rsidRPr="005852BA" w:rsidTr="009C2D68">
              <w:trPr>
                <w:cnfStyle w:val="000000010000" w:firstRow="0" w:lastRow="0" w:firstColumn="0" w:lastColumn="0" w:oddVBand="0" w:evenVBand="0" w:oddHBand="0" w:evenHBand="1" w:firstRowFirstColumn="0" w:firstRowLastColumn="0" w:lastRowFirstColumn="0" w:lastRowLastColumn="0"/>
                <w:trHeight w:val="712"/>
              </w:trPr>
              <w:tc>
                <w:tcPr>
                  <w:tcW w:w="1016" w:type="dxa"/>
                  <w:vMerge w:val="restart"/>
                  <w:vAlign w:val="center"/>
                  <w:hideMark/>
                </w:tcPr>
                <w:p w:rsidR="00A50DC7" w:rsidRPr="0019289E" w:rsidRDefault="00A50DC7" w:rsidP="009C2D68">
                  <w:pPr>
                    <w:rPr>
                      <w:rFonts w:eastAsia="MS Mincho" w:cstheme="minorHAnsi"/>
                      <w:noProof/>
                      <w:sz w:val="16"/>
                      <w:szCs w:val="16"/>
                      <w:lang w:val="fr-FR"/>
                    </w:rPr>
                  </w:pPr>
                  <w:r w:rsidRPr="0019289E">
                    <w:rPr>
                      <w:rFonts w:eastAsia="MS Mincho" w:cstheme="minorHAnsi"/>
                      <w:noProof/>
                      <w:sz w:val="16"/>
                      <w:szCs w:val="16"/>
                      <w:lang w:val="fr-FR"/>
                    </w:rPr>
                    <w:t xml:space="preserve">DCP </w:t>
                  </w:r>
                  <w:r>
                    <w:rPr>
                      <w:rFonts w:eastAsia="MS Mincho" w:cstheme="minorHAnsi"/>
                      <w:noProof/>
                      <w:sz w:val="16"/>
                      <w:szCs w:val="16"/>
                      <w:lang w:val="fr-FR"/>
                    </w:rPr>
                    <w:t xml:space="preserve">Vs </w:t>
                  </w:r>
                  <w:r w:rsidRPr="0019289E">
                    <w:rPr>
                      <w:rFonts w:eastAsia="MS Mincho" w:cstheme="minorHAnsi"/>
                      <w:noProof/>
                      <w:sz w:val="16"/>
                      <w:szCs w:val="16"/>
                      <w:lang w:val="fr-FR"/>
                    </w:rPr>
                    <w:t xml:space="preserve"> ICP</w:t>
                  </w:r>
                </w:p>
              </w:tc>
              <w:tc>
                <w:tcPr>
                  <w:tcW w:w="1206" w:type="dxa"/>
                  <w:vMerge w:val="restart"/>
                  <w:vAlign w:val="center"/>
                  <w:hideMark/>
                </w:tcPr>
                <w:p w:rsidR="00A50DC7" w:rsidRPr="00A50DC7" w:rsidRDefault="00A50DC7" w:rsidP="009C2D68">
                  <w:pPr>
                    <w:rPr>
                      <w:rFonts w:eastAsia="MS Mincho" w:cstheme="minorHAnsi"/>
                      <w:noProof/>
                      <w:sz w:val="16"/>
                      <w:szCs w:val="16"/>
                    </w:rPr>
                  </w:pPr>
                  <w:r w:rsidRPr="00A50DC7">
                    <w:rPr>
                      <w:rFonts w:eastAsia="MS Mincho" w:cstheme="minorHAnsi"/>
                      <w:noProof/>
                      <w:sz w:val="16"/>
                      <w:szCs w:val="16"/>
                    </w:rPr>
                    <w:t>(DCP) T2S GUI</w:t>
                  </w:r>
                </w:p>
                <w:p w:rsidR="00A50DC7" w:rsidRPr="00A50DC7" w:rsidRDefault="00A50DC7" w:rsidP="00A50DC7">
                  <w:pPr>
                    <w:rPr>
                      <w:rFonts w:eastAsia="MS Mincho" w:cstheme="minorHAnsi"/>
                      <w:noProof/>
                      <w:sz w:val="16"/>
                      <w:szCs w:val="16"/>
                    </w:rPr>
                  </w:pPr>
                  <w:r w:rsidRPr="00A50DC7">
                    <w:rPr>
                      <w:rFonts w:eastAsia="MS Mincho" w:cstheme="minorHAnsi"/>
                      <w:noProof/>
                      <w:sz w:val="16"/>
                      <w:szCs w:val="16"/>
                    </w:rPr>
                    <w:t>(ICP) STP or EuroclearConnect</w:t>
                  </w:r>
                  <w:r>
                    <w:rPr>
                      <w:rFonts w:eastAsia="MS Mincho" w:cstheme="minorHAnsi"/>
                      <w:noProof/>
                      <w:sz w:val="16"/>
                      <w:szCs w:val="16"/>
                    </w:rPr>
                    <w:t xml:space="preserve"> for Screens</w:t>
                  </w:r>
                </w:p>
              </w:tc>
              <w:tc>
                <w:tcPr>
                  <w:tcW w:w="1191" w:type="dxa"/>
                  <w:vMerge w:val="restart"/>
                  <w:vAlign w:val="center"/>
                  <w:hideMark/>
                </w:tcPr>
                <w:p w:rsidR="00A50DC7" w:rsidRPr="00A50DC7" w:rsidRDefault="00A50DC7" w:rsidP="00A50DC7">
                  <w:pPr>
                    <w:rPr>
                      <w:rFonts w:eastAsia="MS Mincho" w:cstheme="minorHAnsi"/>
                      <w:noProof/>
                      <w:sz w:val="16"/>
                      <w:szCs w:val="16"/>
                    </w:rPr>
                  </w:pPr>
                  <w:r w:rsidRPr="00A50DC7">
                    <w:rPr>
                      <w:rFonts w:eastAsia="MS Mincho" w:cstheme="minorHAnsi"/>
                      <w:noProof/>
                      <w:sz w:val="16"/>
                      <w:szCs w:val="16"/>
                    </w:rPr>
                    <w:t>CTO missing (not possible to input via GUI)</w:t>
                  </w:r>
                </w:p>
              </w:tc>
              <w:tc>
                <w:tcPr>
                  <w:tcW w:w="732" w:type="dxa"/>
                  <w:vAlign w:val="center"/>
                  <w:hideMark/>
                </w:tcPr>
                <w:p w:rsidR="00A50DC7" w:rsidRPr="0019289E" w:rsidRDefault="00A50DC7" w:rsidP="00A50DC7">
                  <w:pPr>
                    <w:rPr>
                      <w:rFonts w:eastAsia="MS Mincho" w:cstheme="minorHAnsi"/>
                      <w:noProof/>
                      <w:sz w:val="16"/>
                      <w:szCs w:val="16"/>
                      <w:lang w:val="fr-FR"/>
                    </w:rPr>
                  </w:pPr>
                  <w:r w:rsidRPr="0019289E">
                    <w:rPr>
                      <w:rFonts w:eastAsia="MS Mincho" w:cstheme="minorHAnsi"/>
                      <w:noProof/>
                      <w:sz w:val="16"/>
                      <w:szCs w:val="16"/>
                      <w:lang w:val="fr-FR"/>
                    </w:rPr>
                    <w:t xml:space="preserve">CTO </w:t>
                  </w:r>
                  <w:r>
                    <w:rPr>
                      <w:rFonts w:eastAsia="MS Mincho" w:cstheme="minorHAnsi"/>
                      <w:noProof/>
                      <w:sz w:val="16"/>
                      <w:szCs w:val="16"/>
                      <w:lang w:val="fr-FR"/>
                    </w:rPr>
                    <w:t>filled</w:t>
                  </w:r>
                </w:p>
              </w:tc>
              <w:tc>
                <w:tcPr>
                  <w:tcW w:w="1440" w:type="dxa"/>
                  <w:vAlign w:val="center"/>
                  <w:hideMark/>
                </w:tcPr>
                <w:p w:rsidR="00A50DC7" w:rsidRPr="005852BA" w:rsidRDefault="005852BA" w:rsidP="005852BA">
                  <w:pPr>
                    <w:rPr>
                      <w:rFonts w:eastAsia="MS Mincho" w:cstheme="minorHAnsi"/>
                      <w:noProof/>
                      <w:sz w:val="16"/>
                      <w:szCs w:val="16"/>
                    </w:rPr>
                  </w:pPr>
                  <w:r w:rsidRPr="005852BA">
                    <w:rPr>
                      <w:rFonts w:eastAsia="MS Mincho" w:cstheme="minorHAnsi"/>
                      <w:noProof/>
                      <w:sz w:val="16"/>
                      <w:szCs w:val="16"/>
                    </w:rPr>
                    <w:t xml:space="preserve">Ancillary accounting booked according to CTO of the delivering party </w:t>
                  </w:r>
                  <w:r w:rsidR="00A50DC7" w:rsidRPr="005852BA">
                    <w:rPr>
                      <w:rFonts w:eastAsia="MS Mincho" w:cstheme="minorHAnsi"/>
                      <w:noProof/>
                      <w:sz w:val="16"/>
                      <w:szCs w:val="16"/>
                    </w:rPr>
                    <w:t>(</w:t>
                  </w:r>
                  <w:r>
                    <w:rPr>
                      <w:rFonts w:eastAsia="MS Mincho" w:cstheme="minorHAnsi"/>
                      <w:noProof/>
                      <w:sz w:val="16"/>
                      <w:szCs w:val="16"/>
                    </w:rPr>
                    <w:t xml:space="preserve">delivering party </w:t>
                  </w:r>
                  <w:r w:rsidR="00A50DC7" w:rsidRPr="005852BA">
                    <w:rPr>
                      <w:rFonts w:eastAsia="MS Mincho" w:cstheme="minorHAnsi"/>
                      <w:noProof/>
                      <w:sz w:val="16"/>
                      <w:szCs w:val="16"/>
                    </w:rPr>
                    <w:t>ICP)</w:t>
                  </w:r>
                </w:p>
              </w:tc>
              <w:tc>
                <w:tcPr>
                  <w:tcW w:w="1586" w:type="dxa"/>
                  <w:vAlign w:val="center"/>
                  <w:hideMark/>
                </w:tcPr>
                <w:p w:rsidR="00A50DC7" w:rsidRPr="005852BA" w:rsidRDefault="005852BA" w:rsidP="009C2D68">
                  <w:pPr>
                    <w:rPr>
                      <w:rFonts w:eastAsia="MS Mincho" w:cstheme="minorHAnsi"/>
                      <w:noProof/>
                      <w:sz w:val="16"/>
                      <w:szCs w:val="16"/>
                    </w:rPr>
                  </w:pPr>
                  <w:r w:rsidRPr="00A50DC7">
                    <w:rPr>
                      <w:rFonts w:eastAsia="MS Mincho" w:cstheme="minorHAnsi"/>
                      <w:noProof/>
                      <w:sz w:val="16"/>
                      <w:szCs w:val="16"/>
                    </w:rPr>
                    <w:t xml:space="preserve">The </w:t>
                  </w:r>
                  <w:r>
                    <w:rPr>
                      <w:rFonts w:eastAsia="MS Mincho" w:cstheme="minorHAnsi"/>
                      <w:noProof/>
                      <w:sz w:val="16"/>
                      <w:szCs w:val="16"/>
                    </w:rPr>
                    <w:t xml:space="preserve">receiving </w:t>
                  </w:r>
                  <w:r w:rsidRPr="00A50DC7">
                    <w:rPr>
                      <w:rFonts w:eastAsia="MS Mincho" w:cstheme="minorHAnsi"/>
                      <w:noProof/>
                      <w:sz w:val="16"/>
                      <w:szCs w:val="16"/>
                    </w:rPr>
                    <w:t>party will have to regularize its ancillary accounting via Euroclear forms</w:t>
                  </w:r>
                </w:p>
              </w:tc>
            </w:tr>
            <w:tr w:rsidR="00A50DC7" w:rsidRPr="005852BA" w:rsidTr="009C2D68">
              <w:trPr>
                <w:cnfStyle w:val="000000100000" w:firstRow="0" w:lastRow="0" w:firstColumn="0" w:lastColumn="0" w:oddVBand="0" w:evenVBand="0" w:oddHBand="1" w:evenHBand="0" w:firstRowFirstColumn="0" w:firstRowLastColumn="0" w:lastRowFirstColumn="0" w:lastRowLastColumn="0"/>
                <w:trHeight w:val="712"/>
              </w:trPr>
              <w:tc>
                <w:tcPr>
                  <w:tcW w:w="1016" w:type="dxa"/>
                  <w:vMerge/>
                  <w:vAlign w:val="center"/>
                  <w:hideMark/>
                </w:tcPr>
                <w:p w:rsidR="00A50DC7" w:rsidRPr="005852BA" w:rsidRDefault="00A50DC7" w:rsidP="009C2D68">
                  <w:pPr>
                    <w:rPr>
                      <w:rFonts w:eastAsia="MS Mincho" w:cstheme="minorHAnsi"/>
                      <w:noProof/>
                      <w:sz w:val="16"/>
                      <w:szCs w:val="16"/>
                    </w:rPr>
                  </w:pPr>
                </w:p>
              </w:tc>
              <w:tc>
                <w:tcPr>
                  <w:tcW w:w="1206" w:type="dxa"/>
                  <w:vMerge/>
                  <w:vAlign w:val="center"/>
                  <w:hideMark/>
                </w:tcPr>
                <w:p w:rsidR="00A50DC7" w:rsidRPr="005852BA" w:rsidRDefault="00A50DC7" w:rsidP="009C2D68">
                  <w:pPr>
                    <w:rPr>
                      <w:rFonts w:eastAsia="MS Mincho" w:cstheme="minorHAnsi"/>
                      <w:noProof/>
                      <w:sz w:val="16"/>
                      <w:szCs w:val="16"/>
                    </w:rPr>
                  </w:pPr>
                </w:p>
              </w:tc>
              <w:tc>
                <w:tcPr>
                  <w:tcW w:w="1191" w:type="dxa"/>
                  <w:vMerge/>
                  <w:vAlign w:val="center"/>
                  <w:hideMark/>
                </w:tcPr>
                <w:p w:rsidR="00A50DC7" w:rsidRPr="005852BA" w:rsidRDefault="00A50DC7" w:rsidP="009C2D68">
                  <w:pPr>
                    <w:rPr>
                      <w:rFonts w:eastAsia="MS Mincho" w:cstheme="minorHAnsi"/>
                      <w:noProof/>
                      <w:sz w:val="16"/>
                      <w:szCs w:val="16"/>
                    </w:rPr>
                  </w:pPr>
                </w:p>
              </w:tc>
              <w:tc>
                <w:tcPr>
                  <w:tcW w:w="732" w:type="dxa"/>
                  <w:vAlign w:val="center"/>
                  <w:hideMark/>
                </w:tcPr>
                <w:p w:rsidR="00A50DC7" w:rsidRPr="0019289E" w:rsidRDefault="00A50DC7" w:rsidP="00A50DC7">
                  <w:pPr>
                    <w:rPr>
                      <w:rFonts w:eastAsia="MS Mincho" w:cstheme="minorHAnsi"/>
                      <w:noProof/>
                      <w:sz w:val="16"/>
                      <w:szCs w:val="16"/>
                      <w:lang w:val="fr-FR"/>
                    </w:rPr>
                  </w:pPr>
                  <w:r w:rsidRPr="0019289E">
                    <w:rPr>
                      <w:rFonts w:eastAsia="MS Mincho" w:cstheme="minorHAnsi"/>
                      <w:noProof/>
                      <w:sz w:val="16"/>
                      <w:szCs w:val="16"/>
                      <w:lang w:val="fr-FR"/>
                    </w:rPr>
                    <w:t xml:space="preserve">CTO </w:t>
                  </w:r>
                  <w:r>
                    <w:rPr>
                      <w:rFonts w:eastAsia="MS Mincho" w:cstheme="minorHAnsi"/>
                      <w:noProof/>
                      <w:sz w:val="16"/>
                      <w:szCs w:val="16"/>
                      <w:lang w:val="fr-FR"/>
                    </w:rPr>
                    <w:t>filled</w:t>
                  </w:r>
                </w:p>
              </w:tc>
              <w:tc>
                <w:tcPr>
                  <w:tcW w:w="1440" w:type="dxa"/>
                  <w:vAlign w:val="center"/>
                  <w:hideMark/>
                </w:tcPr>
                <w:p w:rsidR="00A50DC7" w:rsidRPr="005852BA" w:rsidRDefault="005852BA" w:rsidP="005852BA">
                  <w:pPr>
                    <w:rPr>
                      <w:rFonts w:eastAsia="MS Mincho" w:cstheme="minorHAnsi"/>
                      <w:noProof/>
                      <w:sz w:val="16"/>
                      <w:szCs w:val="16"/>
                    </w:rPr>
                  </w:pPr>
                  <w:r w:rsidRPr="00A50DC7">
                    <w:rPr>
                      <w:rFonts w:eastAsia="MS Mincho" w:cstheme="minorHAnsi"/>
                      <w:noProof/>
                      <w:sz w:val="16"/>
                      <w:szCs w:val="16"/>
                    </w:rPr>
                    <w:t>Ancillary accounting booked on accounts 52 (cr</w:t>
                  </w:r>
                  <w:r>
                    <w:rPr>
                      <w:rFonts w:eastAsia="MS Mincho" w:cstheme="minorHAnsi"/>
                      <w:noProof/>
                      <w:sz w:val="16"/>
                      <w:szCs w:val="16"/>
                    </w:rPr>
                    <w:t>e</w:t>
                  </w:r>
                  <w:r w:rsidRPr="00A50DC7">
                    <w:rPr>
                      <w:rFonts w:eastAsia="MS Mincho" w:cstheme="minorHAnsi"/>
                      <w:noProof/>
                      <w:sz w:val="16"/>
                      <w:szCs w:val="16"/>
                    </w:rPr>
                    <w:t xml:space="preserve">dit) </w:t>
                  </w:r>
                  <w:r>
                    <w:rPr>
                      <w:rFonts w:eastAsia="MS Mincho" w:cstheme="minorHAnsi"/>
                      <w:noProof/>
                      <w:sz w:val="16"/>
                      <w:szCs w:val="16"/>
                    </w:rPr>
                    <w:t xml:space="preserve">and </w:t>
                  </w:r>
                  <w:r w:rsidRPr="00A50DC7">
                    <w:rPr>
                      <w:rFonts w:eastAsia="MS Mincho" w:cstheme="minorHAnsi"/>
                      <w:noProof/>
                      <w:sz w:val="16"/>
                      <w:szCs w:val="16"/>
                    </w:rPr>
                    <w:t>62 (d</w:t>
                  </w:r>
                  <w:r>
                    <w:rPr>
                      <w:rFonts w:eastAsia="MS Mincho" w:cstheme="minorHAnsi"/>
                      <w:noProof/>
                      <w:sz w:val="16"/>
                      <w:szCs w:val="16"/>
                    </w:rPr>
                    <w:t>e</w:t>
                  </w:r>
                  <w:r w:rsidRPr="00A50DC7">
                    <w:rPr>
                      <w:rFonts w:eastAsia="MS Mincho" w:cstheme="minorHAnsi"/>
                      <w:noProof/>
                      <w:sz w:val="16"/>
                      <w:szCs w:val="16"/>
                    </w:rPr>
                    <w:t>bit)</w:t>
                  </w:r>
                  <w:r>
                    <w:rPr>
                      <w:rFonts w:eastAsia="MS Mincho" w:cstheme="minorHAnsi"/>
                      <w:noProof/>
                      <w:sz w:val="16"/>
                      <w:szCs w:val="16"/>
                    </w:rPr>
                    <w:t xml:space="preserve"> </w:t>
                  </w:r>
                  <w:r w:rsidR="00A50DC7" w:rsidRPr="005852BA">
                    <w:rPr>
                      <w:rFonts w:eastAsia="MS Mincho" w:cstheme="minorHAnsi"/>
                      <w:noProof/>
                      <w:sz w:val="16"/>
                      <w:szCs w:val="16"/>
                    </w:rPr>
                    <w:t>(</w:t>
                  </w:r>
                  <w:r>
                    <w:rPr>
                      <w:rFonts w:eastAsia="MS Mincho" w:cstheme="minorHAnsi"/>
                      <w:noProof/>
                      <w:sz w:val="16"/>
                      <w:szCs w:val="16"/>
                    </w:rPr>
                    <w:t xml:space="preserve">delivering party </w:t>
                  </w:r>
                  <w:r w:rsidR="00A50DC7" w:rsidRPr="005852BA">
                    <w:rPr>
                      <w:rFonts w:eastAsia="MS Mincho" w:cstheme="minorHAnsi"/>
                      <w:noProof/>
                      <w:sz w:val="16"/>
                      <w:szCs w:val="16"/>
                    </w:rPr>
                    <w:t xml:space="preserve">DCP, CTO </w:t>
                  </w:r>
                  <w:r>
                    <w:rPr>
                      <w:rFonts w:eastAsia="MS Mincho" w:cstheme="minorHAnsi"/>
                      <w:noProof/>
                      <w:sz w:val="16"/>
                      <w:szCs w:val="16"/>
                    </w:rPr>
                    <w:t>at blank</w:t>
                  </w:r>
                  <w:r w:rsidR="00A50DC7" w:rsidRPr="005852BA">
                    <w:rPr>
                      <w:rFonts w:eastAsia="MS Mincho" w:cstheme="minorHAnsi"/>
                      <w:noProof/>
                      <w:sz w:val="16"/>
                      <w:szCs w:val="16"/>
                    </w:rPr>
                    <w:t>)</w:t>
                  </w:r>
                </w:p>
              </w:tc>
              <w:tc>
                <w:tcPr>
                  <w:tcW w:w="1586" w:type="dxa"/>
                  <w:vAlign w:val="center"/>
                  <w:hideMark/>
                </w:tcPr>
                <w:p w:rsidR="00A50DC7" w:rsidRPr="005852BA" w:rsidRDefault="005852BA" w:rsidP="009C2D68">
                  <w:pPr>
                    <w:rPr>
                      <w:rFonts w:eastAsia="MS Mincho" w:cstheme="minorHAnsi"/>
                      <w:noProof/>
                      <w:sz w:val="16"/>
                      <w:szCs w:val="16"/>
                    </w:rPr>
                  </w:pPr>
                  <w:r w:rsidRPr="00A50DC7">
                    <w:rPr>
                      <w:rFonts w:eastAsia="MS Mincho" w:cstheme="minorHAnsi"/>
                      <w:noProof/>
                      <w:sz w:val="16"/>
                      <w:szCs w:val="16"/>
                    </w:rPr>
                    <w:t>Both participants will have to regularize their ancillary accounting via Euroclear forms</w:t>
                  </w:r>
                </w:p>
              </w:tc>
            </w:tr>
          </w:tbl>
          <w:p w:rsidR="000378F0" w:rsidRDefault="000378F0" w:rsidP="00902C5C">
            <w:pPr>
              <w:spacing w:before="120"/>
              <w:jc w:val="both"/>
              <w:rPr>
                <w:rFonts w:eastAsia="MS Mincho" w:cs="Times New Roman"/>
                <w:noProof/>
                <w:szCs w:val="32"/>
              </w:rPr>
            </w:pPr>
          </w:p>
          <w:p w:rsidR="00E46710" w:rsidRDefault="00E46710" w:rsidP="00902C5C">
            <w:pPr>
              <w:spacing w:before="120"/>
              <w:jc w:val="both"/>
              <w:rPr>
                <w:rFonts w:eastAsia="MS Mincho" w:cs="Times New Roman"/>
                <w:noProof/>
                <w:szCs w:val="32"/>
              </w:rPr>
            </w:pPr>
            <w:r>
              <w:rPr>
                <w:rFonts w:eastAsia="MS Mincho" w:cs="Times New Roman"/>
                <w:noProof/>
                <w:szCs w:val="32"/>
              </w:rPr>
              <w:t xml:space="preserve">Instructions in securities DVP/RVP against cash (incl. with an amount set at zero) as well as DWP/RWP (market operations and clearing) must mention the CTO code GO. A DVP instruction without CTO, issued by the deliverying party, shall be considered as CTO GO if another CTO code is mentioned, both instructions then </w:t>
            </w:r>
            <w:r>
              <w:rPr>
                <w:rFonts w:eastAsia="MS Mincho" w:cs="Times New Roman"/>
                <w:noProof/>
                <w:szCs w:val="32"/>
              </w:rPr>
              <w:lastRenderedPageBreak/>
              <w:t xml:space="preserve">being booked in the error accounts. </w:t>
            </w:r>
          </w:p>
          <w:p w:rsidR="00E46710" w:rsidRPr="005852BA" w:rsidRDefault="00E46710" w:rsidP="00902C5C">
            <w:pPr>
              <w:spacing w:before="120"/>
              <w:jc w:val="both"/>
              <w:rPr>
                <w:rFonts w:eastAsia="MS Mincho" w:cs="Times New Roman"/>
                <w:noProof/>
                <w:szCs w:val="32"/>
              </w:rPr>
            </w:pPr>
            <w:r>
              <w:rPr>
                <w:rFonts w:eastAsia="MS Mincho" w:cs="Times New Roman"/>
                <w:noProof/>
                <w:szCs w:val="32"/>
              </w:rPr>
              <w:t>A dedicated form from Euroclear France will be available to regularize ancillary accounting and clear error accounts. At that stage, input through EuroclearConnect for Screens is not considered.</w:t>
            </w:r>
          </w:p>
          <w:p w:rsidR="000378F0" w:rsidRDefault="000378F0" w:rsidP="00902C5C">
            <w:pPr>
              <w:spacing w:before="120"/>
              <w:jc w:val="both"/>
              <w:rPr>
                <w:rFonts w:eastAsia="MS Mincho" w:cs="Times New Roman"/>
                <w:noProof/>
                <w:szCs w:val="32"/>
              </w:rPr>
            </w:pPr>
          </w:p>
          <w:p w:rsidR="00E46710" w:rsidRDefault="00CF7EFC" w:rsidP="00E46710">
            <w:pPr>
              <w:pStyle w:val="ListParagraph"/>
              <w:numPr>
                <w:ilvl w:val="0"/>
                <w:numId w:val="12"/>
              </w:numPr>
              <w:spacing w:before="120"/>
              <w:jc w:val="both"/>
              <w:rPr>
                <w:rFonts w:eastAsia="MS Mincho" w:cs="Times New Roman"/>
                <w:noProof/>
                <w:szCs w:val="32"/>
              </w:rPr>
            </w:pPr>
            <w:r>
              <w:rPr>
                <w:rFonts w:eastAsia="MS Mincho" w:cs="Times New Roman"/>
                <w:noProof/>
                <w:szCs w:val="32"/>
              </w:rPr>
              <w:t>Euroclear France docum</w:t>
            </w:r>
            <w:r w:rsidR="00E46710">
              <w:rPr>
                <w:rFonts w:eastAsia="MS Mincho" w:cs="Times New Roman"/>
                <w:noProof/>
                <w:szCs w:val="32"/>
              </w:rPr>
              <w:t>entation:</w:t>
            </w:r>
          </w:p>
          <w:p w:rsidR="00E46710" w:rsidRDefault="00E46710" w:rsidP="00902C5C">
            <w:pPr>
              <w:spacing w:before="120"/>
              <w:jc w:val="both"/>
              <w:rPr>
                <w:rFonts w:eastAsia="MS Mincho" w:cs="Times New Roman"/>
                <w:noProof/>
                <w:szCs w:val="32"/>
              </w:rPr>
            </w:pPr>
            <w:r>
              <w:rPr>
                <w:rFonts w:eastAsia="MS Mincho" w:cs="Times New Roman"/>
                <w:noProof/>
                <w:szCs w:val="32"/>
              </w:rPr>
              <w:t xml:space="preserve">New </w:t>
            </w:r>
            <w:r w:rsidR="00232260">
              <w:rPr>
                <w:rFonts w:eastAsia="MS Mincho" w:cs="Times New Roman"/>
                <w:noProof/>
                <w:szCs w:val="32"/>
              </w:rPr>
              <w:t xml:space="preserve">players </w:t>
            </w:r>
            <w:r>
              <w:rPr>
                <w:rFonts w:eastAsia="MS Mincho" w:cs="Times New Roman"/>
                <w:noProof/>
                <w:szCs w:val="32"/>
              </w:rPr>
              <w:t xml:space="preserve">will have to be trained on the use of BRN. Euroclear France has anticipated </w:t>
            </w:r>
            <w:r w:rsidR="00232260">
              <w:rPr>
                <w:rFonts w:eastAsia="MS Mincho" w:cs="Times New Roman"/>
                <w:noProof/>
                <w:szCs w:val="32"/>
              </w:rPr>
              <w:t>the preparation of relevant documentation, to be circulated to other CSDs for them to make them available to their participants.</w:t>
            </w:r>
          </w:p>
          <w:p w:rsidR="00232260" w:rsidRDefault="00232260" w:rsidP="00902C5C">
            <w:pPr>
              <w:spacing w:before="120"/>
              <w:jc w:val="both"/>
              <w:rPr>
                <w:rFonts w:eastAsia="MS Mincho" w:cs="Times New Roman"/>
                <w:noProof/>
                <w:szCs w:val="32"/>
              </w:rPr>
            </w:pPr>
            <w:r>
              <w:rPr>
                <w:rFonts w:eastAsia="MS Mincho" w:cs="Times New Roman"/>
                <w:noProof/>
                <w:szCs w:val="32"/>
              </w:rPr>
              <w:t>This documentation should also be made available to participants that could use them in their relations with their counteparties.</w:t>
            </w:r>
          </w:p>
          <w:p w:rsidR="00232260" w:rsidRDefault="00232260" w:rsidP="00902C5C">
            <w:pPr>
              <w:spacing w:before="120"/>
              <w:jc w:val="both"/>
              <w:rPr>
                <w:rFonts w:eastAsia="MS Mincho" w:cs="Times New Roman"/>
                <w:noProof/>
                <w:szCs w:val="32"/>
              </w:rPr>
            </w:pPr>
            <w:r>
              <w:rPr>
                <w:rFonts w:eastAsia="MS Mincho" w:cs="Times New Roman"/>
                <w:noProof/>
                <w:szCs w:val="32"/>
              </w:rPr>
              <w:t>Euroclear France agreed to make it available when necessary.</w:t>
            </w:r>
          </w:p>
          <w:p w:rsidR="00E46710" w:rsidRDefault="00E46710" w:rsidP="00902C5C">
            <w:pPr>
              <w:spacing w:before="120"/>
              <w:jc w:val="both"/>
              <w:rPr>
                <w:rFonts w:eastAsia="MS Mincho" w:cs="Times New Roman"/>
                <w:noProof/>
                <w:szCs w:val="32"/>
              </w:rPr>
            </w:pPr>
          </w:p>
          <w:p w:rsidR="00232260" w:rsidRPr="00902C5C" w:rsidRDefault="00232260" w:rsidP="00232260">
            <w:pPr>
              <w:pStyle w:val="ListParagraph"/>
              <w:numPr>
                <w:ilvl w:val="0"/>
                <w:numId w:val="11"/>
              </w:numPr>
              <w:spacing w:before="120"/>
              <w:ind w:left="317" w:hanging="241"/>
              <w:jc w:val="both"/>
              <w:rPr>
                <w:rFonts w:eastAsia="MS Mincho" w:cs="Times New Roman"/>
                <w:b/>
                <w:noProof/>
                <w:szCs w:val="32"/>
              </w:rPr>
            </w:pPr>
            <w:r>
              <w:rPr>
                <w:rFonts w:eastAsia="MS Mincho" w:cs="Times New Roman"/>
                <w:b/>
                <w:noProof/>
                <w:szCs w:val="32"/>
              </w:rPr>
              <w:t>Preparation of tests</w:t>
            </w:r>
          </w:p>
          <w:p w:rsidR="00232260" w:rsidRDefault="0028513D" w:rsidP="00902C5C">
            <w:pPr>
              <w:spacing w:before="120"/>
              <w:jc w:val="both"/>
              <w:rPr>
                <w:rFonts w:eastAsia="MS Mincho" w:cs="Times New Roman"/>
                <w:noProof/>
                <w:szCs w:val="32"/>
              </w:rPr>
            </w:pPr>
            <w:r>
              <w:rPr>
                <w:rFonts w:eastAsia="MS Mincho" w:cs="Times New Roman"/>
                <w:noProof/>
                <w:szCs w:val="32"/>
              </w:rPr>
              <w:t>The PM test environment with business rules for controls will be available as soon as May 9</w:t>
            </w:r>
            <w:r w:rsidRPr="0028513D">
              <w:rPr>
                <w:rFonts w:eastAsia="MS Mincho" w:cs="Times New Roman"/>
                <w:noProof/>
                <w:szCs w:val="32"/>
                <w:vertAlign w:val="superscript"/>
              </w:rPr>
              <w:t>th</w:t>
            </w:r>
            <w:r>
              <w:rPr>
                <w:rFonts w:eastAsia="MS Mincho" w:cs="Times New Roman"/>
                <w:noProof/>
                <w:szCs w:val="32"/>
              </w:rPr>
              <w:t xml:space="preserve"> (Delivery #3).</w:t>
            </w:r>
          </w:p>
          <w:p w:rsidR="0028513D" w:rsidRDefault="0028513D" w:rsidP="00902C5C">
            <w:pPr>
              <w:spacing w:before="120"/>
              <w:jc w:val="both"/>
              <w:rPr>
                <w:rFonts w:eastAsia="MS Mincho" w:cs="Times New Roman"/>
                <w:noProof/>
                <w:szCs w:val="32"/>
              </w:rPr>
            </w:pPr>
            <w:r>
              <w:rPr>
                <w:rFonts w:eastAsia="MS Mincho" w:cs="Times New Roman"/>
                <w:noProof/>
                <w:szCs w:val="32"/>
              </w:rPr>
              <w:t xml:space="preserve">For BRN of conversions to ‘pure’ registered shares </w:t>
            </w:r>
            <w:r w:rsidR="00CF7EFC">
              <w:rPr>
                <w:rFonts w:eastAsia="MS Mincho" w:cs="Times New Roman"/>
                <w:noProof/>
                <w:szCs w:val="32"/>
              </w:rPr>
              <w:t>(</w:t>
            </w:r>
            <w:r w:rsidR="00CF7EFC" w:rsidRPr="00CF7EFC">
              <w:rPr>
                <w:rFonts w:eastAsia="MS Mincho" w:cs="Times New Roman"/>
                <w:i/>
                <w:noProof/>
                <w:szCs w:val="32"/>
              </w:rPr>
              <w:t>‘nominatif pur’</w:t>
            </w:r>
            <w:r w:rsidR="00CF7EFC">
              <w:rPr>
                <w:rFonts w:eastAsia="MS Mincho" w:cs="Times New Roman"/>
                <w:noProof/>
                <w:szCs w:val="32"/>
              </w:rPr>
              <w:t xml:space="preserve">) </w:t>
            </w:r>
            <w:r>
              <w:rPr>
                <w:rFonts w:eastAsia="MS Mincho" w:cs="Times New Roman"/>
                <w:noProof/>
                <w:szCs w:val="32"/>
              </w:rPr>
              <w:t>with the related securities movement (reference fo the delivering party), the reference will be presented in T2S (Pty1\PrcgID\).</w:t>
            </w:r>
          </w:p>
          <w:p w:rsidR="0028513D" w:rsidRDefault="0028513D" w:rsidP="00902C5C">
            <w:pPr>
              <w:spacing w:before="120"/>
              <w:jc w:val="both"/>
              <w:rPr>
                <w:rFonts w:eastAsia="MS Mincho" w:cs="Times New Roman"/>
                <w:noProof/>
                <w:szCs w:val="32"/>
              </w:rPr>
            </w:pPr>
            <w:r>
              <w:rPr>
                <w:rFonts w:eastAsia="MS Mincho" w:cs="Times New Roman"/>
                <w:noProof/>
                <w:szCs w:val="32"/>
              </w:rPr>
              <w:t>Custodians will have to adapt their business flows to be able to instruct the reference of the delivering party in an FOP (Pty1\PrcgID\) as well as in the BRN in order to allow the registrar to link the BRN and the FOP.</w:t>
            </w:r>
          </w:p>
          <w:p w:rsidR="0028513D" w:rsidRDefault="0028513D" w:rsidP="00902C5C">
            <w:pPr>
              <w:spacing w:before="120"/>
              <w:jc w:val="both"/>
              <w:rPr>
                <w:rFonts w:eastAsia="MS Mincho" w:cs="Times New Roman"/>
                <w:noProof/>
                <w:szCs w:val="32"/>
              </w:rPr>
            </w:pPr>
            <w:r>
              <w:rPr>
                <w:rFonts w:eastAsia="MS Mincho" w:cs="Times New Roman"/>
                <w:noProof/>
                <w:szCs w:val="32"/>
              </w:rPr>
              <w:t>CTOs will be input on EoroclearConnect for Screens or sent by files by DCPs in T2S, but it will not be possible to input them in T2S GUI. They will be presented on EuroclearConneect for Screens, available for tests, for 1</w:t>
            </w:r>
            <w:r w:rsidRPr="0028513D">
              <w:rPr>
                <w:rFonts w:eastAsia="MS Mincho" w:cs="Times New Roman"/>
                <w:noProof/>
                <w:szCs w:val="32"/>
                <w:vertAlign w:val="superscript"/>
              </w:rPr>
              <w:t>st</w:t>
            </w:r>
            <w:r>
              <w:rPr>
                <w:rFonts w:eastAsia="MS Mincho" w:cs="Times New Roman"/>
                <w:noProof/>
                <w:szCs w:val="32"/>
              </w:rPr>
              <w:t xml:space="preserve"> delivery on March 14</w:t>
            </w:r>
            <w:r w:rsidRPr="0028513D">
              <w:rPr>
                <w:rFonts w:eastAsia="MS Mincho" w:cs="Times New Roman"/>
                <w:noProof/>
                <w:szCs w:val="32"/>
                <w:vertAlign w:val="superscript"/>
              </w:rPr>
              <w:t>th</w:t>
            </w:r>
            <w:r>
              <w:rPr>
                <w:rFonts w:eastAsia="MS Mincho" w:cs="Times New Roman"/>
                <w:noProof/>
                <w:szCs w:val="32"/>
              </w:rPr>
              <w:t>, 2016.</w:t>
            </w:r>
          </w:p>
          <w:p w:rsidR="0028513D" w:rsidRDefault="0028513D" w:rsidP="00902C5C">
            <w:pPr>
              <w:spacing w:before="120"/>
              <w:jc w:val="both"/>
              <w:rPr>
                <w:rFonts w:eastAsia="MS Mincho" w:cs="Times New Roman"/>
                <w:noProof/>
                <w:szCs w:val="32"/>
              </w:rPr>
            </w:pPr>
            <w:r>
              <w:rPr>
                <w:rFonts w:eastAsia="MS Mincho" w:cs="Times New Roman"/>
                <w:noProof/>
                <w:szCs w:val="32"/>
              </w:rPr>
              <w:t>BRN generating free of payment instructions will be kept; the comment field in the BRN will have to be updated. The resulting free of payment instructions will be ‘already matched’.</w:t>
            </w:r>
          </w:p>
          <w:p w:rsidR="00232260" w:rsidRPr="005852BA" w:rsidRDefault="00232260" w:rsidP="00902C5C">
            <w:pPr>
              <w:spacing w:before="120"/>
              <w:jc w:val="both"/>
              <w:rPr>
                <w:rFonts w:eastAsia="MS Mincho" w:cs="Times New Roman"/>
                <w:noProof/>
                <w:szCs w:val="32"/>
              </w:rPr>
            </w:pPr>
          </w:p>
        </w:tc>
      </w:tr>
      <w:tr w:rsidR="0081511D" w:rsidRPr="005852BA" w:rsidTr="0081511D">
        <w:tc>
          <w:tcPr>
            <w:tcW w:w="2093" w:type="dxa"/>
            <w:tcBorders>
              <w:left w:val="nil"/>
              <w:right w:val="nil"/>
            </w:tcBorders>
            <w:shd w:val="clear" w:color="auto" w:fill="auto"/>
          </w:tcPr>
          <w:p w:rsidR="0081511D" w:rsidRPr="005852BA" w:rsidRDefault="0081511D" w:rsidP="00EC776F">
            <w:pPr>
              <w:rPr>
                <w:rFonts w:eastAsia="MS Mincho" w:cs="Times New Roman"/>
                <w:b/>
                <w:noProof/>
                <w:szCs w:val="32"/>
              </w:rPr>
            </w:pPr>
          </w:p>
        </w:tc>
        <w:tc>
          <w:tcPr>
            <w:tcW w:w="7513" w:type="dxa"/>
            <w:tcBorders>
              <w:left w:val="nil"/>
              <w:right w:val="nil"/>
            </w:tcBorders>
            <w:shd w:val="clear" w:color="auto" w:fill="auto"/>
          </w:tcPr>
          <w:p w:rsidR="0081511D" w:rsidRPr="005852BA" w:rsidRDefault="0081511D" w:rsidP="0081511D">
            <w:pPr>
              <w:rPr>
                <w:rFonts w:eastAsia="MS Mincho" w:cs="Times New Roman"/>
                <w:b/>
                <w:noProof/>
                <w:szCs w:val="32"/>
              </w:rPr>
            </w:pPr>
          </w:p>
        </w:tc>
      </w:tr>
      <w:tr w:rsidR="00B3406E" w:rsidRPr="00B3406E" w:rsidTr="0081511D">
        <w:tc>
          <w:tcPr>
            <w:tcW w:w="2093" w:type="dxa"/>
            <w:shd w:val="clear" w:color="auto" w:fill="BFBFBF" w:themeFill="background1" w:themeFillShade="BF"/>
          </w:tcPr>
          <w:p w:rsidR="00B3406E" w:rsidRPr="000C4CA6" w:rsidRDefault="00B3406E" w:rsidP="003B6A67">
            <w:pPr>
              <w:rPr>
                <w:rFonts w:eastAsia="MS Mincho" w:cs="Times New Roman"/>
                <w:b/>
                <w:noProof/>
                <w:szCs w:val="32"/>
              </w:rPr>
            </w:pPr>
            <w:r w:rsidRPr="003348A6">
              <w:rPr>
                <w:rFonts w:eastAsia="MS Mincho" w:cs="Times New Roman"/>
                <w:b/>
                <w:noProof/>
                <w:szCs w:val="32"/>
              </w:rPr>
              <w:t>Description of the major issue</w:t>
            </w:r>
          </w:p>
        </w:tc>
        <w:tc>
          <w:tcPr>
            <w:tcW w:w="7513" w:type="dxa"/>
          </w:tcPr>
          <w:p w:rsidR="00B3406E" w:rsidRPr="00343E9C" w:rsidRDefault="009C2D68" w:rsidP="009C2D68">
            <w:pPr>
              <w:spacing w:before="120"/>
              <w:jc w:val="both"/>
              <w:rPr>
                <w:rFonts w:eastAsia="MS Mincho" w:cs="Times New Roman"/>
                <w:noProof/>
                <w:szCs w:val="32"/>
              </w:rPr>
            </w:pPr>
            <w:r>
              <w:rPr>
                <w:rFonts w:eastAsia="MS Mincho" w:cs="Times New Roman"/>
                <w:noProof/>
                <w:szCs w:val="32"/>
              </w:rPr>
              <w:t>Participants want to be in a position to handle operations on registered shares according to regulatory requirements and without regression.</w:t>
            </w:r>
          </w:p>
        </w:tc>
      </w:tr>
      <w:tr w:rsidR="00B3406E" w:rsidRPr="00B3406E" w:rsidTr="003B6A67">
        <w:tc>
          <w:tcPr>
            <w:tcW w:w="2093" w:type="dxa"/>
            <w:tcBorders>
              <w:left w:val="nil"/>
              <w:right w:val="nil"/>
            </w:tcBorders>
            <w:shd w:val="clear" w:color="auto" w:fill="auto"/>
          </w:tcPr>
          <w:p w:rsidR="00B3406E" w:rsidRPr="00343E9C" w:rsidRDefault="00B3406E" w:rsidP="003B6A67">
            <w:pPr>
              <w:rPr>
                <w:rFonts w:eastAsia="MS Mincho" w:cs="Times New Roman"/>
                <w:b/>
                <w:noProof/>
                <w:szCs w:val="32"/>
              </w:rPr>
            </w:pPr>
          </w:p>
        </w:tc>
        <w:tc>
          <w:tcPr>
            <w:tcW w:w="7513" w:type="dxa"/>
            <w:tcBorders>
              <w:left w:val="nil"/>
              <w:right w:val="nil"/>
            </w:tcBorders>
            <w:shd w:val="clear" w:color="auto" w:fill="auto"/>
          </w:tcPr>
          <w:p w:rsidR="00B3406E" w:rsidRPr="00343E9C" w:rsidRDefault="00B3406E" w:rsidP="003B6A67">
            <w:pPr>
              <w:rPr>
                <w:rFonts w:eastAsia="MS Mincho" w:cs="Times New Roman"/>
                <w:b/>
                <w:noProof/>
                <w:szCs w:val="32"/>
              </w:rPr>
            </w:pPr>
          </w:p>
        </w:tc>
      </w:tr>
      <w:tr w:rsidR="00B3406E" w:rsidRPr="0081511D" w:rsidTr="0081511D">
        <w:tc>
          <w:tcPr>
            <w:tcW w:w="2093" w:type="dxa"/>
            <w:shd w:val="clear" w:color="auto" w:fill="BFBFBF" w:themeFill="background1" w:themeFillShade="BF"/>
          </w:tcPr>
          <w:p w:rsidR="00B3406E" w:rsidRPr="003348A6" w:rsidRDefault="00B3406E" w:rsidP="003B6A67">
            <w:pPr>
              <w:rPr>
                <w:rFonts w:eastAsia="MS Mincho" w:cs="Times New Roman"/>
                <w:b/>
                <w:noProof/>
                <w:szCs w:val="32"/>
              </w:rPr>
            </w:pPr>
            <w:r w:rsidRPr="003348A6">
              <w:rPr>
                <w:rFonts w:eastAsia="MS Mincho" w:cs="Times New Roman"/>
                <w:b/>
                <w:noProof/>
                <w:szCs w:val="32"/>
              </w:rPr>
              <w:t>Description of the roles and responsibilities of the ac</w:t>
            </w:r>
            <w:r>
              <w:rPr>
                <w:rFonts w:eastAsia="MS Mincho" w:cs="Times New Roman"/>
                <w:b/>
                <w:noProof/>
                <w:szCs w:val="32"/>
              </w:rPr>
              <w:t>to</w:t>
            </w:r>
            <w:r w:rsidRPr="003348A6">
              <w:rPr>
                <w:rFonts w:eastAsia="MS Mincho" w:cs="Times New Roman"/>
                <w:b/>
                <w:noProof/>
                <w:szCs w:val="32"/>
              </w:rPr>
              <w:t xml:space="preserve">rs involved </w:t>
            </w:r>
          </w:p>
          <w:p w:rsidR="00B3406E" w:rsidRPr="00D103DA" w:rsidRDefault="00B3406E" w:rsidP="003B6A67">
            <w:pPr>
              <w:rPr>
                <w:rFonts w:eastAsia="MS Mincho" w:cs="Times New Roman"/>
                <w:b/>
                <w:noProof/>
                <w:szCs w:val="32"/>
                <w:lang w:val="fr-FR"/>
              </w:rPr>
            </w:pPr>
            <w:r w:rsidRPr="00E46710">
              <w:rPr>
                <w:rFonts w:eastAsia="MS Mincho" w:cs="Times New Roman"/>
                <w:b/>
                <w:noProof/>
                <w:szCs w:val="32"/>
              </w:rPr>
              <w:lastRenderedPageBreak/>
              <w:t>(OPTI</w:t>
            </w:r>
            <w:r>
              <w:rPr>
                <w:rFonts w:eastAsia="MS Mincho" w:cs="Times New Roman"/>
                <w:b/>
                <w:noProof/>
                <w:szCs w:val="32"/>
                <w:lang w:val="fr-FR"/>
              </w:rPr>
              <w:t>ONAL)</w:t>
            </w:r>
          </w:p>
        </w:tc>
        <w:tc>
          <w:tcPr>
            <w:tcW w:w="7513" w:type="dxa"/>
          </w:tcPr>
          <w:p w:rsidR="00B3406E" w:rsidRDefault="00B3406E" w:rsidP="003B6A67">
            <w:pPr>
              <w:rPr>
                <w:rFonts w:eastAsia="MS Mincho" w:cs="Times New Roman"/>
                <w:noProof/>
                <w:szCs w:val="32"/>
                <w:lang w:val="fr-FR"/>
              </w:rPr>
            </w:pPr>
          </w:p>
          <w:p w:rsidR="00B3406E" w:rsidRDefault="00B3406E" w:rsidP="003B6A67">
            <w:pPr>
              <w:rPr>
                <w:rFonts w:eastAsia="MS Mincho" w:cs="Times New Roman"/>
                <w:noProof/>
                <w:szCs w:val="32"/>
                <w:lang w:val="fr-FR"/>
              </w:rPr>
            </w:pPr>
          </w:p>
          <w:p w:rsidR="00B3406E" w:rsidRDefault="00B3406E" w:rsidP="003B6A67">
            <w:pPr>
              <w:rPr>
                <w:rFonts w:eastAsia="MS Mincho" w:cs="Times New Roman"/>
                <w:noProof/>
                <w:szCs w:val="32"/>
                <w:lang w:val="fr-FR"/>
              </w:rPr>
            </w:pPr>
          </w:p>
        </w:tc>
      </w:tr>
      <w:tr w:rsidR="00B3406E" w:rsidRPr="0081511D" w:rsidTr="003B6A67">
        <w:tc>
          <w:tcPr>
            <w:tcW w:w="2093" w:type="dxa"/>
            <w:tcBorders>
              <w:left w:val="nil"/>
              <w:right w:val="nil"/>
            </w:tcBorders>
            <w:shd w:val="clear" w:color="auto" w:fill="auto"/>
          </w:tcPr>
          <w:p w:rsidR="00B3406E" w:rsidRDefault="00B3406E" w:rsidP="003B6A67">
            <w:pPr>
              <w:rPr>
                <w:rFonts w:eastAsia="MS Mincho" w:cs="Times New Roman"/>
                <w:b/>
                <w:noProof/>
                <w:szCs w:val="32"/>
                <w:lang w:val="fr-FR"/>
              </w:rPr>
            </w:pPr>
          </w:p>
        </w:tc>
        <w:tc>
          <w:tcPr>
            <w:tcW w:w="7513" w:type="dxa"/>
            <w:tcBorders>
              <w:left w:val="nil"/>
              <w:right w:val="nil"/>
            </w:tcBorders>
            <w:shd w:val="clear" w:color="auto" w:fill="auto"/>
          </w:tcPr>
          <w:p w:rsidR="00B3406E" w:rsidRPr="0081511D" w:rsidRDefault="00B3406E" w:rsidP="003B6A67">
            <w:pPr>
              <w:rPr>
                <w:rFonts w:eastAsia="MS Mincho" w:cs="Times New Roman"/>
                <w:b/>
                <w:noProof/>
                <w:szCs w:val="32"/>
                <w:lang w:val="fr-FR"/>
              </w:rPr>
            </w:pPr>
          </w:p>
        </w:tc>
      </w:tr>
      <w:tr w:rsidR="00B3406E" w:rsidRPr="0081511D" w:rsidTr="0081511D">
        <w:tc>
          <w:tcPr>
            <w:tcW w:w="2093" w:type="dxa"/>
            <w:shd w:val="clear" w:color="auto" w:fill="BFBFBF" w:themeFill="background1" w:themeFillShade="BF"/>
          </w:tcPr>
          <w:p w:rsidR="00B3406E" w:rsidRDefault="00B3406E" w:rsidP="003B6A67">
            <w:pPr>
              <w:rPr>
                <w:rFonts w:eastAsia="MS Mincho" w:cs="Times New Roman"/>
                <w:b/>
                <w:noProof/>
                <w:szCs w:val="32"/>
                <w:lang w:val="fr-FR"/>
              </w:rPr>
            </w:pPr>
            <w:r>
              <w:rPr>
                <w:rFonts w:eastAsia="MS Mincho" w:cs="Times New Roman"/>
                <w:b/>
                <w:noProof/>
                <w:szCs w:val="32"/>
                <w:lang w:val="fr-FR"/>
              </w:rPr>
              <w:t>Workflows</w:t>
            </w:r>
          </w:p>
          <w:p w:rsidR="00B3406E" w:rsidRDefault="00B3406E" w:rsidP="003B6A67">
            <w:pPr>
              <w:rPr>
                <w:rFonts w:eastAsia="MS Mincho" w:cs="Times New Roman"/>
                <w:b/>
                <w:noProof/>
                <w:szCs w:val="32"/>
                <w:lang w:val="fr-FR"/>
              </w:rPr>
            </w:pPr>
            <w:r>
              <w:rPr>
                <w:rFonts w:eastAsia="MS Mincho" w:cs="Times New Roman"/>
                <w:b/>
                <w:noProof/>
                <w:szCs w:val="32"/>
                <w:lang w:val="fr-FR"/>
              </w:rPr>
              <w:t>(OPTIONAL)</w:t>
            </w:r>
          </w:p>
        </w:tc>
        <w:tc>
          <w:tcPr>
            <w:tcW w:w="7513" w:type="dxa"/>
          </w:tcPr>
          <w:p w:rsidR="00B3406E" w:rsidRPr="00FD2FD6" w:rsidRDefault="00B3406E" w:rsidP="0081511D">
            <w:pPr>
              <w:rPr>
                <w:rFonts w:eastAsia="MS Mincho" w:cs="Times New Roman"/>
                <w:noProof/>
                <w:szCs w:val="32"/>
                <w:lang w:val="fr-FR"/>
              </w:rPr>
            </w:pPr>
          </w:p>
        </w:tc>
      </w:tr>
      <w:tr w:rsidR="00B3406E" w:rsidRPr="0081511D" w:rsidTr="003B6A67">
        <w:tc>
          <w:tcPr>
            <w:tcW w:w="2093" w:type="dxa"/>
            <w:tcBorders>
              <w:left w:val="nil"/>
              <w:right w:val="nil"/>
            </w:tcBorders>
            <w:shd w:val="clear" w:color="auto" w:fill="auto"/>
          </w:tcPr>
          <w:p w:rsidR="00B3406E" w:rsidRDefault="00B3406E" w:rsidP="003B6A67">
            <w:pPr>
              <w:rPr>
                <w:rFonts w:eastAsia="MS Mincho" w:cs="Times New Roman"/>
                <w:b/>
                <w:noProof/>
                <w:szCs w:val="32"/>
                <w:lang w:val="fr-FR"/>
              </w:rPr>
            </w:pPr>
          </w:p>
        </w:tc>
        <w:tc>
          <w:tcPr>
            <w:tcW w:w="7513" w:type="dxa"/>
            <w:tcBorders>
              <w:left w:val="nil"/>
              <w:right w:val="nil"/>
            </w:tcBorders>
            <w:shd w:val="clear" w:color="auto" w:fill="auto"/>
          </w:tcPr>
          <w:p w:rsidR="00B3406E" w:rsidRPr="0081511D" w:rsidRDefault="00B3406E" w:rsidP="003B6A67">
            <w:pPr>
              <w:rPr>
                <w:rFonts w:eastAsia="MS Mincho" w:cs="Times New Roman"/>
                <w:b/>
                <w:noProof/>
                <w:szCs w:val="32"/>
                <w:lang w:val="fr-FR"/>
              </w:rPr>
            </w:pPr>
          </w:p>
        </w:tc>
      </w:tr>
      <w:tr w:rsidR="00B3406E" w:rsidRPr="00113071" w:rsidTr="0091257E">
        <w:tc>
          <w:tcPr>
            <w:tcW w:w="2093" w:type="dxa"/>
            <w:tcBorders>
              <w:bottom w:val="single" w:sz="4" w:space="0" w:color="auto"/>
            </w:tcBorders>
            <w:shd w:val="clear" w:color="auto" w:fill="BFBFBF" w:themeFill="background1" w:themeFillShade="BF"/>
          </w:tcPr>
          <w:p w:rsidR="00B3406E" w:rsidRPr="003348A6" w:rsidRDefault="00B3406E" w:rsidP="003B6A67">
            <w:pPr>
              <w:rPr>
                <w:rFonts w:eastAsia="MS Mincho" w:cs="Times New Roman"/>
                <w:b/>
                <w:noProof/>
                <w:szCs w:val="32"/>
              </w:rPr>
            </w:pPr>
            <w:r w:rsidRPr="003348A6">
              <w:rPr>
                <w:rFonts w:eastAsia="MS Mincho" w:cs="Times New Roman"/>
                <w:b/>
                <w:noProof/>
                <w:szCs w:val="32"/>
              </w:rPr>
              <w:t>Links with other market practices</w:t>
            </w:r>
          </w:p>
        </w:tc>
        <w:tc>
          <w:tcPr>
            <w:tcW w:w="7513" w:type="dxa"/>
            <w:tcBorders>
              <w:bottom w:val="single" w:sz="4" w:space="0" w:color="auto"/>
            </w:tcBorders>
          </w:tcPr>
          <w:p w:rsidR="004F43C7" w:rsidRPr="004F43C7" w:rsidRDefault="004F43C7" w:rsidP="004F43C7">
            <w:pPr>
              <w:pStyle w:val="ListParagraph"/>
              <w:numPr>
                <w:ilvl w:val="0"/>
                <w:numId w:val="13"/>
              </w:numPr>
              <w:spacing w:before="120"/>
              <w:ind w:left="317" w:hanging="241"/>
              <w:jc w:val="both"/>
              <w:rPr>
                <w:rFonts w:eastAsia="MS Mincho" w:cs="Times New Roman"/>
                <w:noProof/>
                <w:szCs w:val="32"/>
              </w:rPr>
            </w:pPr>
            <w:r w:rsidRPr="004F43C7">
              <w:rPr>
                <w:rFonts w:eastAsia="MS Mincho" w:cs="Times New Roman"/>
                <w:noProof/>
                <w:szCs w:val="32"/>
              </w:rPr>
              <w:t>MS-SETTL-FRANCO 03</w:t>
            </w:r>
            <w:r w:rsidR="00CF7EFC" w:rsidRPr="00CF7EFC">
              <w:rPr>
                <w:rFonts w:eastAsia="MS Mincho" w:cs="Times New Roman"/>
                <w:i/>
                <w:noProof/>
                <w:szCs w:val="32"/>
              </w:rPr>
              <w:t xml:space="preserve"> </w:t>
            </w:r>
            <w:r w:rsidR="00CF7EFC">
              <w:rPr>
                <w:rFonts w:eastAsia="MS Mincho" w:cs="Times New Roman"/>
                <w:i/>
                <w:noProof/>
                <w:szCs w:val="32"/>
              </w:rPr>
              <w:t>–</w:t>
            </w:r>
            <w:r w:rsidR="00CF7EFC" w:rsidRPr="00CF7EFC">
              <w:rPr>
                <w:rFonts w:eastAsia="MS Mincho" w:cs="Times New Roman"/>
                <w:i/>
                <w:noProof/>
                <w:szCs w:val="32"/>
              </w:rPr>
              <w:t xml:space="preserve"> Conversions</w:t>
            </w:r>
          </w:p>
          <w:p w:rsidR="00B3406E" w:rsidRPr="004F43C7" w:rsidRDefault="004F43C7" w:rsidP="004F43C7">
            <w:pPr>
              <w:pStyle w:val="ListParagraph"/>
              <w:numPr>
                <w:ilvl w:val="0"/>
                <w:numId w:val="13"/>
              </w:numPr>
              <w:spacing w:before="120"/>
              <w:ind w:left="317" w:hanging="241"/>
              <w:jc w:val="both"/>
              <w:rPr>
                <w:rFonts w:eastAsia="MS Mincho" w:cs="Times New Roman"/>
                <w:noProof/>
                <w:szCs w:val="32"/>
              </w:rPr>
            </w:pPr>
            <w:r w:rsidRPr="004F43C7">
              <w:rPr>
                <w:rFonts w:eastAsia="MS Mincho" w:cs="Times New Roman"/>
                <w:noProof/>
                <w:szCs w:val="32"/>
              </w:rPr>
              <w:t>MS-SETTL-FRANCO 02</w:t>
            </w:r>
            <w:r w:rsidR="00CF7EFC">
              <w:rPr>
                <w:rFonts w:eastAsia="MS Mincho" w:cs="Times New Roman"/>
                <w:noProof/>
                <w:szCs w:val="32"/>
              </w:rPr>
              <w:t xml:space="preserve"> </w:t>
            </w:r>
            <w:r w:rsidR="00CF7EFC" w:rsidRPr="00CF7EFC">
              <w:rPr>
                <w:rFonts w:eastAsia="MS Mincho" w:cs="Times New Roman"/>
                <w:i/>
                <w:noProof/>
                <w:szCs w:val="32"/>
              </w:rPr>
              <w:t>– Portfolio transfers</w:t>
            </w:r>
          </w:p>
        </w:tc>
      </w:tr>
    </w:tbl>
    <w:p w:rsidR="001E0D83" w:rsidRPr="003B6A67" w:rsidRDefault="001E0D83" w:rsidP="00D103DA">
      <w:pPr>
        <w:spacing w:after="0" w:line="240" w:lineRule="auto"/>
        <w:rPr>
          <w:rFonts w:eastAsia="MS Mincho" w:cs="Times New Roman"/>
          <w:noProof/>
          <w:szCs w:val="32"/>
        </w:rPr>
      </w:pPr>
    </w:p>
    <w:p w:rsidR="0081511D" w:rsidRPr="003B6A67" w:rsidRDefault="0081511D" w:rsidP="00D103DA">
      <w:pPr>
        <w:spacing w:after="0" w:line="240" w:lineRule="auto"/>
        <w:rPr>
          <w:rFonts w:eastAsia="MS Mincho" w:cs="Times New Roman"/>
          <w:noProof/>
          <w:szCs w:val="32"/>
        </w:rPr>
      </w:pPr>
    </w:p>
    <w:p w:rsidR="00B3406E" w:rsidRPr="004F6025" w:rsidRDefault="00B3406E" w:rsidP="00B3406E">
      <w:pPr>
        <w:pStyle w:val="ListParagraph"/>
        <w:numPr>
          <w:ilvl w:val="0"/>
          <w:numId w:val="1"/>
        </w:numPr>
        <w:spacing w:after="0" w:line="240" w:lineRule="auto"/>
        <w:ind w:left="284" w:hanging="284"/>
        <w:rPr>
          <w:rFonts w:eastAsia="MS Mincho" w:cs="Times New Roman"/>
          <w:b/>
          <w:caps/>
          <w:noProof/>
          <w:sz w:val="32"/>
          <w:szCs w:val="32"/>
          <w:lang w:val="fr-FR"/>
        </w:rPr>
      </w:pPr>
      <w:r>
        <w:rPr>
          <w:rFonts w:eastAsia="MS Mincho" w:cs="Times New Roman"/>
          <w:b/>
          <w:caps/>
          <w:noProof/>
          <w:sz w:val="32"/>
          <w:szCs w:val="32"/>
          <w:lang w:val="fr-FR"/>
        </w:rPr>
        <w:t>Recommended market practice</w:t>
      </w:r>
    </w:p>
    <w:p w:rsidR="0081511D" w:rsidRDefault="0081511D" w:rsidP="00D103DA">
      <w:pPr>
        <w:spacing w:after="0" w:line="240" w:lineRule="auto"/>
        <w:rPr>
          <w:rFonts w:eastAsia="MS Mincho" w:cs="Times New Roman"/>
          <w:noProof/>
          <w:szCs w:val="32"/>
          <w:lang w:val="fr-FR"/>
        </w:rPr>
      </w:pPr>
    </w:p>
    <w:tbl>
      <w:tblPr>
        <w:tblStyle w:val="TableGrid"/>
        <w:tblW w:w="9606" w:type="dxa"/>
        <w:tblLook w:val="04A0" w:firstRow="1" w:lastRow="0" w:firstColumn="1" w:lastColumn="0" w:noHBand="0" w:noVBand="1"/>
      </w:tblPr>
      <w:tblGrid>
        <w:gridCol w:w="2093"/>
        <w:gridCol w:w="7483"/>
        <w:gridCol w:w="30"/>
      </w:tblGrid>
      <w:tr w:rsidR="00B3406E" w:rsidRPr="00F370B0" w:rsidTr="0081511D">
        <w:trPr>
          <w:gridAfter w:val="1"/>
          <w:wAfter w:w="30" w:type="dxa"/>
        </w:trPr>
        <w:tc>
          <w:tcPr>
            <w:tcW w:w="2093" w:type="dxa"/>
            <w:shd w:val="clear" w:color="auto" w:fill="BFBFBF" w:themeFill="background1" w:themeFillShade="BF"/>
          </w:tcPr>
          <w:p w:rsidR="00B3406E" w:rsidRPr="00D103DA" w:rsidRDefault="00B3406E" w:rsidP="003B6A67">
            <w:pPr>
              <w:rPr>
                <w:rFonts w:eastAsia="MS Mincho" w:cs="Times New Roman"/>
                <w:b/>
                <w:noProof/>
                <w:szCs w:val="32"/>
                <w:lang w:val="fr-FR"/>
              </w:rPr>
            </w:pPr>
            <w:r>
              <w:rPr>
                <w:rFonts w:eastAsia="MS Mincho" w:cs="Times New Roman"/>
                <w:b/>
                <w:noProof/>
                <w:szCs w:val="32"/>
                <w:lang w:val="fr-FR"/>
              </w:rPr>
              <w:t>Recommended practice</w:t>
            </w:r>
          </w:p>
        </w:tc>
        <w:tc>
          <w:tcPr>
            <w:tcW w:w="7483" w:type="dxa"/>
          </w:tcPr>
          <w:p w:rsidR="004F43C7" w:rsidRPr="004F43C7" w:rsidRDefault="004F43C7" w:rsidP="004F43C7">
            <w:pPr>
              <w:pStyle w:val="ListParagraph"/>
              <w:numPr>
                <w:ilvl w:val="0"/>
                <w:numId w:val="14"/>
              </w:numPr>
              <w:spacing w:beforeLines="60" w:before="144"/>
              <w:jc w:val="both"/>
              <w:rPr>
                <w:rFonts w:cs="Tahoma"/>
                <w:b/>
                <w:lang w:eastAsia="fr-FR"/>
              </w:rPr>
            </w:pPr>
            <w:r w:rsidRPr="004F43C7">
              <w:rPr>
                <w:rFonts w:cs="Tahoma"/>
                <w:b/>
                <w:lang w:eastAsia="fr-FR"/>
              </w:rPr>
              <w:t xml:space="preserve">Transfer of shares in administered registered form </w:t>
            </w:r>
            <w:r w:rsidR="00CF7EFC" w:rsidRPr="00CF7EFC">
              <w:rPr>
                <w:rFonts w:cs="Tahoma"/>
                <w:b/>
                <w:i/>
                <w:lang w:eastAsia="fr-FR"/>
              </w:rPr>
              <w:t>(‘</w:t>
            </w:r>
            <w:proofErr w:type="spellStart"/>
            <w:r w:rsidR="00CF7EFC" w:rsidRPr="00CF7EFC">
              <w:rPr>
                <w:rFonts w:cs="Tahoma"/>
                <w:b/>
                <w:i/>
                <w:lang w:eastAsia="fr-FR"/>
              </w:rPr>
              <w:t>nominatif</w:t>
            </w:r>
            <w:proofErr w:type="spellEnd"/>
            <w:r w:rsidR="00CF7EFC" w:rsidRPr="00CF7EFC">
              <w:rPr>
                <w:rFonts w:cs="Tahoma"/>
                <w:b/>
                <w:i/>
                <w:lang w:eastAsia="fr-FR"/>
              </w:rPr>
              <w:t xml:space="preserve"> </w:t>
            </w:r>
            <w:proofErr w:type="spellStart"/>
            <w:r w:rsidR="00CF7EFC" w:rsidRPr="00CF7EFC">
              <w:rPr>
                <w:rFonts w:cs="Tahoma"/>
                <w:b/>
                <w:i/>
                <w:lang w:eastAsia="fr-FR"/>
              </w:rPr>
              <w:t>administré</w:t>
            </w:r>
            <w:proofErr w:type="spellEnd"/>
            <w:r w:rsidR="00CF7EFC" w:rsidRPr="00CF7EFC">
              <w:rPr>
                <w:rFonts w:cs="Tahoma"/>
                <w:b/>
                <w:i/>
                <w:lang w:eastAsia="fr-FR"/>
              </w:rPr>
              <w:t>’)</w:t>
            </w:r>
            <w:r w:rsidR="00CF7EFC">
              <w:rPr>
                <w:rFonts w:cs="Tahoma"/>
                <w:b/>
                <w:lang w:eastAsia="fr-FR"/>
              </w:rPr>
              <w:t xml:space="preserve"> </w:t>
            </w:r>
            <w:r w:rsidRPr="004F43C7">
              <w:rPr>
                <w:rFonts w:cs="Tahoma"/>
                <w:b/>
                <w:lang w:eastAsia="fr-FR"/>
              </w:rPr>
              <w:t>between Euroclear France participants</w:t>
            </w:r>
          </w:p>
          <w:p w:rsidR="004F43C7" w:rsidRDefault="004F43C7" w:rsidP="00776CD9">
            <w:pPr>
              <w:spacing w:beforeLines="60" w:before="144"/>
              <w:jc w:val="both"/>
              <w:rPr>
                <w:rFonts w:cs="Tahoma"/>
                <w:lang w:eastAsia="fr-FR"/>
              </w:rPr>
            </w:pPr>
            <w:r>
              <w:rPr>
                <w:rFonts w:cs="Tahoma"/>
                <w:lang w:eastAsia="fr-FR"/>
              </w:rPr>
              <w:t>It is recommended to be aware of new business rules described above in the part ‘Description of the T2S impact’ of the present market practice and apply them accordingly.</w:t>
            </w:r>
          </w:p>
          <w:p w:rsidR="004F43C7" w:rsidRPr="004F43C7" w:rsidRDefault="004F43C7" w:rsidP="004F43C7">
            <w:pPr>
              <w:pStyle w:val="ListParagraph"/>
              <w:numPr>
                <w:ilvl w:val="0"/>
                <w:numId w:val="14"/>
              </w:numPr>
              <w:spacing w:beforeLines="60" w:before="144"/>
              <w:jc w:val="both"/>
              <w:rPr>
                <w:rFonts w:cs="Tahoma"/>
                <w:b/>
                <w:lang w:eastAsia="fr-FR"/>
              </w:rPr>
            </w:pPr>
            <w:r>
              <w:rPr>
                <w:rFonts w:cs="Tahoma"/>
                <w:b/>
                <w:lang w:eastAsia="fr-FR"/>
              </w:rPr>
              <w:t>Transfers of shares in administered registered form cross-CSD</w:t>
            </w:r>
          </w:p>
          <w:p w:rsidR="004F43C7" w:rsidRPr="004F43C7" w:rsidRDefault="004F43C7" w:rsidP="00776CD9">
            <w:pPr>
              <w:spacing w:beforeLines="60" w:before="144"/>
              <w:jc w:val="both"/>
              <w:rPr>
                <w:rFonts w:cs="Tahoma"/>
                <w:lang w:eastAsia="fr-FR"/>
              </w:rPr>
            </w:pPr>
            <w:r>
              <w:rPr>
                <w:rFonts w:cs="Tahoma"/>
                <w:u w:val="single"/>
                <w:lang w:eastAsia="fr-FR"/>
              </w:rPr>
              <w:t>As a reminder, transaction type codes (CTO) to be used depending on client instructions must abide by the following rules:</w:t>
            </w:r>
          </w:p>
          <w:p w:rsidR="004F43C7" w:rsidRDefault="004F43C7" w:rsidP="004F43C7">
            <w:pPr>
              <w:pStyle w:val="ListParagraph"/>
              <w:numPr>
                <w:ilvl w:val="0"/>
                <w:numId w:val="12"/>
              </w:numPr>
              <w:spacing w:before="120"/>
              <w:jc w:val="both"/>
              <w:rPr>
                <w:rFonts w:eastAsia="MS Mincho" w:cs="Times New Roman"/>
                <w:noProof/>
                <w:szCs w:val="32"/>
              </w:rPr>
            </w:pPr>
            <w:r w:rsidRPr="004F43C7">
              <w:rPr>
                <w:rFonts w:eastAsia="MS Mincho" w:cs="Times New Roman"/>
                <w:b/>
                <w:noProof/>
                <w:szCs w:val="32"/>
              </w:rPr>
              <w:t>Change of name ‘CI’ or ‘MI’ in the case of a name change without change in the custodian or CSD</w:t>
            </w:r>
            <w:r>
              <w:rPr>
                <w:rFonts w:eastAsia="MS Mincho" w:cs="Times New Roman"/>
                <w:noProof/>
                <w:szCs w:val="32"/>
              </w:rPr>
              <w:t xml:space="preserve"> (beware of the case of non-resident shareholders: under an ‘MI’ code, all securities from the issuer in a CCN will be applied the same modification).</w:t>
            </w:r>
          </w:p>
          <w:p w:rsidR="004F43C7" w:rsidRPr="00DE7F7E" w:rsidRDefault="004F43C7" w:rsidP="004F43C7">
            <w:pPr>
              <w:pStyle w:val="ListParagraph"/>
              <w:numPr>
                <w:ilvl w:val="0"/>
                <w:numId w:val="12"/>
              </w:numPr>
              <w:spacing w:before="120"/>
              <w:ind w:left="714" w:hanging="357"/>
              <w:contextualSpacing w:val="0"/>
              <w:jc w:val="both"/>
              <w:rPr>
                <w:rFonts w:eastAsia="MS Mincho" w:cs="Times New Roman"/>
                <w:b/>
                <w:noProof/>
                <w:szCs w:val="32"/>
              </w:rPr>
            </w:pPr>
            <w:r w:rsidRPr="00DE7F7E">
              <w:rPr>
                <w:rFonts w:eastAsia="MS Mincho" w:cs="Times New Roman"/>
                <w:b/>
                <w:noProof/>
                <w:szCs w:val="32"/>
              </w:rPr>
              <w:t xml:space="preserve">Change in the custodian and CSD, but the investor wants to keep its identification number and </w:t>
            </w:r>
            <w:r w:rsidR="00DE7F7E" w:rsidRPr="00DE7F7E">
              <w:rPr>
                <w:rFonts w:eastAsia="MS Mincho" w:cs="Times New Roman"/>
                <w:b/>
                <w:noProof/>
                <w:szCs w:val="32"/>
              </w:rPr>
              <w:t>the history of its positions in the register.</w:t>
            </w:r>
          </w:p>
          <w:p w:rsidR="00DE7F7E" w:rsidRDefault="00DE7F7E" w:rsidP="00DE7F7E">
            <w:pPr>
              <w:pStyle w:val="ListParagraph"/>
              <w:spacing w:before="120"/>
              <w:contextualSpacing w:val="0"/>
              <w:jc w:val="both"/>
              <w:rPr>
                <w:rFonts w:eastAsia="MS Mincho" w:cs="Times New Roman"/>
                <w:noProof/>
                <w:szCs w:val="32"/>
              </w:rPr>
            </w:pPr>
            <w:r>
              <w:rPr>
                <w:rFonts w:eastAsia="MS Mincho" w:cs="Times New Roman"/>
                <w:noProof/>
                <w:szCs w:val="32"/>
              </w:rPr>
              <w:t xml:space="preserve">FOP </w:t>
            </w:r>
            <w:r w:rsidR="00662546">
              <w:rPr>
                <w:rFonts w:eastAsia="MS Mincho" w:cs="Times New Roman"/>
                <w:noProof/>
                <w:szCs w:val="32"/>
              </w:rPr>
              <w:t xml:space="preserve">with </w:t>
            </w:r>
            <w:r>
              <w:rPr>
                <w:rFonts w:eastAsia="MS Mincho" w:cs="Times New Roman"/>
                <w:noProof/>
                <w:szCs w:val="32"/>
              </w:rPr>
              <w:t>TO code in the T2S instruction and in the BRN, allowing to keep the identification number of the shareholder and register the new intermediary in the register.</w:t>
            </w:r>
          </w:p>
          <w:p w:rsidR="00DE7F7E" w:rsidRPr="00DE7F7E" w:rsidRDefault="00DE7F7E" w:rsidP="004F43C7">
            <w:pPr>
              <w:pStyle w:val="ListParagraph"/>
              <w:numPr>
                <w:ilvl w:val="0"/>
                <w:numId w:val="12"/>
              </w:numPr>
              <w:spacing w:before="120"/>
              <w:ind w:left="714" w:hanging="357"/>
              <w:contextualSpacing w:val="0"/>
              <w:jc w:val="both"/>
              <w:rPr>
                <w:rFonts w:eastAsia="MS Mincho" w:cs="Times New Roman"/>
                <w:b/>
                <w:noProof/>
                <w:szCs w:val="32"/>
              </w:rPr>
            </w:pPr>
            <w:r w:rsidRPr="00DE7F7E">
              <w:rPr>
                <w:rFonts w:eastAsia="MS Mincho" w:cs="Times New Roman"/>
                <w:b/>
                <w:noProof/>
                <w:szCs w:val="32"/>
              </w:rPr>
              <w:t>Change of shareholder, of custodian and CSD</w:t>
            </w:r>
          </w:p>
          <w:p w:rsidR="00DE7F7E" w:rsidRDefault="00DE7F7E" w:rsidP="00DE7F7E">
            <w:pPr>
              <w:pStyle w:val="ListParagraph"/>
              <w:spacing w:before="120"/>
              <w:ind w:left="714"/>
              <w:contextualSpacing w:val="0"/>
              <w:jc w:val="both"/>
              <w:rPr>
                <w:rFonts w:eastAsia="MS Mincho" w:cs="Times New Roman"/>
                <w:noProof/>
                <w:szCs w:val="32"/>
              </w:rPr>
            </w:pPr>
            <w:r>
              <w:rPr>
                <w:rFonts w:eastAsia="MS Mincho" w:cs="Times New Roman"/>
                <w:noProof/>
                <w:szCs w:val="32"/>
              </w:rPr>
              <w:t>DVP with a GO code because of the transfer of title, leading to removal of the former shareholder, the new CSD being required to register or have the intermediary registered or the shareholder.</w:t>
            </w:r>
          </w:p>
          <w:p w:rsidR="00B3406E" w:rsidRDefault="00DE7F7E" w:rsidP="004F43C7">
            <w:pPr>
              <w:spacing w:before="120"/>
              <w:jc w:val="both"/>
              <w:rPr>
                <w:rFonts w:eastAsia="MS Mincho" w:cs="Times New Roman"/>
                <w:noProof/>
                <w:szCs w:val="32"/>
              </w:rPr>
            </w:pPr>
            <w:r>
              <w:rPr>
                <w:rFonts w:eastAsia="MS Mincho" w:cs="Times New Roman"/>
                <w:noProof/>
                <w:szCs w:val="32"/>
              </w:rPr>
              <w:t>The application of the recommandation, in the last two cases, implies a communication to T2S CSDs and to custodians of other markets so they are informed of the market practice on French registered shares.</w:t>
            </w:r>
          </w:p>
          <w:p w:rsidR="00DE7F7E" w:rsidRDefault="00DE7F7E" w:rsidP="004F43C7">
            <w:pPr>
              <w:spacing w:before="120"/>
              <w:jc w:val="both"/>
              <w:rPr>
                <w:rFonts w:eastAsia="MS Mincho" w:cs="Times New Roman"/>
                <w:noProof/>
                <w:szCs w:val="32"/>
              </w:rPr>
            </w:pPr>
            <w:r>
              <w:rPr>
                <w:rFonts w:eastAsia="MS Mincho" w:cs="Times New Roman"/>
                <w:noProof/>
                <w:szCs w:val="32"/>
              </w:rPr>
              <w:t xml:space="preserve">Theoretically, in the case of transfers on administered registered shares </w:t>
            </w:r>
            <w:r w:rsidR="00662546" w:rsidRPr="00662546">
              <w:rPr>
                <w:rFonts w:eastAsia="MS Mincho" w:cs="Times New Roman"/>
                <w:i/>
                <w:noProof/>
                <w:szCs w:val="32"/>
              </w:rPr>
              <w:t>(nominatif administré’)</w:t>
            </w:r>
            <w:r w:rsidR="00662546">
              <w:rPr>
                <w:rFonts w:eastAsia="MS Mincho" w:cs="Times New Roman"/>
                <w:noProof/>
                <w:szCs w:val="32"/>
              </w:rPr>
              <w:t xml:space="preserve"> </w:t>
            </w:r>
            <w:r>
              <w:rPr>
                <w:rFonts w:eastAsia="MS Mincho" w:cs="Times New Roman"/>
                <w:noProof/>
                <w:szCs w:val="32"/>
              </w:rPr>
              <w:t xml:space="preserve">to a participant of another T2S CSD, the instruction should be a FOP with matching mentioning the TO code for a securities </w:t>
            </w:r>
            <w:r w:rsidRPr="00DE7F7E">
              <w:rPr>
                <w:rFonts w:eastAsia="MS Mincho" w:cs="Times New Roman"/>
                <w:i/>
                <w:noProof/>
                <w:szCs w:val="32"/>
              </w:rPr>
              <w:t>occasionally or essentially registered</w:t>
            </w:r>
            <w:r>
              <w:rPr>
                <w:rFonts w:eastAsia="MS Mincho" w:cs="Times New Roman"/>
                <w:noProof/>
                <w:szCs w:val="32"/>
              </w:rPr>
              <w:t xml:space="preserve"> when the shareholder remains the same.</w:t>
            </w:r>
          </w:p>
          <w:p w:rsidR="00DE7F7E" w:rsidRDefault="00DE7F7E" w:rsidP="004F43C7">
            <w:pPr>
              <w:spacing w:before="120"/>
              <w:jc w:val="both"/>
              <w:rPr>
                <w:rFonts w:eastAsia="MS Mincho" w:cs="Times New Roman"/>
                <w:noProof/>
                <w:szCs w:val="32"/>
              </w:rPr>
            </w:pPr>
          </w:p>
          <w:p w:rsidR="00DE7F7E" w:rsidRDefault="00DE7F7E" w:rsidP="004F43C7">
            <w:pPr>
              <w:spacing w:before="120"/>
              <w:jc w:val="both"/>
              <w:rPr>
                <w:rFonts w:eastAsia="MS Mincho" w:cs="Times New Roman"/>
                <w:noProof/>
                <w:szCs w:val="32"/>
              </w:rPr>
            </w:pPr>
            <w:r>
              <w:rPr>
                <w:rFonts w:eastAsia="MS Mincho" w:cs="Times New Roman"/>
                <w:noProof/>
                <w:szCs w:val="32"/>
              </w:rPr>
              <w:t>It is forbidden to create a DVP instruction with a code other than GO (ex: TO) as it would lead to a settlement in T2S, but the ancillary accounting would be booked in an error account at Euroclear.</w:t>
            </w:r>
          </w:p>
          <w:p w:rsidR="00DE7F7E" w:rsidRDefault="00DE7F7E" w:rsidP="004F43C7">
            <w:pPr>
              <w:spacing w:before="120"/>
              <w:jc w:val="both"/>
              <w:rPr>
                <w:rFonts w:eastAsia="MS Mincho" w:cs="Times New Roman"/>
                <w:noProof/>
                <w:szCs w:val="32"/>
              </w:rPr>
            </w:pPr>
            <w:r>
              <w:rPr>
                <w:rFonts w:eastAsia="MS Mincho" w:cs="Times New Roman"/>
                <w:noProof/>
                <w:szCs w:val="32"/>
              </w:rPr>
              <w:t xml:space="preserve">To be noted that the </w:t>
            </w:r>
            <w:r w:rsidR="00662546">
              <w:rPr>
                <w:rFonts w:eastAsia="MS Mincho" w:cs="Times New Roman"/>
                <w:noProof/>
                <w:szCs w:val="32"/>
              </w:rPr>
              <w:t xml:space="preserve">CTO code </w:t>
            </w:r>
            <w:r>
              <w:rPr>
                <w:rFonts w:eastAsia="MS Mincho" w:cs="Times New Roman"/>
                <w:noProof/>
                <w:szCs w:val="32"/>
              </w:rPr>
              <w:t>GO implies the removal of the former shareholder and the registration of the new one, or its custodian or its CSD.</w:t>
            </w:r>
          </w:p>
          <w:p w:rsidR="00DE7F7E" w:rsidRDefault="00DE7F7E" w:rsidP="004F43C7">
            <w:pPr>
              <w:spacing w:before="120"/>
              <w:jc w:val="both"/>
              <w:rPr>
                <w:rFonts w:eastAsia="MS Mincho" w:cs="Times New Roman"/>
                <w:noProof/>
                <w:szCs w:val="32"/>
              </w:rPr>
            </w:pPr>
          </w:p>
          <w:p w:rsidR="00DE7F7E" w:rsidRDefault="00DE7F7E" w:rsidP="004F43C7">
            <w:pPr>
              <w:spacing w:before="120"/>
              <w:jc w:val="both"/>
              <w:rPr>
                <w:rFonts w:eastAsia="MS Mincho" w:cs="Times New Roman"/>
                <w:noProof/>
                <w:szCs w:val="32"/>
              </w:rPr>
            </w:pPr>
            <w:r>
              <w:rPr>
                <w:rFonts w:eastAsia="MS Mincho" w:cs="Times New Roman"/>
                <w:noProof/>
                <w:szCs w:val="32"/>
              </w:rPr>
              <w:t xml:space="preserve">The impact in the case of double voting rights </w:t>
            </w:r>
            <w:r w:rsidR="007C5EF0">
              <w:rPr>
                <w:rFonts w:eastAsia="MS Mincho" w:cs="Times New Roman"/>
                <w:noProof/>
                <w:szCs w:val="32"/>
              </w:rPr>
              <w:t>must be carefully considered (possible loss):</w:t>
            </w:r>
          </w:p>
          <w:p w:rsidR="007C5EF0" w:rsidRDefault="007C5EF0" w:rsidP="007C5EF0">
            <w:pPr>
              <w:pStyle w:val="ListParagraph"/>
              <w:numPr>
                <w:ilvl w:val="0"/>
                <w:numId w:val="12"/>
              </w:numPr>
              <w:spacing w:before="120"/>
              <w:jc w:val="both"/>
              <w:rPr>
                <w:rFonts w:eastAsia="MS Mincho" w:cs="Times New Roman"/>
                <w:noProof/>
                <w:szCs w:val="32"/>
              </w:rPr>
            </w:pPr>
            <w:r>
              <w:rPr>
                <w:rFonts w:eastAsia="MS Mincho" w:cs="Times New Roman"/>
                <w:noProof/>
                <w:szCs w:val="32"/>
              </w:rPr>
              <w:t>When the CTO code GO is used: loss of shareholder seniority and double voting rights when they exist; additionally in the case the CTO code is not filled, GO is automatically mentioned.</w:t>
            </w:r>
          </w:p>
          <w:p w:rsidR="007C5EF0" w:rsidRPr="007C5EF0" w:rsidRDefault="007C5EF0" w:rsidP="007C5EF0">
            <w:pPr>
              <w:pStyle w:val="ListParagraph"/>
              <w:numPr>
                <w:ilvl w:val="0"/>
                <w:numId w:val="12"/>
              </w:numPr>
              <w:spacing w:before="120"/>
              <w:jc w:val="both"/>
              <w:rPr>
                <w:rFonts w:eastAsia="MS Mincho" w:cs="Times New Roman"/>
                <w:noProof/>
                <w:szCs w:val="32"/>
              </w:rPr>
            </w:pPr>
            <w:r>
              <w:rPr>
                <w:rFonts w:eastAsia="MS Mincho" w:cs="Times New Roman"/>
                <w:noProof/>
                <w:szCs w:val="32"/>
              </w:rPr>
              <w:t>If the movement is TO, the seniority can be kept and the new intermediary registered, but the custodian and CSD must be aware of the funcitoning of French registered shares and accept to register the end investor.</w:t>
            </w:r>
          </w:p>
          <w:p w:rsidR="00DE7F7E" w:rsidRDefault="00DE7F7E" w:rsidP="004F43C7">
            <w:pPr>
              <w:spacing w:before="120"/>
              <w:jc w:val="both"/>
              <w:rPr>
                <w:rFonts w:eastAsia="MS Mincho" w:cs="Times New Roman"/>
                <w:noProof/>
                <w:szCs w:val="32"/>
              </w:rPr>
            </w:pPr>
          </w:p>
          <w:p w:rsidR="007C5EF0" w:rsidRDefault="007C5EF0" w:rsidP="004F43C7">
            <w:pPr>
              <w:spacing w:before="120"/>
              <w:jc w:val="both"/>
              <w:rPr>
                <w:rFonts w:eastAsia="MS Mincho" w:cs="Times New Roman"/>
                <w:noProof/>
                <w:szCs w:val="32"/>
              </w:rPr>
            </w:pPr>
            <w:r>
              <w:rPr>
                <w:rFonts w:eastAsia="MS Mincho" w:cs="Times New Roman"/>
                <w:noProof/>
                <w:szCs w:val="32"/>
              </w:rPr>
              <w:t xml:space="preserve">In practice, </w:t>
            </w:r>
            <w:r w:rsidR="00042294">
              <w:rPr>
                <w:rFonts w:eastAsia="MS Mincho" w:cs="Times New Roman"/>
                <w:noProof/>
                <w:szCs w:val="32"/>
              </w:rPr>
              <w:t>considering international market practices, there will probably be a removal of the former shareholder in the issuer’ register and registration as nominee of the CSD of the new shareholder. In order to register the CSD as nominee instead of the end investor, a CI code should be used for a change in the name while keeping the seniority and the rights.</w:t>
            </w:r>
          </w:p>
          <w:p w:rsidR="00042294" w:rsidRDefault="00042294" w:rsidP="004F43C7">
            <w:pPr>
              <w:spacing w:before="120"/>
              <w:jc w:val="both"/>
              <w:rPr>
                <w:rFonts w:eastAsia="MS Mincho" w:cs="Times New Roman"/>
                <w:noProof/>
                <w:szCs w:val="32"/>
              </w:rPr>
            </w:pPr>
            <w:r>
              <w:rPr>
                <w:rFonts w:eastAsia="MS Mincho" w:cs="Times New Roman"/>
                <w:noProof/>
                <w:szCs w:val="32"/>
              </w:rPr>
              <w:t xml:space="preserve">The present recommandation aiming at keeping the seniority and preserve the rights of the shareholder when transferring administered registered shares to a custodian in another T2S CSD </w:t>
            </w:r>
            <w:r w:rsidRPr="00042294">
              <w:rPr>
                <w:rFonts w:eastAsia="MS Mincho" w:cs="Times New Roman"/>
                <w:noProof/>
                <w:szCs w:val="32"/>
                <w:u w:val="single"/>
              </w:rPr>
              <w:t>is the target</w:t>
            </w:r>
            <w:r>
              <w:rPr>
                <w:rFonts w:eastAsia="MS Mincho" w:cs="Times New Roman"/>
                <w:noProof/>
                <w:szCs w:val="32"/>
              </w:rPr>
              <w:t>, but it assumes a correct use of the rules applying to French registered shares, and implies in practice the following procedure:</w:t>
            </w:r>
          </w:p>
          <w:p w:rsidR="00042294" w:rsidRPr="00282051" w:rsidRDefault="00042294" w:rsidP="00282051">
            <w:pPr>
              <w:spacing w:before="120"/>
              <w:jc w:val="both"/>
              <w:rPr>
                <w:rFonts w:eastAsia="MS Mincho" w:cs="Times New Roman"/>
                <w:b/>
                <w:noProof/>
                <w:szCs w:val="32"/>
              </w:rPr>
            </w:pPr>
            <w:r w:rsidRPr="00282051">
              <w:rPr>
                <w:rFonts w:eastAsia="MS Mincho" w:cs="Times New Roman"/>
                <w:b/>
                <w:noProof/>
                <w:szCs w:val="32"/>
              </w:rPr>
              <w:t>Use FOP with matching as it is a cross-CSD instruction</w:t>
            </w:r>
          </w:p>
          <w:p w:rsidR="00042294" w:rsidRDefault="00042294" w:rsidP="00282051">
            <w:pPr>
              <w:pStyle w:val="ListParagraph"/>
              <w:numPr>
                <w:ilvl w:val="0"/>
                <w:numId w:val="12"/>
              </w:numPr>
              <w:spacing w:before="120"/>
              <w:ind w:left="714" w:hanging="357"/>
              <w:contextualSpacing w:val="0"/>
              <w:jc w:val="both"/>
              <w:rPr>
                <w:rFonts w:eastAsia="MS Mincho" w:cs="Times New Roman"/>
                <w:noProof/>
                <w:szCs w:val="32"/>
              </w:rPr>
            </w:pPr>
            <w:r>
              <w:rPr>
                <w:rFonts w:eastAsia="MS Mincho" w:cs="Times New Roman"/>
                <w:noProof/>
                <w:szCs w:val="32"/>
              </w:rPr>
              <w:t xml:space="preserve">The participant of Euroclear France who initiated the transfer must mention the </w:t>
            </w:r>
            <w:r w:rsidR="00662546">
              <w:rPr>
                <w:rFonts w:eastAsia="MS Mincho" w:cs="Times New Roman"/>
                <w:noProof/>
                <w:szCs w:val="32"/>
              </w:rPr>
              <w:t xml:space="preserve">CTO code </w:t>
            </w:r>
            <w:r>
              <w:rPr>
                <w:rFonts w:eastAsia="MS Mincho" w:cs="Times New Roman"/>
                <w:noProof/>
                <w:szCs w:val="32"/>
              </w:rPr>
              <w:t xml:space="preserve">TO in its free of payment instruction (not a matching criterion) and in the BRN to change the intermediary </w:t>
            </w:r>
            <w:r w:rsidR="00282051">
              <w:rPr>
                <w:rFonts w:eastAsia="MS Mincho" w:cs="Times New Roman"/>
                <w:noProof/>
                <w:szCs w:val="32"/>
              </w:rPr>
              <w:t>custodian but keep the CCN.</w:t>
            </w:r>
          </w:p>
          <w:p w:rsidR="00282051" w:rsidRDefault="00282051" w:rsidP="00282051">
            <w:pPr>
              <w:pStyle w:val="ListParagraph"/>
              <w:numPr>
                <w:ilvl w:val="0"/>
                <w:numId w:val="12"/>
              </w:numPr>
              <w:spacing w:before="120"/>
              <w:ind w:left="714" w:hanging="357"/>
              <w:contextualSpacing w:val="0"/>
              <w:jc w:val="both"/>
              <w:rPr>
                <w:rFonts w:eastAsia="MS Mincho" w:cs="Times New Roman"/>
                <w:noProof/>
                <w:szCs w:val="32"/>
              </w:rPr>
            </w:pPr>
            <w:r>
              <w:rPr>
                <w:rFonts w:eastAsia="MS Mincho" w:cs="Times New Roman"/>
                <w:noProof/>
                <w:szCs w:val="32"/>
              </w:rPr>
              <w:t xml:space="preserve">The custodian of the end investor receving the securities must request the foreign CSD to issue a BRN in the name of the end investor with a </w:t>
            </w:r>
            <w:r w:rsidR="00662546">
              <w:rPr>
                <w:rFonts w:eastAsia="MS Mincho" w:cs="Times New Roman"/>
                <w:noProof/>
                <w:szCs w:val="32"/>
              </w:rPr>
              <w:t xml:space="preserve">CTO code </w:t>
            </w:r>
            <w:r>
              <w:rPr>
                <w:rFonts w:eastAsia="MS Mincho" w:cs="Times New Roman"/>
                <w:noProof/>
                <w:szCs w:val="32"/>
              </w:rPr>
              <w:t>CI and a comment ‘Loi NRE’ in order to preserve the rights for a foreign investor whose securities are held by a registered intermediary (BRN to be managed manually). The end investor must give the appropriate instruction to the new custodian in a foreign market.</w:t>
            </w:r>
          </w:p>
          <w:p w:rsidR="00282051" w:rsidRPr="00042294" w:rsidRDefault="00282051" w:rsidP="00282051">
            <w:pPr>
              <w:pStyle w:val="ListParagraph"/>
              <w:spacing w:before="120"/>
              <w:ind w:left="714"/>
              <w:contextualSpacing w:val="0"/>
              <w:jc w:val="both"/>
              <w:rPr>
                <w:rFonts w:eastAsia="MS Mincho" w:cs="Times New Roman"/>
                <w:noProof/>
                <w:szCs w:val="32"/>
              </w:rPr>
            </w:pPr>
            <w:r>
              <w:rPr>
                <w:rFonts w:eastAsia="MS Mincho" w:cs="Times New Roman"/>
                <w:noProof/>
                <w:szCs w:val="32"/>
              </w:rPr>
              <w:t xml:space="preserve">The issue of the granting of shareholder privileges when the securities </w:t>
            </w:r>
            <w:r>
              <w:rPr>
                <w:rFonts w:eastAsia="MS Mincho" w:cs="Times New Roman"/>
                <w:noProof/>
                <w:szCs w:val="32"/>
              </w:rPr>
              <w:lastRenderedPageBreak/>
              <w:t>are registered in the name of the registered intermediary remains. In this case, the registered intermediary should be considered to apply for the relevant assets the same registration and removal dates as the end investor, in order to be able to provide the proofs allowing the end investor to benefit from its privileges. This does not appear realistic and is not accepted by registrars of French securities, as they must have the knowledge of the end investor in order to apply shoareholder privileges.</w:t>
            </w:r>
          </w:p>
          <w:p w:rsidR="007C5EF0" w:rsidRDefault="00282051" w:rsidP="0067452F">
            <w:pPr>
              <w:spacing w:before="120"/>
              <w:jc w:val="both"/>
              <w:rPr>
                <w:rFonts w:eastAsia="MS Mincho" w:cs="Times New Roman"/>
                <w:b/>
                <w:noProof/>
                <w:szCs w:val="32"/>
              </w:rPr>
            </w:pPr>
            <w:r>
              <w:rPr>
                <w:rFonts w:eastAsia="MS Mincho" w:cs="Times New Roman"/>
                <w:b/>
                <w:noProof/>
                <w:szCs w:val="32"/>
              </w:rPr>
              <w:t>As a conclustion, as long as a detailed communication is not made to other CSDs and foreign custodians are not ready to registe</w:t>
            </w:r>
            <w:r w:rsidR="00662546">
              <w:rPr>
                <w:rFonts w:eastAsia="MS Mincho" w:cs="Times New Roman"/>
                <w:b/>
                <w:noProof/>
                <w:szCs w:val="32"/>
              </w:rPr>
              <w:t>r the end investor, it is impor</w:t>
            </w:r>
            <w:r>
              <w:rPr>
                <w:rFonts w:eastAsia="MS Mincho" w:cs="Times New Roman"/>
                <w:b/>
                <w:noProof/>
                <w:szCs w:val="32"/>
              </w:rPr>
              <w:t>t</w:t>
            </w:r>
            <w:r w:rsidR="00662546">
              <w:rPr>
                <w:rFonts w:eastAsia="MS Mincho" w:cs="Times New Roman"/>
                <w:b/>
                <w:noProof/>
                <w:szCs w:val="32"/>
              </w:rPr>
              <w:t>ant to draw attention of sh</w:t>
            </w:r>
            <w:r>
              <w:rPr>
                <w:rFonts w:eastAsia="MS Mincho" w:cs="Times New Roman"/>
                <w:b/>
                <w:noProof/>
                <w:szCs w:val="32"/>
              </w:rPr>
              <w:t xml:space="preserve">areholders on the fact that </w:t>
            </w:r>
            <w:r w:rsidR="0067452F">
              <w:rPr>
                <w:rFonts w:eastAsia="MS Mincho" w:cs="Times New Roman"/>
                <w:b/>
                <w:noProof/>
                <w:szCs w:val="32"/>
              </w:rPr>
              <w:t>privileges related to seniority cannot be guaranteed in the case of a transfer of securiti</w:t>
            </w:r>
            <w:r w:rsidR="00662546">
              <w:rPr>
                <w:rFonts w:eastAsia="MS Mincho" w:cs="Times New Roman"/>
                <w:b/>
                <w:noProof/>
                <w:szCs w:val="32"/>
              </w:rPr>
              <w:t>es in administered registered f</w:t>
            </w:r>
            <w:r w:rsidR="0067452F">
              <w:rPr>
                <w:rFonts w:eastAsia="MS Mincho" w:cs="Times New Roman"/>
                <w:b/>
                <w:noProof/>
                <w:szCs w:val="32"/>
              </w:rPr>
              <w:t>o</w:t>
            </w:r>
            <w:r w:rsidR="00662546">
              <w:rPr>
                <w:rFonts w:eastAsia="MS Mincho" w:cs="Times New Roman"/>
                <w:b/>
                <w:noProof/>
                <w:szCs w:val="32"/>
              </w:rPr>
              <w:t>r</w:t>
            </w:r>
            <w:r w:rsidR="0067452F">
              <w:rPr>
                <w:rFonts w:eastAsia="MS Mincho" w:cs="Times New Roman"/>
                <w:b/>
                <w:noProof/>
                <w:szCs w:val="32"/>
              </w:rPr>
              <w:t xml:space="preserve">m </w:t>
            </w:r>
            <w:r w:rsidR="00662546" w:rsidRPr="00662546">
              <w:rPr>
                <w:rFonts w:eastAsia="MS Mincho" w:cs="Times New Roman"/>
                <w:b/>
                <w:i/>
                <w:noProof/>
                <w:szCs w:val="32"/>
              </w:rPr>
              <w:t>(‘nominatif administré’)</w:t>
            </w:r>
            <w:r w:rsidR="00662546">
              <w:rPr>
                <w:rFonts w:eastAsia="MS Mincho" w:cs="Times New Roman"/>
                <w:b/>
                <w:noProof/>
                <w:szCs w:val="32"/>
              </w:rPr>
              <w:t xml:space="preserve"> </w:t>
            </w:r>
            <w:r w:rsidR="0067452F">
              <w:rPr>
                <w:rFonts w:eastAsia="MS Mincho" w:cs="Times New Roman"/>
                <w:b/>
                <w:noProof/>
                <w:szCs w:val="32"/>
              </w:rPr>
              <w:t>to a foreign custodian participant of a CSD other than Euroclear France.</w:t>
            </w:r>
          </w:p>
          <w:p w:rsidR="0067452F" w:rsidRPr="00282051" w:rsidRDefault="0067452F" w:rsidP="0067452F">
            <w:pPr>
              <w:spacing w:before="120"/>
              <w:jc w:val="both"/>
              <w:rPr>
                <w:rFonts w:eastAsia="MS Mincho" w:cs="Times New Roman"/>
                <w:b/>
                <w:noProof/>
                <w:szCs w:val="32"/>
              </w:rPr>
            </w:pPr>
            <w:r>
              <w:rPr>
                <w:rFonts w:eastAsia="MS Mincho" w:cs="Times New Roman"/>
                <w:b/>
                <w:noProof/>
                <w:szCs w:val="32"/>
              </w:rPr>
              <w:t>For Euroclear Belgium and Euroclear Netherlands, it appears the current practice is to register the end investor when he is French. For a non-resident client (</w:t>
            </w:r>
            <w:r w:rsidR="00662546">
              <w:rPr>
                <w:rFonts w:eastAsia="MS Mincho" w:cs="Times New Roman"/>
                <w:b/>
                <w:noProof/>
                <w:szCs w:val="32"/>
              </w:rPr>
              <w:t xml:space="preserve">non-resident from a </w:t>
            </w:r>
            <w:r>
              <w:rPr>
                <w:rFonts w:eastAsia="MS Mincho" w:cs="Times New Roman"/>
                <w:b/>
                <w:noProof/>
                <w:szCs w:val="32"/>
              </w:rPr>
              <w:t>French point of view), the international practice would be a registration of the custodian as registered intermediary, which does not allow the preservation of privileges related to shareholder seniority.</w:t>
            </w:r>
          </w:p>
        </w:tc>
      </w:tr>
      <w:tr w:rsidR="0081511D" w:rsidRPr="00F370B0" w:rsidTr="0081511D">
        <w:tc>
          <w:tcPr>
            <w:tcW w:w="2093" w:type="dxa"/>
            <w:tcBorders>
              <w:left w:val="nil"/>
              <w:right w:val="nil"/>
            </w:tcBorders>
            <w:shd w:val="clear" w:color="auto" w:fill="auto"/>
          </w:tcPr>
          <w:p w:rsidR="0081511D" w:rsidRPr="00F370B0" w:rsidRDefault="0081511D" w:rsidP="003B6A67">
            <w:pPr>
              <w:rPr>
                <w:rFonts w:eastAsia="MS Mincho" w:cs="Times New Roman"/>
                <w:b/>
                <w:noProof/>
                <w:szCs w:val="32"/>
              </w:rPr>
            </w:pPr>
          </w:p>
        </w:tc>
        <w:tc>
          <w:tcPr>
            <w:tcW w:w="7513" w:type="dxa"/>
            <w:gridSpan w:val="2"/>
            <w:tcBorders>
              <w:left w:val="nil"/>
              <w:right w:val="nil"/>
            </w:tcBorders>
            <w:shd w:val="clear" w:color="auto" w:fill="auto"/>
          </w:tcPr>
          <w:p w:rsidR="0081511D" w:rsidRPr="00F370B0" w:rsidRDefault="0081511D" w:rsidP="003B6A67">
            <w:pPr>
              <w:rPr>
                <w:rFonts w:eastAsia="MS Mincho" w:cs="Times New Roman"/>
                <w:b/>
                <w:noProof/>
                <w:szCs w:val="32"/>
              </w:rPr>
            </w:pPr>
          </w:p>
        </w:tc>
      </w:tr>
      <w:tr w:rsidR="00B3406E" w:rsidTr="0081511D">
        <w:trPr>
          <w:gridAfter w:val="1"/>
          <w:wAfter w:w="30" w:type="dxa"/>
        </w:trPr>
        <w:tc>
          <w:tcPr>
            <w:tcW w:w="2093" w:type="dxa"/>
            <w:tcBorders>
              <w:bottom w:val="single" w:sz="4" w:space="0" w:color="auto"/>
            </w:tcBorders>
            <w:shd w:val="clear" w:color="auto" w:fill="BFBFBF" w:themeFill="background1" w:themeFillShade="BF"/>
          </w:tcPr>
          <w:p w:rsidR="00B3406E" w:rsidRPr="003348A6" w:rsidRDefault="00B3406E" w:rsidP="003B6A67">
            <w:pPr>
              <w:rPr>
                <w:rFonts w:eastAsia="MS Mincho" w:cs="Times New Roman"/>
                <w:b/>
                <w:noProof/>
                <w:szCs w:val="32"/>
              </w:rPr>
            </w:pPr>
            <w:r w:rsidRPr="003348A6">
              <w:rPr>
                <w:rFonts w:eastAsia="MS Mincho" w:cs="Times New Roman"/>
                <w:b/>
                <w:noProof/>
                <w:szCs w:val="32"/>
              </w:rPr>
              <w:t>Description of the roles and responsibilities of the ac</w:t>
            </w:r>
            <w:r>
              <w:rPr>
                <w:rFonts w:eastAsia="MS Mincho" w:cs="Times New Roman"/>
                <w:b/>
                <w:noProof/>
                <w:szCs w:val="32"/>
              </w:rPr>
              <w:t>to</w:t>
            </w:r>
            <w:r w:rsidRPr="003348A6">
              <w:rPr>
                <w:rFonts w:eastAsia="MS Mincho" w:cs="Times New Roman"/>
                <w:b/>
                <w:noProof/>
                <w:szCs w:val="32"/>
              </w:rPr>
              <w:t xml:space="preserve">rs involved </w:t>
            </w:r>
          </w:p>
          <w:p w:rsidR="00B3406E" w:rsidRPr="00F370B0" w:rsidRDefault="00B3406E" w:rsidP="003B6A67">
            <w:pPr>
              <w:rPr>
                <w:rFonts w:eastAsia="MS Mincho" w:cs="Times New Roman"/>
                <w:b/>
                <w:noProof/>
                <w:szCs w:val="32"/>
              </w:rPr>
            </w:pPr>
            <w:r w:rsidRPr="00F370B0">
              <w:rPr>
                <w:rFonts w:eastAsia="MS Mincho" w:cs="Times New Roman"/>
                <w:b/>
                <w:noProof/>
                <w:szCs w:val="32"/>
              </w:rPr>
              <w:t>(OPTIONAL)</w:t>
            </w:r>
          </w:p>
        </w:tc>
        <w:tc>
          <w:tcPr>
            <w:tcW w:w="7483" w:type="dxa"/>
            <w:tcBorders>
              <w:bottom w:val="single" w:sz="4" w:space="0" w:color="auto"/>
            </w:tcBorders>
          </w:tcPr>
          <w:p w:rsidR="00B3406E" w:rsidRPr="00F370B0" w:rsidRDefault="00B3406E" w:rsidP="003B6A67">
            <w:pPr>
              <w:rPr>
                <w:rFonts w:eastAsia="MS Mincho" w:cs="Times New Roman"/>
                <w:noProof/>
                <w:szCs w:val="32"/>
              </w:rPr>
            </w:pPr>
          </w:p>
          <w:p w:rsidR="00B3406E" w:rsidRPr="00F370B0" w:rsidRDefault="00B3406E" w:rsidP="003B6A67">
            <w:pPr>
              <w:rPr>
                <w:rFonts w:eastAsia="MS Mincho" w:cs="Times New Roman"/>
                <w:noProof/>
                <w:szCs w:val="32"/>
              </w:rPr>
            </w:pPr>
          </w:p>
          <w:p w:rsidR="00B3406E" w:rsidRPr="00F370B0" w:rsidRDefault="00B3406E" w:rsidP="003B6A67">
            <w:pPr>
              <w:rPr>
                <w:rFonts w:eastAsia="MS Mincho" w:cs="Times New Roman"/>
                <w:noProof/>
                <w:szCs w:val="32"/>
              </w:rPr>
            </w:pPr>
          </w:p>
          <w:p w:rsidR="00B3406E" w:rsidRPr="00F370B0" w:rsidRDefault="00B3406E" w:rsidP="003B6A67">
            <w:pPr>
              <w:rPr>
                <w:rFonts w:eastAsia="MS Mincho" w:cs="Times New Roman"/>
                <w:noProof/>
                <w:szCs w:val="32"/>
              </w:rPr>
            </w:pPr>
          </w:p>
        </w:tc>
      </w:tr>
      <w:tr w:rsidR="00B3406E" w:rsidTr="0081511D">
        <w:trPr>
          <w:gridAfter w:val="1"/>
          <w:wAfter w:w="30" w:type="dxa"/>
        </w:trPr>
        <w:tc>
          <w:tcPr>
            <w:tcW w:w="2093" w:type="dxa"/>
            <w:tcBorders>
              <w:left w:val="nil"/>
              <w:right w:val="nil"/>
            </w:tcBorders>
            <w:shd w:val="clear" w:color="auto" w:fill="FFFFFF" w:themeFill="background1"/>
          </w:tcPr>
          <w:p w:rsidR="00B3406E" w:rsidRPr="00F370B0" w:rsidRDefault="00B3406E" w:rsidP="003B6A67">
            <w:pPr>
              <w:rPr>
                <w:rFonts w:eastAsia="MS Mincho" w:cs="Times New Roman"/>
                <w:b/>
                <w:noProof/>
                <w:szCs w:val="32"/>
              </w:rPr>
            </w:pPr>
          </w:p>
        </w:tc>
        <w:tc>
          <w:tcPr>
            <w:tcW w:w="7483" w:type="dxa"/>
            <w:tcBorders>
              <w:left w:val="nil"/>
              <w:bottom w:val="single" w:sz="4" w:space="0" w:color="auto"/>
              <w:right w:val="nil"/>
            </w:tcBorders>
            <w:shd w:val="clear" w:color="auto" w:fill="FFFFFF" w:themeFill="background1"/>
          </w:tcPr>
          <w:p w:rsidR="00B3406E" w:rsidRPr="00F370B0" w:rsidRDefault="00B3406E" w:rsidP="003B6A67">
            <w:pPr>
              <w:rPr>
                <w:rFonts w:eastAsia="MS Mincho" w:cs="Times New Roman"/>
                <w:noProof/>
                <w:szCs w:val="32"/>
              </w:rPr>
            </w:pPr>
          </w:p>
        </w:tc>
      </w:tr>
      <w:tr w:rsidR="00B3406E" w:rsidTr="0081511D">
        <w:trPr>
          <w:gridAfter w:val="1"/>
          <w:wAfter w:w="30" w:type="dxa"/>
        </w:trPr>
        <w:tc>
          <w:tcPr>
            <w:tcW w:w="2093" w:type="dxa"/>
            <w:shd w:val="clear" w:color="auto" w:fill="BFBFBF" w:themeFill="background1" w:themeFillShade="BF"/>
          </w:tcPr>
          <w:p w:rsidR="00B3406E" w:rsidRPr="00F370B0" w:rsidRDefault="00B3406E" w:rsidP="003B6A67">
            <w:pPr>
              <w:rPr>
                <w:rFonts w:eastAsia="MS Mincho" w:cs="Times New Roman"/>
                <w:b/>
                <w:noProof/>
                <w:szCs w:val="32"/>
              </w:rPr>
            </w:pPr>
            <w:r w:rsidRPr="00F370B0">
              <w:rPr>
                <w:rFonts w:eastAsia="MS Mincho" w:cs="Times New Roman"/>
                <w:b/>
                <w:noProof/>
                <w:szCs w:val="32"/>
              </w:rPr>
              <w:t>Workflows</w:t>
            </w:r>
          </w:p>
          <w:p w:rsidR="00B3406E" w:rsidRPr="00F370B0" w:rsidRDefault="00B3406E" w:rsidP="003B6A67">
            <w:pPr>
              <w:rPr>
                <w:rFonts w:eastAsia="MS Mincho" w:cs="Times New Roman"/>
                <w:b/>
                <w:noProof/>
                <w:szCs w:val="32"/>
              </w:rPr>
            </w:pPr>
            <w:r w:rsidRPr="00F370B0">
              <w:rPr>
                <w:rFonts w:eastAsia="MS Mincho" w:cs="Times New Roman"/>
                <w:b/>
                <w:noProof/>
                <w:szCs w:val="32"/>
              </w:rPr>
              <w:t>(OPTIONAL)</w:t>
            </w:r>
          </w:p>
        </w:tc>
        <w:tc>
          <w:tcPr>
            <w:tcW w:w="7483" w:type="dxa"/>
            <w:tcBorders>
              <w:bottom w:val="single" w:sz="4" w:space="0" w:color="auto"/>
            </w:tcBorders>
          </w:tcPr>
          <w:p w:rsidR="00B3406E" w:rsidRPr="00F370B0" w:rsidRDefault="00B3406E" w:rsidP="003B6A67">
            <w:pPr>
              <w:rPr>
                <w:rFonts w:eastAsia="MS Mincho" w:cs="Times New Roman"/>
                <w:noProof/>
                <w:szCs w:val="32"/>
              </w:rPr>
            </w:pPr>
          </w:p>
          <w:p w:rsidR="00B3406E" w:rsidRPr="00F370B0" w:rsidRDefault="00B3406E" w:rsidP="003B6A67">
            <w:pPr>
              <w:rPr>
                <w:rFonts w:eastAsia="MS Mincho" w:cs="Times New Roman"/>
                <w:noProof/>
                <w:szCs w:val="32"/>
              </w:rPr>
            </w:pPr>
          </w:p>
        </w:tc>
      </w:tr>
    </w:tbl>
    <w:p w:rsidR="0085743B" w:rsidRPr="00F370B0" w:rsidRDefault="0085743B" w:rsidP="00211FC5">
      <w:pPr>
        <w:spacing w:after="0" w:line="240" w:lineRule="auto"/>
        <w:rPr>
          <w:rFonts w:eastAsia="MS Mincho" w:cs="Times New Roman"/>
          <w:b/>
          <w:caps/>
          <w:noProof/>
          <w:sz w:val="32"/>
          <w:szCs w:val="32"/>
        </w:rPr>
      </w:pPr>
    </w:p>
    <w:p w:rsidR="00140482" w:rsidRPr="004F6025" w:rsidRDefault="00B3406E" w:rsidP="00140482">
      <w:pPr>
        <w:pStyle w:val="ListParagraph"/>
        <w:numPr>
          <w:ilvl w:val="0"/>
          <w:numId w:val="1"/>
        </w:numPr>
        <w:spacing w:after="0" w:line="240" w:lineRule="auto"/>
        <w:ind w:left="284" w:hanging="284"/>
        <w:rPr>
          <w:rFonts w:eastAsia="MS Mincho" w:cs="Times New Roman"/>
          <w:b/>
          <w:caps/>
          <w:noProof/>
          <w:sz w:val="32"/>
          <w:szCs w:val="32"/>
          <w:lang w:val="fr-FR"/>
        </w:rPr>
      </w:pPr>
      <w:r w:rsidRPr="00F370B0">
        <w:rPr>
          <w:rFonts w:eastAsia="MS Mincho" w:cs="Times New Roman"/>
          <w:b/>
          <w:caps/>
          <w:noProof/>
          <w:sz w:val="32"/>
          <w:szCs w:val="32"/>
        </w:rPr>
        <w:t>IMPLEM</w:t>
      </w:r>
      <w:r>
        <w:rPr>
          <w:rFonts w:eastAsia="MS Mincho" w:cs="Times New Roman"/>
          <w:b/>
          <w:caps/>
          <w:noProof/>
          <w:sz w:val="32"/>
          <w:szCs w:val="32"/>
          <w:lang w:val="fr-FR"/>
        </w:rPr>
        <w:t>ENTATION</w:t>
      </w:r>
    </w:p>
    <w:p w:rsidR="00140482" w:rsidRPr="00211FC5" w:rsidRDefault="00140482" w:rsidP="00140482">
      <w:pPr>
        <w:spacing w:after="0" w:line="240" w:lineRule="auto"/>
        <w:rPr>
          <w:rFonts w:eastAsia="MS Mincho" w:cs="Times New Roman"/>
          <w:noProof/>
          <w:sz w:val="16"/>
          <w:szCs w:val="32"/>
          <w:lang w:val="fr-FR"/>
        </w:rPr>
      </w:pPr>
    </w:p>
    <w:tbl>
      <w:tblPr>
        <w:tblStyle w:val="TableGrid"/>
        <w:tblW w:w="9616" w:type="dxa"/>
        <w:tblLook w:val="04A0" w:firstRow="1" w:lastRow="0" w:firstColumn="1" w:lastColumn="0" w:noHBand="0" w:noVBand="1"/>
      </w:tblPr>
      <w:tblGrid>
        <w:gridCol w:w="2302"/>
        <w:gridCol w:w="2438"/>
        <w:gridCol w:w="2438"/>
        <w:gridCol w:w="2438"/>
      </w:tblGrid>
      <w:tr w:rsidR="00B3406E" w:rsidRPr="00B3406E" w:rsidTr="003B6A67">
        <w:trPr>
          <w:trHeight w:val="338"/>
        </w:trPr>
        <w:tc>
          <w:tcPr>
            <w:tcW w:w="2302" w:type="dxa"/>
            <w:vMerge w:val="restart"/>
            <w:shd w:val="clear" w:color="auto" w:fill="BFBFBF" w:themeFill="background1" w:themeFillShade="BF"/>
          </w:tcPr>
          <w:p w:rsidR="00B3406E" w:rsidRPr="00D103DA" w:rsidRDefault="00B3406E" w:rsidP="003B6A67">
            <w:pPr>
              <w:rPr>
                <w:rFonts w:eastAsia="MS Mincho" w:cs="Times New Roman"/>
                <w:b/>
                <w:noProof/>
                <w:szCs w:val="32"/>
                <w:lang w:val="fr-FR"/>
              </w:rPr>
            </w:pPr>
            <w:r>
              <w:rPr>
                <w:rFonts w:eastAsia="MS Mincho" w:cs="Times New Roman"/>
                <w:b/>
                <w:noProof/>
                <w:szCs w:val="32"/>
                <w:lang w:val="fr-FR"/>
              </w:rPr>
              <w:t>Implementation timeline</w:t>
            </w:r>
          </w:p>
        </w:tc>
        <w:tc>
          <w:tcPr>
            <w:tcW w:w="2438" w:type="dxa"/>
          </w:tcPr>
          <w:p w:rsidR="00B3406E" w:rsidRPr="003348A6" w:rsidRDefault="00B3406E" w:rsidP="003B6A67">
            <w:pPr>
              <w:jc w:val="center"/>
              <w:rPr>
                <w:rFonts w:eastAsia="MS Mincho" w:cs="Times New Roman"/>
                <w:b/>
                <w:noProof/>
                <w:szCs w:val="32"/>
              </w:rPr>
            </w:pPr>
            <w:r w:rsidRPr="003348A6">
              <w:rPr>
                <w:rFonts w:eastAsia="MS Mincho" w:cs="Times New Roman"/>
                <w:b/>
                <w:noProof/>
                <w:szCs w:val="32"/>
              </w:rPr>
              <w:t xml:space="preserve">Before the migration </w:t>
            </w:r>
            <w:r>
              <w:rPr>
                <w:rFonts w:eastAsia="MS Mincho" w:cs="Times New Roman"/>
                <w:b/>
                <w:noProof/>
                <w:szCs w:val="32"/>
              </w:rPr>
              <w:t xml:space="preserve">to </w:t>
            </w:r>
            <w:r w:rsidRPr="003348A6">
              <w:rPr>
                <w:rFonts w:eastAsia="MS Mincho" w:cs="Times New Roman"/>
                <w:b/>
                <w:noProof/>
                <w:szCs w:val="32"/>
              </w:rPr>
              <w:t>T2S</w:t>
            </w:r>
          </w:p>
        </w:tc>
        <w:tc>
          <w:tcPr>
            <w:tcW w:w="2438" w:type="dxa"/>
          </w:tcPr>
          <w:p w:rsidR="00B3406E" w:rsidRPr="003348A6" w:rsidRDefault="00B3406E" w:rsidP="003B6A67">
            <w:pPr>
              <w:jc w:val="center"/>
              <w:rPr>
                <w:rFonts w:eastAsia="MS Mincho" w:cs="Times New Roman"/>
                <w:b/>
                <w:noProof/>
                <w:szCs w:val="32"/>
              </w:rPr>
            </w:pPr>
            <w:r w:rsidRPr="003348A6">
              <w:rPr>
                <w:rFonts w:eastAsia="MS Mincho" w:cs="Times New Roman"/>
                <w:b/>
                <w:noProof/>
                <w:szCs w:val="32"/>
              </w:rPr>
              <w:t>Upon go live on T2S</w:t>
            </w:r>
          </w:p>
        </w:tc>
        <w:tc>
          <w:tcPr>
            <w:tcW w:w="2438" w:type="dxa"/>
          </w:tcPr>
          <w:p w:rsidR="00B3406E" w:rsidRPr="003348A6" w:rsidRDefault="00B3406E" w:rsidP="003B6A67">
            <w:pPr>
              <w:jc w:val="center"/>
              <w:rPr>
                <w:rFonts w:eastAsia="MS Mincho" w:cs="Times New Roman"/>
                <w:b/>
                <w:noProof/>
                <w:szCs w:val="32"/>
              </w:rPr>
            </w:pPr>
            <w:r w:rsidRPr="003348A6">
              <w:rPr>
                <w:rFonts w:eastAsia="MS Mincho" w:cs="Times New Roman"/>
                <w:b/>
                <w:noProof/>
                <w:szCs w:val="32"/>
              </w:rPr>
              <w:t xml:space="preserve">After the migration </w:t>
            </w:r>
            <w:r>
              <w:rPr>
                <w:rFonts w:eastAsia="MS Mincho" w:cs="Times New Roman"/>
                <w:b/>
                <w:noProof/>
                <w:szCs w:val="32"/>
              </w:rPr>
              <w:t xml:space="preserve">to </w:t>
            </w:r>
            <w:r w:rsidRPr="003348A6">
              <w:rPr>
                <w:rFonts w:eastAsia="MS Mincho" w:cs="Times New Roman"/>
                <w:b/>
                <w:noProof/>
                <w:szCs w:val="32"/>
              </w:rPr>
              <w:t>T2S</w:t>
            </w:r>
          </w:p>
        </w:tc>
      </w:tr>
      <w:tr w:rsidR="00140482" w:rsidTr="003B6A67">
        <w:trPr>
          <w:trHeight w:val="337"/>
        </w:trPr>
        <w:tc>
          <w:tcPr>
            <w:tcW w:w="2302" w:type="dxa"/>
            <w:vMerge/>
            <w:tcBorders>
              <w:bottom w:val="single" w:sz="4" w:space="0" w:color="auto"/>
            </w:tcBorders>
            <w:shd w:val="clear" w:color="auto" w:fill="BFBFBF" w:themeFill="background1" w:themeFillShade="BF"/>
          </w:tcPr>
          <w:p w:rsidR="00140482" w:rsidRPr="00B3406E" w:rsidRDefault="00140482" w:rsidP="003B6A67">
            <w:pPr>
              <w:rPr>
                <w:rFonts w:eastAsia="MS Mincho" w:cs="Times New Roman"/>
                <w:b/>
                <w:noProof/>
                <w:szCs w:val="32"/>
              </w:rPr>
            </w:pPr>
          </w:p>
        </w:tc>
        <w:tc>
          <w:tcPr>
            <w:tcW w:w="2438" w:type="dxa"/>
            <w:tcBorders>
              <w:bottom w:val="single" w:sz="4" w:space="0" w:color="auto"/>
            </w:tcBorders>
            <w:shd w:val="clear" w:color="auto" w:fill="auto"/>
          </w:tcPr>
          <w:p w:rsidR="00140482" w:rsidRDefault="00140482" w:rsidP="003B6A67">
            <w:pPr>
              <w:jc w:val="center"/>
              <w:rPr>
                <w:rFonts w:ascii="Wingdings" w:hAnsi="Wingdings" w:cs="Wingdings"/>
                <w:sz w:val="26"/>
                <w:szCs w:val="26"/>
              </w:rPr>
            </w:pPr>
            <w:r>
              <w:rPr>
                <w:rFonts w:ascii="Wingdings" w:hAnsi="Wingdings" w:cs="Wingdings"/>
                <w:sz w:val="26"/>
                <w:szCs w:val="26"/>
              </w:rPr>
              <w:t></w:t>
            </w:r>
          </w:p>
          <w:p w:rsidR="00140482" w:rsidRPr="00785264" w:rsidRDefault="00140482" w:rsidP="003B6A67">
            <w:pPr>
              <w:jc w:val="center"/>
              <w:rPr>
                <w:rFonts w:cs="Wingdings"/>
                <w:szCs w:val="26"/>
              </w:rPr>
            </w:pPr>
            <w:r w:rsidRPr="00785264">
              <w:rPr>
                <w:rFonts w:cs="Wingdings"/>
                <w:szCs w:val="26"/>
              </w:rPr>
              <w:t xml:space="preserve">Date: </w:t>
            </w:r>
            <w:r>
              <w:rPr>
                <w:rFonts w:cs="Wingdings"/>
                <w:szCs w:val="26"/>
              </w:rPr>
              <w:t>________</w:t>
            </w:r>
          </w:p>
          <w:p w:rsidR="00140482" w:rsidRDefault="00140482" w:rsidP="003B6A67">
            <w:pPr>
              <w:rPr>
                <w:rFonts w:eastAsia="MS Mincho" w:cs="Times New Roman"/>
                <w:noProof/>
                <w:szCs w:val="32"/>
                <w:lang w:val="fr-FR"/>
              </w:rPr>
            </w:pPr>
          </w:p>
        </w:tc>
        <w:tc>
          <w:tcPr>
            <w:tcW w:w="2438" w:type="dxa"/>
            <w:tcBorders>
              <w:bottom w:val="single" w:sz="4" w:space="0" w:color="auto"/>
            </w:tcBorders>
          </w:tcPr>
          <w:p w:rsidR="00140482" w:rsidRDefault="0085743B" w:rsidP="003B6A67">
            <w:pPr>
              <w:jc w:val="center"/>
              <w:rPr>
                <w:rFonts w:ascii="Wingdings" w:hAnsi="Wingdings" w:cs="Wingdings"/>
                <w:sz w:val="26"/>
                <w:szCs w:val="26"/>
              </w:rPr>
            </w:pPr>
            <w:r>
              <w:rPr>
                <w:rFonts w:ascii="Wingdings" w:hAnsi="Wingdings" w:cs="Wingdings"/>
                <w:sz w:val="26"/>
                <w:szCs w:val="26"/>
              </w:rPr>
              <w:t></w:t>
            </w:r>
          </w:p>
          <w:p w:rsidR="00140482" w:rsidRPr="00785264" w:rsidRDefault="00140482" w:rsidP="003B6A67">
            <w:pPr>
              <w:jc w:val="center"/>
              <w:rPr>
                <w:rFonts w:cs="Wingdings"/>
                <w:szCs w:val="26"/>
              </w:rPr>
            </w:pPr>
            <w:r w:rsidRPr="00785264">
              <w:rPr>
                <w:rFonts w:cs="Wingdings"/>
                <w:szCs w:val="26"/>
              </w:rPr>
              <w:t xml:space="preserve">Date: </w:t>
            </w:r>
            <w:r>
              <w:rPr>
                <w:rFonts w:cs="Wingdings"/>
                <w:szCs w:val="26"/>
              </w:rPr>
              <w:t>12/09/2016</w:t>
            </w:r>
          </w:p>
        </w:tc>
        <w:tc>
          <w:tcPr>
            <w:tcW w:w="2438" w:type="dxa"/>
            <w:tcBorders>
              <w:bottom w:val="single" w:sz="4" w:space="0" w:color="auto"/>
            </w:tcBorders>
            <w:shd w:val="clear" w:color="auto" w:fill="FFFFFF" w:themeFill="background1"/>
          </w:tcPr>
          <w:p w:rsidR="00140482" w:rsidRDefault="00140482" w:rsidP="003B6A67">
            <w:pPr>
              <w:jc w:val="center"/>
              <w:rPr>
                <w:rFonts w:ascii="Wingdings" w:hAnsi="Wingdings" w:cs="Wingdings"/>
                <w:sz w:val="26"/>
                <w:szCs w:val="26"/>
              </w:rPr>
            </w:pPr>
            <w:r>
              <w:rPr>
                <w:rFonts w:ascii="Wingdings" w:hAnsi="Wingdings" w:cs="Wingdings"/>
                <w:sz w:val="26"/>
                <w:szCs w:val="26"/>
              </w:rPr>
              <w:t></w:t>
            </w:r>
          </w:p>
          <w:p w:rsidR="00140482" w:rsidRPr="00785264" w:rsidRDefault="00140482" w:rsidP="003B6A67">
            <w:pPr>
              <w:jc w:val="center"/>
              <w:rPr>
                <w:rFonts w:cs="Wingdings"/>
                <w:szCs w:val="26"/>
              </w:rPr>
            </w:pPr>
            <w:r w:rsidRPr="00785264">
              <w:rPr>
                <w:rFonts w:cs="Wingdings"/>
                <w:szCs w:val="26"/>
              </w:rPr>
              <w:t xml:space="preserve">Date: </w:t>
            </w:r>
            <w:r>
              <w:rPr>
                <w:rFonts w:cs="Wingdings"/>
                <w:szCs w:val="26"/>
              </w:rPr>
              <w:t>________</w:t>
            </w:r>
          </w:p>
        </w:tc>
      </w:tr>
    </w:tbl>
    <w:p w:rsidR="00535757" w:rsidRDefault="00535757">
      <w:pPr>
        <w:rPr>
          <w:rFonts w:eastAsia="MS Mincho" w:cs="Times New Roman"/>
          <w:noProof/>
          <w:szCs w:val="32"/>
          <w:lang w:val="fr-FR"/>
        </w:rPr>
      </w:pPr>
      <w:r>
        <w:rPr>
          <w:rFonts w:eastAsia="MS Mincho" w:cs="Times New Roman"/>
          <w:noProof/>
          <w:szCs w:val="32"/>
          <w:lang w:val="fr-FR"/>
        </w:rPr>
        <w:br w:type="page"/>
      </w:r>
    </w:p>
    <w:p w:rsidR="00BA6B0A" w:rsidRDefault="00BA6B0A" w:rsidP="001E0D83">
      <w:pPr>
        <w:spacing w:after="0" w:line="240" w:lineRule="auto"/>
        <w:rPr>
          <w:rFonts w:eastAsia="MS Mincho" w:cs="Times New Roman"/>
          <w:noProof/>
          <w:szCs w:val="32"/>
          <w:lang w:val="fr-FR"/>
        </w:rPr>
      </w:pPr>
    </w:p>
    <w:p w:rsidR="00535757" w:rsidRDefault="00535757" w:rsidP="00535757">
      <w:pPr>
        <w:spacing w:after="0" w:line="240" w:lineRule="auto"/>
        <w:jc w:val="center"/>
        <w:rPr>
          <w:rFonts w:eastAsia="MS Mincho" w:cs="Times New Roman"/>
          <w:b/>
          <w:noProof/>
          <w:szCs w:val="32"/>
          <w:lang w:val="fr-FR"/>
        </w:rPr>
      </w:pPr>
      <w:r w:rsidRPr="00535757">
        <w:rPr>
          <w:rFonts w:eastAsia="MS Mincho" w:cs="Times New Roman"/>
          <w:b/>
          <w:noProof/>
          <w:szCs w:val="32"/>
          <w:lang w:val="fr-FR"/>
        </w:rPr>
        <w:t>APPENDIX</w:t>
      </w:r>
    </w:p>
    <w:p w:rsidR="00535757" w:rsidRDefault="00535757" w:rsidP="00535757">
      <w:pPr>
        <w:spacing w:after="0" w:line="240" w:lineRule="auto"/>
        <w:jc w:val="center"/>
        <w:rPr>
          <w:rFonts w:eastAsia="MS Mincho" w:cs="Times New Roman"/>
          <w:b/>
          <w:noProof/>
          <w:szCs w:val="32"/>
          <w:lang w:val="fr-FR"/>
        </w:rPr>
      </w:pPr>
    </w:p>
    <w:bookmarkStart w:id="0" w:name="_GoBack"/>
    <w:bookmarkEnd w:id="0"/>
    <w:p w:rsidR="00535757" w:rsidRPr="00535757" w:rsidRDefault="00535757" w:rsidP="00535757">
      <w:pPr>
        <w:spacing w:after="0" w:line="240" w:lineRule="auto"/>
        <w:jc w:val="center"/>
        <w:rPr>
          <w:rFonts w:eastAsia="MS Mincho" w:cs="Times New Roman"/>
          <w:b/>
          <w:noProof/>
          <w:szCs w:val="32"/>
          <w:lang w:val="fr-FR"/>
        </w:rPr>
      </w:pPr>
      <w:r>
        <w:rPr>
          <w:rFonts w:eastAsia="MS Mincho" w:cs="Times New Roman"/>
          <w:b/>
          <w:noProof/>
          <w:szCs w:val="32"/>
          <w:lang w:val="fr-FR"/>
        </w:rPr>
        <w:object w:dxaOrig="1513" w:dyaOrig="9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5.35pt;height:48pt" o:ole="">
            <v:imagedata r:id="rId8" o:title=""/>
          </v:shape>
          <o:OLEObject Type="Embed" ProgID="Excel.Sheet.8" ShapeID="_x0000_i1025" DrawAspect="Icon" ObjectID="_1537268814" r:id="rId9"/>
        </w:object>
      </w:r>
    </w:p>
    <w:sectPr w:rsidR="00535757" w:rsidRPr="00535757" w:rsidSect="006D6846">
      <w:headerReference w:type="default" r:id="rId10"/>
      <w:footerReference w:type="default" r:id="rId11"/>
      <w:pgSz w:w="12240" w:h="15840"/>
      <w:pgMar w:top="142"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C78D9" w:rsidRDefault="00CC78D9" w:rsidP="006D6846">
      <w:pPr>
        <w:spacing w:after="0" w:line="240" w:lineRule="auto"/>
      </w:pPr>
      <w:r>
        <w:separator/>
      </w:r>
    </w:p>
  </w:endnote>
  <w:endnote w:type="continuationSeparator" w:id="0">
    <w:p w:rsidR="00CC78D9" w:rsidRDefault="00CC78D9" w:rsidP="006D68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EUAlbertina">
    <w:altName w:val="EU Albertina"/>
    <w:panose1 w:val="00000000000000000000"/>
    <w:charset w:val="00"/>
    <w:family w:val="auto"/>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0"/>
        <w:szCs w:val="20"/>
      </w:rPr>
      <w:id w:val="1808193834"/>
      <w:docPartObj>
        <w:docPartGallery w:val="Page Numbers (Bottom of Page)"/>
        <w:docPartUnique/>
      </w:docPartObj>
    </w:sdtPr>
    <w:sdtEndPr/>
    <w:sdtContent>
      <w:sdt>
        <w:sdtPr>
          <w:rPr>
            <w:sz w:val="20"/>
            <w:szCs w:val="20"/>
          </w:rPr>
          <w:id w:val="-1769616900"/>
          <w:docPartObj>
            <w:docPartGallery w:val="Page Numbers (Top of Page)"/>
            <w:docPartUnique/>
          </w:docPartObj>
        </w:sdtPr>
        <w:sdtEndPr/>
        <w:sdtContent>
          <w:p w:rsidR="009C2D68" w:rsidRPr="00211FC5" w:rsidRDefault="009C2D68">
            <w:pPr>
              <w:pStyle w:val="Footer"/>
              <w:jc w:val="right"/>
              <w:rPr>
                <w:sz w:val="20"/>
                <w:szCs w:val="20"/>
              </w:rPr>
            </w:pPr>
            <w:r w:rsidRPr="00211FC5">
              <w:rPr>
                <w:sz w:val="20"/>
                <w:szCs w:val="20"/>
                <w:lang w:val="fr-FR"/>
              </w:rPr>
              <w:t xml:space="preserve">Page </w:t>
            </w:r>
            <w:r w:rsidRPr="00211FC5">
              <w:rPr>
                <w:b/>
                <w:bCs/>
                <w:sz w:val="20"/>
                <w:szCs w:val="20"/>
              </w:rPr>
              <w:fldChar w:fldCharType="begin"/>
            </w:r>
            <w:r w:rsidRPr="00211FC5">
              <w:rPr>
                <w:b/>
                <w:bCs/>
                <w:sz w:val="20"/>
                <w:szCs w:val="20"/>
              </w:rPr>
              <w:instrText>PAGE</w:instrText>
            </w:r>
            <w:r w:rsidRPr="00211FC5">
              <w:rPr>
                <w:b/>
                <w:bCs/>
                <w:sz w:val="20"/>
                <w:szCs w:val="20"/>
              </w:rPr>
              <w:fldChar w:fldCharType="separate"/>
            </w:r>
            <w:r w:rsidR="00662546">
              <w:rPr>
                <w:b/>
                <w:bCs/>
                <w:noProof/>
                <w:sz w:val="20"/>
                <w:szCs w:val="20"/>
              </w:rPr>
              <w:t>10</w:t>
            </w:r>
            <w:r w:rsidRPr="00211FC5">
              <w:rPr>
                <w:b/>
                <w:bCs/>
                <w:sz w:val="20"/>
                <w:szCs w:val="20"/>
              </w:rPr>
              <w:fldChar w:fldCharType="end"/>
            </w:r>
            <w:r w:rsidRPr="00211FC5">
              <w:rPr>
                <w:sz w:val="20"/>
                <w:szCs w:val="20"/>
                <w:lang w:val="fr-FR"/>
              </w:rPr>
              <w:t xml:space="preserve"> sur </w:t>
            </w:r>
            <w:r w:rsidRPr="00211FC5">
              <w:rPr>
                <w:b/>
                <w:bCs/>
                <w:sz w:val="20"/>
                <w:szCs w:val="20"/>
              </w:rPr>
              <w:fldChar w:fldCharType="begin"/>
            </w:r>
            <w:r w:rsidRPr="00211FC5">
              <w:rPr>
                <w:b/>
                <w:bCs/>
                <w:sz w:val="20"/>
                <w:szCs w:val="20"/>
              </w:rPr>
              <w:instrText>NUMPAGES</w:instrText>
            </w:r>
            <w:r w:rsidRPr="00211FC5">
              <w:rPr>
                <w:b/>
                <w:bCs/>
                <w:sz w:val="20"/>
                <w:szCs w:val="20"/>
              </w:rPr>
              <w:fldChar w:fldCharType="separate"/>
            </w:r>
            <w:r w:rsidR="00662546">
              <w:rPr>
                <w:b/>
                <w:bCs/>
                <w:noProof/>
                <w:sz w:val="20"/>
                <w:szCs w:val="20"/>
              </w:rPr>
              <w:t>10</w:t>
            </w:r>
            <w:r w:rsidRPr="00211FC5">
              <w:rPr>
                <w:b/>
                <w:bCs/>
                <w:sz w:val="20"/>
                <w:szCs w:val="20"/>
              </w:rPr>
              <w:fldChar w:fldCharType="end"/>
            </w:r>
          </w:p>
        </w:sdtContent>
      </w:sdt>
    </w:sdtContent>
  </w:sdt>
  <w:p w:rsidR="009C2D68" w:rsidRDefault="009C2D6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C78D9" w:rsidRDefault="00CC78D9" w:rsidP="006D6846">
      <w:pPr>
        <w:spacing w:after="0" w:line="240" w:lineRule="auto"/>
      </w:pPr>
      <w:r>
        <w:separator/>
      </w:r>
    </w:p>
  </w:footnote>
  <w:footnote w:type="continuationSeparator" w:id="0">
    <w:p w:rsidR="00CC78D9" w:rsidRDefault="00CC78D9" w:rsidP="006D684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104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292"/>
      <w:gridCol w:w="4136"/>
    </w:tblGrid>
    <w:tr w:rsidR="009C2D68" w:rsidTr="00BA3ABD">
      <w:trPr>
        <w:trHeight w:val="901"/>
      </w:trPr>
      <w:tc>
        <w:tcPr>
          <w:tcW w:w="6292" w:type="dxa"/>
          <w:vAlign w:val="center"/>
        </w:tcPr>
        <w:p w:rsidR="009C2D68" w:rsidRPr="005B1C9D" w:rsidRDefault="009C2D68" w:rsidP="002650CD">
          <w:pPr>
            <w:pStyle w:val="Header"/>
            <w:jc w:val="center"/>
            <w:rPr>
              <w:b/>
            </w:rPr>
          </w:pPr>
          <w:r w:rsidRPr="005B1C9D">
            <w:rPr>
              <w:b/>
            </w:rPr>
            <w:t>T2S Market Practice Adaptation Workgroup</w:t>
          </w:r>
        </w:p>
        <w:p w:rsidR="009C2D68" w:rsidRPr="002650CD" w:rsidRDefault="009C2D68" w:rsidP="002650CD">
          <w:pPr>
            <w:pStyle w:val="Header"/>
            <w:jc w:val="center"/>
            <w:rPr>
              <w:b/>
            </w:rPr>
          </w:pPr>
          <w:r w:rsidRPr="005B1C9D">
            <w:rPr>
              <w:b/>
            </w:rPr>
            <w:t xml:space="preserve">Market Practice </w:t>
          </w:r>
          <w:r>
            <w:rPr>
              <w:b/>
            </w:rPr>
            <w:t>Sheet</w:t>
          </w:r>
        </w:p>
      </w:tc>
      <w:tc>
        <w:tcPr>
          <w:tcW w:w="4136" w:type="dxa"/>
          <w:vAlign w:val="center"/>
        </w:tcPr>
        <w:p w:rsidR="009C2D68" w:rsidRDefault="009C2D68" w:rsidP="00BA3ABD">
          <w:pPr>
            <w:pStyle w:val="Header"/>
            <w:rPr>
              <w:b/>
              <w:lang w:val="fr-FR"/>
            </w:rPr>
          </w:pPr>
          <w:r>
            <w:rPr>
              <w:noProof/>
            </w:rPr>
            <w:drawing>
              <wp:inline distT="0" distB="0" distL="0" distR="0" wp14:anchorId="46322E85" wp14:editId="0E2F81E8">
                <wp:extent cx="1032931" cy="516467"/>
                <wp:effectExtent l="0" t="0" r="0" b="0"/>
                <wp:docPr id="8"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 5"/>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34228" cy="517116"/>
                        </a:xfrm>
                        <a:prstGeom prst="rect">
                          <a:avLst/>
                        </a:prstGeom>
                      </pic:spPr>
                    </pic:pic>
                  </a:graphicData>
                </a:graphic>
              </wp:inline>
            </w:drawing>
          </w:r>
          <w:r>
            <w:object w:dxaOrig="7200" w:dyaOrig="460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75.35pt;height:42.65pt" o:ole="">
                <v:imagedata r:id="rId2" o:title=""/>
              </v:shape>
              <o:OLEObject Type="Embed" ProgID="PBrush" ShapeID="_x0000_i1026" DrawAspect="Content" ObjectID="_1537268815" r:id="rId3"/>
            </w:object>
          </w:r>
        </w:p>
      </w:tc>
    </w:tr>
    <w:tr w:rsidR="009C2D68" w:rsidRPr="00776CD9" w:rsidTr="00BA3ABD">
      <w:trPr>
        <w:trHeight w:val="296"/>
      </w:trPr>
      <w:tc>
        <w:tcPr>
          <w:tcW w:w="6292" w:type="dxa"/>
          <w:vAlign w:val="center"/>
        </w:tcPr>
        <w:p w:rsidR="009C2D68" w:rsidRPr="00B3406E" w:rsidRDefault="009C2D68" w:rsidP="00BA3ABD">
          <w:pPr>
            <w:pStyle w:val="Header"/>
            <w:jc w:val="center"/>
            <w:rPr>
              <w:i/>
            </w:rPr>
          </w:pPr>
          <w:r>
            <w:rPr>
              <w:i/>
            </w:rPr>
            <w:t>Practice</w:t>
          </w:r>
          <w:r w:rsidRPr="0033411F">
            <w:rPr>
              <w:i/>
            </w:rPr>
            <w:t xml:space="preserve"> reference</w:t>
          </w:r>
          <w:r w:rsidRPr="00B3406E">
            <w:rPr>
              <w:i/>
            </w:rPr>
            <w:t xml:space="preserve">: </w:t>
          </w:r>
          <w:r>
            <w:rPr>
              <w:i/>
              <w:lang w:val="fr-FR"/>
            </w:rPr>
            <w:t>NE</w:t>
          </w:r>
          <w:r w:rsidRPr="00776CD9">
            <w:rPr>
              <w:i/>
              <w:lang w:val="fr-FR"/>
            </w:rPr>
            <w:t>-</w:t>
          </w:r>
          <w:r>
            <w:rPr>
              <w:i/>
              <w:lang w:val="fr-FR"/>
            </w:rPr>
            <w:t>NOMIN</w:t>
          </w:r>
          <w:r w:rsidRPr="00776CD9">
            <w:rPr>
              <w:i/>
              <w:lang w:val="fr-FR"/>
            </w:rPr>
            <w:t>-</w:t>
          </w:r>
          <w:r>
            <w:rPr>
              <w:i/>
              <w:lang w:val="fr-FR"/>
            </w:rPr>
            <w:t>SETTL</w:t>
          </w:r>
          <w:r w:rsidRPr="00776CD9">
            <w:rPr>
              <w:i/>
              <w:lang w:val="fr-FR"/>
            </w:rPr>
            <w:t>-01</w:t>
          </w:r>
        </w:p>
      </w:tc>
      <w:tc>
        <w:tcPr>
          <w:tcW w:w="4136" w:type="dxa"/>
          <w:vAlign w:val="center"/>
        </w:tcPr>
        <w:p w:rsidR="009C2D68" w:rsidRPr="00B3406E" w:rsidRDefault="009C2D68" w:rsidP="00EC776F">
          <w:pPr>
            <w:pStyle w:val="Header"/>
            <w:jc w:val="center"/>
            <w:rPr>
              <w:noProof/>
            </w:rPr>
          </w:pPr>
        </w:p>
      </w:tc>
    </w:tr>
  </w:tbl>
  <w:p w:rsidR="009C2D68" w:rsidRPr="00B3406E" w:rsidRDefault="009C2D68">
    <w:pPr>
      <w:pStyle w:val="Header"/>
      <w:rPr>
        <w:b/>
        <w:sz w:val="20"/>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D44BC6"/>
    <w:multiLevelType w:val="hybridMultilevel"/>
    <w:tmpl w:val="2C0049D2"/>
    <w:lvl w:ilvl="0" w:tplc="A162A862">
      <w:start w:val="1"/>
      <w:numFmt w:val="bullet"/>
      <w:lvlText w:val=""/>
      <w:lvlJc w:val="left"/>
      <w:pPr>
        <w:ind w:left="1140" w:hanging="360"/>
      </w:pPr>
      <w:rPr>
        <w:rFonts w:ascii="Wingdings" w:eastAsia="MS Mincho" w:hAnsi="Wingdings" w:cs="Times New Roman" w:hint="default"/>
      </w:rPr>
    </w:lvl>
    <w:lvl w:ilvl="1" w:tplc="040C0003" w:tentative="1">
      <w:start w:val="1"/>
      <w:numFmt w:val="bullet"/>
      <w:lvlText w:val="o"/>
      <w:lvlJc w:val="left"/>
      <w:pPr>
        <w:ind w:left="1860" w:hanging="360"/>
      </w:pPr>
      <w:rPr>
        <w:rFonts w:ascii="Courier New" w:hAnsi="Courier New" w:cs="Courier New" w:hint="default"/>
      </w:rPr>
    </w:lvl>
    <w:lvl w:ilvl="2" w:tplc="040C0005" w:tentative="1">
      <w:start w:val="1"/>
      <w:numFmt w:val="bullet"/>
      <w:lvlText w:val=""/>
      <w:lvlJc w:val="left"/>
      <w:pPr>
        <w:ind w:left="2580" w:hanging="360"/>
      </w:pPr>
      <w:rPr>
        <w:rFonts w:ascii="Wingdings" w:hAnsi="Wingdings" w:hint="default"/>
      </w:rPr>
    </w:lvl>
    <w:lvl w:ilvl="3" w:tplc="040C0001" w:tentative="1">
      <w:start w:val="1"/>
      <w:numFmt w:val="bullet"/>
      <w:lvlText w:val=""/>
      <w:lvlJc w:val="left"/>
      <w:pPr>
        <w:ind w:left="3300" w:hanging="360"/>
      </w:pPr>
      <w:rPr>
        <w:rFonts w:ascii="Symbol" w:hAnsi="Symbol" w:hint="default"/>
      </w:rPr>
    </w:lvl>
    <w:lvl w:ilvl="4" w:tplc="040C0003" w:tentative="1">
      <w:start w:val="1"/>
      <w:numFmt w:val="bullet"/>
      <w:lvlText w:val="o"/>
      <w:lvlJc w:val="left"/>
      <w:pPr>
        <w:ind w:left="4020" w:hanging="360"/>
      </w:pPr>
      <w:rPr>
        <w:rFonts w:ascii="Courier New" w:hAnsi="Courier New" w:cs="Courier New" w:hint="default"/>
      </w:rPr>
    </w:lvl>
    <w:lvl w:ilvl="5" w:tplc="040C0005" w:tentative="1">
      <w:start w:val="1"/>
      <w:numFmt w:val="bullet"/>
      <w:lvlText w:val=""/>
      <w:lvlJc w:val="left"/>
      <w:pPr>
        <w:ind w:left="4740" w:hanging="360"/>
      </w:pPr>
      <w:rPr>
        <w:rFonts w:ascii="Wingdings" w:hAnsi="Wingdings" w:hint="default"/>
      </w:rPr>
    </w:lvl>
    <w:lvl w:ilvl="6" w:tplc="040C0001" w:tentative="1">
      <w:start w:val="1"/>
      <w:numFmt w:val="bullet"/>
      <w:lvlText w:val=""/>
      <w:lvlJc w:val="left"/>
      <w:pPr>
        <w:ind w:left="5460" w:hanging="360"/>
      </w:pPr>
      <w:rPr>
        <w:rFonts w:ascii="Symbol" w:hAnsi="Symbol" w:hint="default"/>
      </w:rPr>
    </w:lvl>
    <w:lvl w:ilvl="7" w:tplc="040C0003" w:tentative="1">
      <w:start w:val="1"/>
      <w:numFmt w:val="bullet"/>
      <w:lvlText w:val="o"/>
      <w:lvlJc w:val="left"/>
      <w:pPr>
        <w:ind w:left="6180" w:hanging="360"/>
      </w:pPr>
      <w:rPr>
        <w:rFonts w:ascii="Courier New" w:hAnsi="Courier New" w:cs="Courier New" w:hint="default"/>
      </w:rPr>
    </w:lvl>
    <w:lvl w:ilvl="8" w:tplc="040C0005" w:tentative="1">
      <w:start w:val="1"/>
      <w:numFmt w:val="bullet"/>
      <w:lvlText w:val=""/>
      <w:lvlJc w:val="left"/>
      <w:pPr>
        <w:ind w:left="6900" w:hanging="360"/>
      </w:pPr>
      <w:rPr>
        <w:rFonts w:ascii="Wingdings" w:hAnsi="Wingdings" w:hint="default"/>
      </w:rPr>
    </w:lvl>
  </w:abstractNum>
  <w:abstractNum w:abstractNumId="1">
    <w:nsid w:val="049741B3"/>
    <w:multiLevelType w:val="hybridMultilevel"/>
    <w:tmpl w:val="1B20EB06"/>
    <w:lvl w:ilvl="0" w:tplc="437E9AEE">
      <w:start w:val="1"/>
      <w:numFmt w:val="bullet"/>
      <w:lvlText w:val="-"/>
      <w:lvlJc w:val="left"/>
      <w:pPr>
        <w:ind w:left="720" w:hanging="360"/>
      </w:pPr>
      <w:rPr>
        <w:rFonts w:ascii="Calibri" w:eastAsia="MS Mincho"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124E79DC"/>
    <w:multiLevelType w:val="hybridMultilevel"/>
    <w:tmpl w:val="FF563AE0"/>
    <w:lvl w:ilvl="0" w:tplc="040C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D7101850">
      <w:start w:val="30"/>
      <w:numFmt w:val="bullet"/>
      <w:lvlText w:val=""/>
      <w:lvlJc w:val="left"/>
      <w:pPr>
        <w:ind w:left="2520" w:hanging="360"/>
      </w:pPr>
      <w:rPr>
        <w:rFonts w:ascii="Wingdings" w:eastAsia="MS Mincho" w:hAnsi="Wingdings" w:cs="Tahoma"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nsid w:val="175A7E25"/>
    <w:multiLevelType w:val="hybridMultilevel"/>
    <w:tmpl w:val="B692A802"/>
    <w:lvl w:ilvl="0" w:tplc="0C880406">
      <w:start w:val="1"/>
      <w:numFmt w:val="bullet"/>
      <w:lvlText w:val="-"/>
      <w:lvlJc w:val="left"/>
      <w:pPr>
        <w:ind w:left="720" w:hanging="360"/>
      </w:pPr>
      <w:rPr>
        <w:rFonts w:ascii="Calibri" w:eastAsia="MS Mincho"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1A3E0530"/>
    <w:multiLevelType w:val="hybridMultilevel"/>
    <w:tmpl w:val="5404B1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CDA008E"/>
    <w:multiLevelType w:val="hybridMultilevel"/>
    <w:tmpl w:val="EE54A20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B7B0E1E"/>
    <w:multiLevelType w:val="hybridMultilevel"/>
    <w:tmpl w:val="43EAEF10"/>
    <w:lvl w:ilvl="0" w:tplc="9346639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2685906"/>
    <w:multiLevelType w:val="hybridMultilevel"/>
    <w:tmpl w:val="B170918E"/>
    <w:lvl w:ilvl="0" w:tplc="1546A4E6">
      <w:numFmt w:val="bullet"/>
      <w:lvlText w:val="-"/>
      <w:lvlJc w:val="left"/>
      <w:pPr>
        <w:ind w:left="720" w:hanging="360"/>
      </w:pPr>
      <w:rPr>
        <w:rFonts w:ascii="Calibri" w:eastAsia="MS Mincho"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nsid w:val="476C4B79"/>
    <w:multiLevelType w:val="hybridMultilevel"/>
    <w:tmpl w:val="47724D74"/>
    <w:lvl w:ilvl="0" w:tplc="F6FE39A0">
      <w:start w:val="9"/>
      <w:numFmt w:val="bullet"/>
      <w:lvlText w:val="-"/>
      <w:lvlJc w:val="left"/>
      <w:pPr>
        <w:ind w:left="720" w:hanging="360"/>
      </w:pPr>
      <w:rPr>
        <w:rFonts w:ascii="Calibri" w:eastAsia="MS Mincho" w:hAnsi="Calibri"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562B04EE"/>
    <w:multiLevelType w:val="hybridMultilevel"/>
    <w:tmpl w:val="361C59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A681B61"/>
    <w:multiLevelType w:val="hybridMultilevel"/>
    <w:tmpl w:val="00D418F8"/>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6DCC76B8"/>
    <w:multiLevelType w:val="hybridMultilevel"/>
    <w:tmpl w:val="8196C8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65323E3"/>
    <w:multiLevelType w:val="hybridMultilevel"/>
    <w:tmpl w:val="92625E74"/>
    <w:lvl w:ilvl="0" w:tplc="1A349598">
      <w:start w:val="1"/>
      <w:numFmt w:val="bullet"/>
      <w:lvlText w:val="-"/>
      <w:lvlJc w:val="left"/>
      <w:pPr>
        <w:ind w:left="720" w:hanging="360"/>
      </w:pPr>
      <w:rPr>
        <w:rFonts w:ascii="Calibri" w:eastAsia="MS Mincho"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7D8479E7"/>
    <w:multiLevelType w:val="hybridMultilevel"/>
    <w:tmpl w:val="E1226EE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E2F2BC6"/>
    <w:multiLevelType w:val="hybridMultilevel"/>
    <w:tmpl w:val="1C8C7E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14"/>
  </w:num>
  <w:num w:numId="3">
    <w:abstractNumId w:val="13"/>
  </w:num>
  <w:num w:numId="4">
    <w:abstractNumId w:val="12"/>
  </w:num>
  <w:num w:numId="5">
    <w:abstractNumId w:val="1"/>
  </w:num>
  <w:num w:numId="6">
    <w:abstractNumId w:val="0"/>
  </w:num>
  <w:num w:numId="7">
    <w:abstractNumId w:val="3"/>
  </w:num>
  <w:num w:numId="8">
    <w:abstractNumId w:val="2"/>
  </w:num>
  <w:num w:numId="9">
    <w:abstractNumId w:val="4"/>
  </w:num>
  <w:num w:numId="10">
    <w:abstractNumId w:val="7"/>
  </w:num>
  <w:num w:numId="11">
    <w:abstractNumId w:val="10"/>
  </w:num>
  <w:num w:numId="12">
    <w:abstractNumId w:val="8"/>
  </w:num>
  <w:num w:numId="13">
    <w:abstractNumId w:val="5"/>
  </w:num>
  <w:num w:numId="14">
    <w:abstractNumId w:val="11"/>
  </w:num>
  <w:num w:numId="15">
    <w:abstractNumId w:val="9"/>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de Sousa, Maria">
    <w15:presenceInfo w15:providerId="AD" w15:userId="S-1-5-21-3942990428-588001494-4079709122-1093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6846"/>
    <w:rsid w:val="00020084"/>
    <w:rsid w:val="000378F0"/>
    <w:rsid w:val="00042294"/>
    <w:rsid w:val="000642D6"/>
    <w:rsid w:val="000706A3"/>
    <w:rsid w:val="000A6C94"/>
    <w:rsid w:val="000B1F19"/>
    <w:rsid w:val="000C1C9B"/>
    <w:rsid w:val="000D6F4D"/>
    <w:rsid w:val="000F3C24"/>
    <w:rsid w:val="00113071"/>
    <w:rsid w:val="001333B1"/>
    <w:rsid w:val="00140482"/>
    <w:rsid w:val="00145ADA"/>
    <w:rsid w:val="001522A5"/>
    <w:rsid w:val="00162BBA"/>
    <w:rsid w:val="00183F7A"/>
    <w:rsid w:val="001A26CA"/>
    <w:rsid w:val="001B0416"/>
    <w:rsid w:val="001B1E38"/>
    <w:rsid w:val="001C4C4C"/>
    <w:rsid w:val="001C7BAF"/>
    <w:rsid w:val="001D7830"/>
    <w:rsid w:val="001E0D83"/>
    <w:rsid w:val="001E2C65"/>
    <w:rsid w:val="00211814"/>
    <w:rsid w:val="00211FC5"/>
    <w:rsid w:val="00217510"/>
    <w:rsid w:val="00232260"/>
    <w:rsid w:val="002650CD"/>
    <w:rsid w:val="00282051"/>
    <w:rsid w:val="00283DDE"/>
    <w:rsid w:val="0028513D"/>
    <w:rsid w:val="0028538B"/>
    <w:rsid w:val="00291B60"/>
    <w:rsid w:val="00343829"/>
    <w:rsid w:val="00343B9E"/>
    <w:rsid w:val="00343E9C"/>
    <w:rsid w:val="003631EA"/>
    <w:rsid w:val="00363E89"/>
    <w:rsid w:val="003929BA"/>
    <w:rsid w:val="003A4E76"/>
    <w:rsid w:val="003B3DA4"/>
    <w:rsid w:val="003B5E6A"/>
    <w:rsid w:val="003B6A67"/>
    <w:rsid w:val="003D5E9F"/>
    <w:rsid w:val="003D7060"/>
    <w:rsid w:val="003F58F9"/>
    <w:rsid w:val="00464015"/>
    <w:rsid w:val="004818D8"/>
    <w:rsid w:val="00482296"/>
    <w:rsid w:val="004F43C7"/>
    <w:rsid w:val="004F6025"/>
    <w:rsid w:val="005061BA"/>
    <w:rsid w:val="0051485E"/>
    <w:rsid w:val="00535757"/>
    <w:rsid w:val="00567B1D"/>
    <w:rsid w:val="00575F36"/>
    <w:rsid w:val="005852BA"/>
    <w:rsid w:val="005C2ACA"/>
    <w:rsid w:val="00622E8A"/>
    <w:rsid w:val="00625541"/>
    <w:rsid w:val="00652C13"/>
    <w:rsid w:val="00662546"/>
    <w:rsid w:val="0067452F"/>
    <w:rsid w:val="00694503"/>
    <w:rsid w:val="0069580E"/>
    <w:rsid w:val="006D6846"/>
    <w:rsid w:val="00701AE2"/>
    <w:rsid w:val="00714CE6"/>
    <w:rsid w:val="00727BF7"/>
    <w:rsid w:val="0074709E"/>
    <w:rsid w:val="00765664"/>
    <w:rsid w:val="00776CD9"/>
    <w:rsid w:val="007B7B10"/>
    <w:rsid w:val="007C5EF0"/>
    <w:rsid w:val="007C7303"/>
    <w:rsid w:val="007F6CFC"/>
    <w:rsid w:val="0080446B"/>
    <w:rsid w:val="0081511D"/>
    <w:rsid w:val="00830B7B"/>
    <w:rsid w:val="0083590F"/>
    <w:rsid w:val="00837334"/>
    <w:rsid w:val="00841E84"/>
    <w:rsid w:val="0085743B"/>
    <w:rsid w:val="00877218"/>
    <w:rsid w:val="008800A4"/>
    <w:rsid w:val="00893912"/>
    <w:rsid w:val="008A30A6"/>
    <w:rsid w:val="008B1A1E"/>
    <w:rsid w:val="008C734C"/>
    <w:rsid w:val="00902C5C"/>
    <w:rsid w:val="0091257E"/>
    <w:rsid w:val="0092276F"/>
    <w:rsid w:val="00922A8E"/>
    <w:rsid w:val="00922B9C"/>
    <w:rsid w:val="00933237"/>
    <w:rsid w:val="009606C4"/>
    <w:rsid w:val="00982218"/>
    <w:rsid w:val="00995F65"/>
    <w:rsid w:val="009978DE"/>
    <w:rsid w:val="009A24A6"/>
    <w:rsid w:val="009A2F1A"/>
    <w:rsid w:val="009A64D1"/>
    <w:rsid w:val="009C2D68"/>
    <w:rsid w:val="00A133A7"/>
    <w:rsid w:val="00A20577"/>
    <w:rsid w:val="00A21489"/>
    <w:rsid w:val="00A333D5"/>
    <w:rsid w:val="00A40ED4"/>
    <w:rsid w:val="00A45A45"/>
    <w:rsid w:val="00A50DC7"/>
    <w:rsid w:val="00A678C0"/>
    <w:rsid w:val="00A746A0"/>
    <w:rsid w:val="00A90EEC"/>
    <w:rsid w:val="00A96A5D"/>
    <w:rsid w:val="00AA1FDB"/>
    <w:rsid w:val="00AA62D7"/>
    <w:rsid w:val="00AC134F"/>
    <w:rsid w:val="00AD57D4"/>
    <w:rsid w:val="00B067D0"/>
    <w:rsid w:val="00B1562D"/>
    <w:rsid w:val="00B26098"/>
    <w:rsid w:val="00B31057"/>
    <w:rsid w:val="00B3406E"/>
    <w:rsid w:val="00B44E11"/>
    <w:rsid w:val="00B457D4"/>
    <w:rsid w:val="00B540C8"/>
    <w:rsid w:val="00B62B1E"/>
    <w:rsid w:val="00B727D8"/>
    <w:rsid w:val="00B9491F"/>
    <w:rsid w:val="00BA3ABD"/>
    <w:rsid w:val="00BA66D3"/>
    <w:rsid w:val="00BA6B0A"/>
    <w:rsid w:val="00BB6736"/>
    <w:rsid w:val="00BC7577"/>
    <w:rsid w:val="00BE4C60"/>
    <w:rsid w:val="00C070B0"/>
    <w:rsid w:val="00C1000A"/>
    <w:rsid w:val="00C221EA"/>
    <w:rsid w:val="00C33595"/>
    <w:rsid w:val="00C3423B"/>
    <w:rsid w:val="00C43D15"/>
    <w:rsid w:val="00C57689"/>
    <w:rsid w:val="00C60EC8"/>
    <w:rsid w:val="00C65EB2"/>
    <w:rsid w:val="00C77C0A"/>
    <w:rsid w:val="00CA28B4"/>
    <w:rsid w:val="00CB0F41"/>
    <w:rsid w:val="00CC7462"/>
    <w:rsid w:val="00CC78D9"/>
    <w:rsid w:val="00CE6DA3"/>
    <w:rsid w:val="00CF605A"/>
    <w:rsid w:val="00CF7EFC"/>
    <w:rsid w:val="00D103DA"/>
    <w:rsid w:val="00D12DE8"/>
    <w:rsid w:val="00D252A7"/>
    <w:rsid w:val="00D50DB6"/>
    <w:rsid w:val="00D529B3"/>
    <w:rsid w:val="00D53037"/>
    <w:rsid w:val="00D5515F"/>
    <w:rsid w:val="00D66DD4"/>
    <w:rsid w:val="00DB106F"/>
    <w:rsid w:val="00DD071C"/>
    <w:rsid w:val="00DE7F7E"/>
    <w:rsid w:val="00E351C1"/>
    <w:rsid w:val="00E35B86"/>
    <w:rsid w:val="00E438E3"/>
    <w:rsid w:val="00E46710"/>
    <w:rsid w:val="00E52109"/>
    <w:rsid w:val="00E62EAE"/>
    <w:rsid w:val="00EA5560"/>
    <w:rsid w:val="00EB44AB"/>
    <w:rsid w:val="00EC776F"/>
    <w:rsid w:val="00F00BF4"/>
    <w:rsid w:val="00F358FF"/>
    <w:rsid w:val="00F35CCA"/>
    <w:rsid w:val="00F370B0"/>
    <w:rsid w:val="00F84B2D"/>
    <w:rsid w:val="00F904C9"/>
    <w:rsid w:val="00FC06B7"/>
    <w:rsid w:val="00FC4F18"/>
    <w:rsid w:val="00FE197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D6846"/>
    <w:pPr>
      <w:tabs>
        <w:tab w:val="center" w:pos="4680"/>
        <w:tab w:val="right" w:pos="9360"/>
      </w:tabs>
      <w:spacing w:after="0" w:line="240" w:lineRule="auto"/>
    </w:pPr>
  </w:style>
  <w:style w:type="character" w:customStyle="1" w:styleId="HeaderChar">
    <w:name w:val="Header Char"/>
    <w:basedOn w:val="DefaultParagraphFont"/>
    <w:link w:val="Header"/>
    <w:uiPriority w:val="99"/>
    <w:rsid w:val="006D6846"/>
  </w:style>
  <w:style w:type="paragraph" w:styleId="Footer">
    <w:name w:val="footer"/>
    <w:basedOn w:val="Normal"/>
    <w:link w:val="FooterChar"/>
    <w:uiPriority w:val="99"/>
    <w:unhideWhenUsed/>
    <w:rsid w:val="006D6846"/>
    <w:pPr>
      <w:tabs>
        <w:tab w:val="center" w:pos="4680"/>
        <w:tab w:val="right" w:pos="9360"/>
      </w:tabs>
      <w:spacing w:after="0" w:line="240" w:lineRule="auto"/>
    </w:pPr>
  </w:style>
  <w:style w:type="character" w:customStyle="1" w:styleId="FooterChar">
    <w:name w:val="Footer Char"/>
    <w:basedOn w:val="DefaultParagraphFont"/>
    <w:link w:val="Footer"/>
    <w:uiPriority w:val="99"/>
    <w:rsid w:val="006D6846"/>
  </w:style>
  <w:style w:type="paragraph" w:styleId="BalloonText">
    <w:name w:val="Balloon Text"/>
    <w:basedOn w:val="Normal"/>
    <w:link w:val="BalloonTextChar"/>
    <w:uiPriority w:val="99"/>
    <w:semiHidden/>
    <w:unhideWhenUsed/>
    <w:rsid w:val="006D684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D6846"/>
    <w:rPr>
      <w:rFonts w:ascii="Tahoma" w:hAnsi="Tahoma" w:cs="Tahoma"/>
      <w:sz w:val="16"/>
      <w:szCs w:val="16"/>
    </w:rPr>
  </w:style>
  <w:style w:type="paragraph" w:styleId="TOC1">
    <w:name w:val="toc 1"/>
    <w:basedOn w:val="Normal"/>
    <w:next w:val="Normal"/>
    <w:autoRedefine/>
    <w:uiPriority w:val="99"/>
    <w:rsid w:val="00DB106F"/>
    <w:pPr>
      <w:tabs>
        <w:tab w:val="right" w:leader="dot" w:pos="9771"/>
      </w:tabs>
      <w:spacing w:before="120" w:after="120" w:line="240" w:lineRule="auto"/>
      <w:jc w:val="both"/>
    </w:pPr>
    <w:rPr>
      <w:rFonts w:ascii="Times New Roman" w:eastAsia="MS Mincho" w:hAnsi="Times New Roman" w:cs="Times New Roman"/>
      <w:b/>
      <w:caps/>
      <w:noProof/>
      <w:sz w:val="32"/>
      <w:szCs w:val="32"/>
      <w:u w:val="single"/>
      <w:lang w:val="en-GB"/>
    </w:rPr>
  </w:style>
  <w:style w:type="paragraph" w:styleId="ListParagraph">
    <w:name w:val="List Paragraph"/>
    <w:basedOn w:val="Normal"/>
    <w:uiPriority w:val="34"/>
    <w:qFormat/>
    <w:rsid w:val="00B26098"/>
    <w:pPr>
      <w:ind w:left="720"/>
      <w:contextualSpacing/>
    </w:pPr>
  </w:style>
  <w:style w:type="table" w:styleId="TableGrid">
    <w:name w:val="Table Grid"/>
    <w:basedOn w:val="TableNormal"/>
    <w:uiPriority w:val="59"/>
    <w:rsid w:val="001B1E3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
    <w:name w:val="norm"/>
    <w:basedOn w:val="Normal"/>
    <w:link w:val="normChar"/>
    <w:uiPriority w:val="99"/>
    <w:rsid w:val="00CE6DA3"/>
    <w:pPr>
      <w:tabs>
        <w:tab w:val="left" w:pos="851"/>
        <w:tab w:val="right" w:pos="9356"/>
      </w:tabs>
      <w:spacing w:before="60" w:after="60" w:line="360" w:lineRule="atLeast"/>
      <w:jc w:val="both"/>
    </w:pPr>
    <w:rPr>
      <w:rFonts w:ascii="Times New Roman" w:eastAsia="Times New Roman" w:hAnsi="Times New Roman" w:cs="Times New Roman"/>
      <w:szCs w:val="20"/>
    </w:rPr>
  </w:style>
  <w:style w:type="character" w:customStyle="1" w:styleId="normChar">
    <w:name w:val="norm Char"/>
    <w:link w:val="norm"/>
    <w:uiPriority w:val="99"/>
    <w:locked/>
    <w:rsid w:val="00CE6DA3"/>
    <w:rPr>
      <w:rFonts w:ascii="Times New Roman" w:eastAsia="Times New Roman" w:hAnsi="Times New Roman" w:cs="Times New Roman"/>
      <w:szCs w:val="20"/>
    </w:rPr>
  </w:style>
  <w:style w:type="paragraph" w:customStyle="1" w:styleId="CM1">
    <w:name w:val="CM1"/>
    <w:basedOn w:val="Normal"/>
    <w:next w:val="Normal"/>
    <w:uiPriority w:val="99"/>
    <w:rsid w:val="003D5E9F"/>
    <w:pPr>
      <w:autoSpaceDE w:val="0"/>
      <w:autoSpaceDN w:val="0"/>
      <w:adjustRightInd w:val="0"/>
      <w:spacing w:after="0" w:line="240" w:lineRule="auto"/>
    </w:pPr>
    <w:rPr>
      <w:rFonts w:ascii="EUAlbertina" w:hAnsi="EUAlbertina"/>
      <w:sz w:val="24"/>
      <w:szCs w:val="24"/>
      <w:lang w:val="fr-FR"/>
    </w:rPr>
  </w:style>
  <w:style w:type="paragraph" w:customStyle="1" w:styleId="CM3">
    <w:name w:val="CM3"/>
    <w:basedOn w:val="Normal"/>
    <w:next w:val="Normal"/>
    <w:uiPriority w:val="99"/>
    <w:rsid w:val="003D5E9F"/>
    <w:pPr>
      <w:autoSpaceDE w:val="0"/>
      <w:autoSpaceDN w:val="0"/>
      <w:adjustRightInd w:val="0"/>
      <w:spacing w:after="0" w:line="240" w:lineRule="auto"/>
    </w:pPr>
    <w:rPr>
      <w:rFonts w:ascii="EUAlbertina" w:hAnsi="EUAlbertina"/>
      <w:sz w:val="24"/>
      <w:szCs w:val="24"/>
      <w:lang w:val="fr-FR"/>
    </w:rPr>
  </w:style>
  <w:style w:type="paragraph" w:customStyle="1" w:styleId="CM4">
    <w:name w:val="CM4"/>
    <w:basedOn w:val="Normal"/>
    <w:next w:val="Normal"/>
    <w:uiPriority w:val="99"/>
    <w:rsid w:val="00DD071C"/>
    <w:pPr>
      <w:autoSpaceDE w:val="0"/>
      <w:autoSpaceDN w:val="0"/>
      <w:adjustRightInd w:val="0"/>
      <w:spacing w:after="0" w:line="240" w:lineRule="auto"/>
    </w:pPr>
    <w:rPr>
      <w:rFonts w:ascii="EUAlbertina" w:hAnsi="EUAlbertina"/>
      <w:sz w:val="24"/>
      <w:szCs w:val="24"/>
      <w:lang w:val="fr-FR"/>
    </w:rPr>
  </w:style>
  <w:style w:type="paragraph" w:customStyle="1" w:styleId="Default">
    <w:name w:val="Default"/>
    <w:rsid w:val="00DD071C"/>
    <w:pPr>
      <w:autoSpaceDE w:val="0"/>
      <w:autoSpaceDN w:val="0"/>
      <w:adjustRightInd w:val="0"/>
      <w:spacing w:after="0" w:line="240" w:lineRule="auto"/>
    </w:pPr>
    <w:rPr>
      <w:rFonts w:ascii="EUAlbertina" w:hAnsi="EUAlbertina" w:cs="EUAlbertina"/>
      <w:color w:val="000000"/>
      <w:sz w:val="24"/>
      <w:szCs w:val="24"/>
      <w:lang w:val="fr-FR"/>
    </w:rPr>
  </w:style>
  <w:style w:type="table" w:styleId="LightGrid-Accent1">
    <w:name w:val="Light Grid Accent 1"/>
    <w:basedOn w:val="TableNormal"/>
    <w:uiPriority w:val="62"/>
    <w:rsid w:val="000378F0"/>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D6846"/>
    <w:pPr>
      <w:tabs>
        <w:tab w:val="center" w:pos="4680"/>
        <w:tab w:val="right" w:pos="9360"/>
      </w:tabs>
      <w:spacing w:after="0" w:line="240" w:lineRule="auto"/>
    </w:pPr>
  </w:style>
  <w:style w:type="character" w:customStyle="1" w:styleId="HeaderChar">
    <w:name w:val="Header Char"/>
    <w:basedOn w:val="DefaultParagraphFont"/>
    <w:link w:val="Header"/>
    <w:uiPriority w:val="99"/>
    <w:rsid w:val="006D6846"/>
  </w:style>
  <w:style w:type="paragraph" w:styleId="Footer">
    <w:name w:val="footer"/>
    <w:basedOn w:val="Normal"/>
    <w:link w:val="FooterChar"/>
    <w:uiPriority w:val="99"/>
    <w:unhideWhenUsed/>
    <w:rsid w:val="006D6846"/>
    <w:pPr>
      <w:tabs>
        <w:tab w:val="center" w:pos="4680"/>
        <w:tab w:val="right" w:pos="9360"/>
      </w:tabs>
      <w:spacing w:after="0" w:line="240" w:lineRule="auto"/>
    </w:pPr>
  </w:style>
  <w:style w:type="character" w:customStyle="1" w:styleId="FooterChar">
    <w:name w:val="Footer Char"/>
    <w:basedOn w:val="DefaultParagraphFont"/>
    <w:link w:val="Footer"/>
    <w:uiPriority w:val="99"/>
    <w:rsid w:val="006D6846"/>
  </w:style>
  <w:style w:type="paragraph" w:styleId="BalloonText">
    <w:name w:val="Balloon Text"/>
    <w:basedOn w:val="Normal"/>
    <w:link w:val="BalloonTextChar"/>
    <w:uiPriority w:val="99"/>
    <w:semiHidden/>
    <w:unhideWhenUsed/>
    <w:rsid w:val="006D684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D6846"/>
    <w:rPr>
      <w:rFonts w:ascii="Tahoma" w:hAnsi="Tahoma" w:cs="Tahoma"/>
      <w:sz w:val="16"/>
      <w:szCs w:val="16"/>
    </w:rPr>
  </w:style>
  <w:style w:type="paragraph" w:styleId="TOC1">
    <w:name w:val="toc 1"/>
    <w:basedOn w:val="Normal"/>
    <w:next w:val="Normal"/>
    <w:autoRedefine/>
    <w:uiPriority w:val="99"/>
    <w:rsid w:val="00DB106F"/>
    <w:pPr>
      <w:tabs>
        <w:tab w:val="right" w:leader="dot" w:pos="9771"/>
      </w:tabs>
      <w:spacing w:before="120" w:after="120" w:line="240" w:lineRule="auto"/>
      <w:jc w:val="both"/>
    </w:pPr>
    <w:rPr>
      <w:rFonts w:ascii="Times New Roman" w:eastAsia="MS Mincho" w:hAnsi="Times New Roman" w:cs="Times New Roman"/>
      <w:b/>
      <w:caps/>
      <w:noProof/>
      <w:sz w:val="32"/>
      <w:szCs w:val="32"/>
      <w:u w:val="single"/>
      <w:lang w:val="en-GB"/>
    </w:rPr>
  </w:style>
  <w:style w:type="paragraph" w:styleId="ListParagraph">
    <w:name w:val="List Paragraph"/>
    <w:basedOn w:val="Normal"/>
    <w:uiPriority w:val="34"/>
    <w:qFormat/>
    <w:rsid w:val="00B26098"/>
    <w:pPr>
      <w:ind w:left="720"/>
      <w:contextualSpacing/>
    </w:pPr>
  </w:style>
  <w:style w:type="table" w:styleId="TableGrid">
    <w:name w:val="Table Grid"/>
    <w:basedOn w:val="TableNormal"/>
    <w:uiPriority w:val="59"/>
    <w:rsid w:val="001B1E3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
    <w:name w:val="norm"/>
    <w:basedOn w:val="Normal"/>
    <w:link w:val="normChar"/>
    <w:uiPriority w:val="99"/>
    <w:rsid w:val="00CE6DA3"/>
    <w:pPr>
      <w:tabs>
        <w:tab w:val="left" w:pos="851"/>
        <w:tab w:val="right" w:pos="9356"/>
      </w:tabs>
      <w:spacing w:before="60" w:after="60" w:line="360" w:lineRule="atLeast"/>
      <w:jc w:val="both"/>
    </w:pPr>
    <w:rPr>
      <w:rFonts w:ascii="Times New Roman" w:eastAsia="Times New Roman" w:hAnsi="Times New Roman" w:cs="Times New Roman"/>
      <w:szCs w:val="20"/>
    </w:rPr>
  </w:style>
  <w:style w:type="character" w:customStyle="1" w:styleId="normChar">
    <w:name w:val="norm Char"/>
    <w:link w:val="norm"/>
    <w:uiPriority w:val="99"/>
    <w:locked/>
    <w:rsid w:val="00CE6DA3"/>
    <w:rPr>
      <w:rFonts w:ascii="Times New Roman" w:eastAsia="Times New Roman" w:hAnsi="Times New Roman" w:cs="Times New Roman"/>
      <w:szCs w:val="20"/>
    </w:rPr>
  </w:style>
  <w:style w:type="paragraph" w:customStyle="1" w:styleId="CM1">
    <w:name w:val="CM1"/>
    <w:basedOn w:val="Normal"/>
    <w:next w:val="Normal"/>
    <w:uiPriority w:val="99"/>
    <w:rsid w:val="003D5E9F"/>
    <w:pPr>
      <w:autoSpaceDE w:val="0"/>
      <w:autoSpaceDN w:val="0"/>
      <w:adjustRightInd w:val="0"/>
      <w:spacing w:after="0" w:line="240" w:lineRule="auto"/>
    </w:pPr>
    <w:rPr>
      <w:rFonts w:ascii="EUAlbertina" w:hAnsi="EUAlbertina"/>
      <w:sz w:val="24"/>
      <w:szCs w:val="24"/>
      <w:lang w:val="fr-FR"/>
    </w:rPr>
  </w:style>
  <w:style w:type="paragraph" w:customStyle="1" w:styleId="CM3">
    <w:name w:val="CM3"/>
    <w:basedOn w:val="Normal"/>
    <w:next w:val="Normal"/>
    <w:uiPriority w:val="99"/>
    <w:rsid w:val="003D5E9F"/>
    <w:pPr>
      <w:autoSpaceDE w:val="0"/>
      <w:autoSpaceDN w:val="0"/>
      <w:adjustRightInd w:val="0"/>
      <w:spacing w:after="0" w:line="240" w:lineRule="auto"/>
    </w:pPr>
    <w:rPr>
      <w:rFonts w:ascii="EUAlbertina" w:hAnsi="EUAlbertina"/>
      <w:sz w:val="24"/>
      <w:szCs w:val="24"/>
      <w:lang w:val="fr-FR"/>
    </w:rPr>
  </w:style>
  <w:style w:type="paragraph" w:customStyle="1" w:styleId="CM4">
    <w:name w:val="CM4"/>
    <w:basedOn w:val="Normal"/>
    <w:next w:val="Normal"/>
    <w:uiPriority w:val="99"/>
    <w:rsid w:val="00DD071C"/>
    <w:pPr>
      <w:autoSpaceDE w:val="0"/>
      <w:autoSpaceDN w:val="0"/>
      <w:adjustRightInd w:val="0"/>
      <w:spacing w:after="0" w:line="240" w:lineRule="auto"/>
    </w:pPr>
    <w:rPr>
      <w:rFonts w:ascii="EUAlbertina" w:hAnsi="EUAlbertina"/>
      <w:sz w:val="24"/>
      <w:szCs w:val="24"/>
      <w:lang w:val="fr-FR"/>
    </w:rPr>
  </w:style>
  <w:style w:type="paragraph" w:customStyle="1" w:styleId="Default">
    <w:name w:val="Default"/>
    <w:rsid w:val="00DD071C"/>
    <w:pPr>
      <w:autoSpaceDE w:val="0"/>
      <w:autoSpaceDN w:val="0"/>
      <w:adjustRightInd w:val="0"/>
      <w:spacing w:after="0" w:line="240" w:lineRule="auto"/>
    </w:pPr>
    <w:rPr>
      <w:rFonts w:ascii="EUAlbertina" w:hAnsi="EUAlbertina" w:cs="EUAlbertina"/>
      <w:color w:val="000000"/>
      <w:sz w:val="24"/>
      <w:szCs w:val="24"/>
      <w:lang w:val="fr-FR"/>
    </w:rPr>
  </w:style>
  <w:style w:type="table" w:styleId="LightGrid-Accent1">
    <w:name w:val="Light Grid Accent 1"/>
    <w:basedOn w:val="TableNormal"/>
    <w:uiPriority w:val="62"/>
    <w:rsid w:val="000378F0"/>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Microsoft_Excel_97-2003_Worksheet1.xls"/><Relationship Id="rId14" Type="http://schemas.microsoft.com/office/2011/relationships/people" Target="people.xml"/></Relationships>
</file>

<file path=word/_rels/header1.xml.rels><?xml version="1.0" encoding="UTF-8" standalone="yes"?>
<Relationships xmlns="http://schemas.openxmlformats.org/package/2006/relationships"><Relationship Id="rId3" Type="http://schemas.openxmlformats.org/officeDocument/2006/relationships/oleObject" Target="embeddings/oleObject1.bin"/><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461</TotalTime>
  <Pages>10</Pages>
  <Words>2721</Words>
  <Characters>15512</Characters>
  <Application>Microsoft Office Word</Application>
  <DocSecurity>0</DocSecurity>
  <Lines>129</Lines>
  <Paragraphs>36</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Cognizant Technology Solutions</Company>
  <LinksUpToDate>false</LinksUpToDate>
  <CharactersWithSpaces>18197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Cognizant Technology Solutions</dc:creator>
  <cp:lastModifiedBy>François DUBRAU</cp:lastModifiedBy>
  <cp:revision>15</cp:revision>
  <cp:lastPrinted>2015-10-09T10:36:00Z</cp:lastPrinted>
  <dcterms:created xsi:type="dcterms:W3CDTF">2016-05-16T15:57:00Z</dcterms:created>
  <dcterms:modified xsi:type="dcterms:W3CDTF">2016-10-06T12:17:00Z</dcterms:modified>
</cp:coreProperties>
</file>