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7408E6" w:rsidRDefault="007408E6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7408E6">
        <w:rPr>
          <w:b/>
          <w:noProof/>
          <w:sz w:val="36"/>
        </w:rPr>
        <w:t>Management of settlement instructions on funds in case of delays (Funds)</w:t>
      </w:r>
    </w:p>
    <w:p w:rsidR="001B1E38" w:rsidRPr="007408E6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61"/>
        <w:gridCol w:w="2505"/>
        <w:gridCol w:w="4784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3D75CA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776CD9">
              <w:rPr>
                <w:lang w:val="fr-FR"/>
              </w:rPr>
              <w:t>0</w:t>
            </w:r>
          </w:p>
        </w:tc>
      </w:tr>
      <w:tr w:rsidR="007408E6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7408E6" w:rsidRPr="004F6025" w:rsidRDefault="007408E6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7408E6" w:rsidRDefault="007408E6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7408E6" w:rsidRDefault="007408E6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April 6th,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7408E6" w:rsidRPr="000C4CA6" w:rsidRDefault="007408E6" w:rsidP="007408E6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7408E6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2"/>
        <w:gridCol w:w="7514"/>
      </w:tblGrid>
      <w:tr w:rsidR="007408E6" w:rsidRPr="001979E7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408E6" w:rsidRPr="000C4C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6731A4" w:rsidRPr="006731A4" w:rsidRDefault="006731A4" w:rsidP="008360C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731A4">
              <w:rPr>
                <w:rFonts w:eastAsia="MS Mincho" w:cs="Times New Roman"/>
                <w:noProof/>
                <w:szCs w:val="32"/>
              </w:rPr>
              <w:t>The French market has implemented a practice as regards the settlement of orders on funds, in case the transfer agent is in no capacity to communicate the settlement instruction in the previously agreed upon delays.</w:t>
            </w:r>
          </w:p>
          <w:p w:rsidR="007408E6" w:rsidRPr="006731A4" w:rsidRDefault="006731A4" w:rsidP="008360C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731A4">
              <w:rPr>
                <w:rFonts w:eastAsia="MS Mincho" w:cs="Times New Roman"/>
                <w:noProof/>
                <w:szCs w:val="32"/>
              </w:rPr>
              <w:t xml:space="preserve">Even if the order confirmation sent upon receipt of the </w:t>
            </w:r>
            <w:r>
              <w:rPr>
                <w:rFonts w:eastAsia="MS Mincho" w:cs="Times New Roman"/>
                <w:noProof/>
                <w:szCs w:val="32"/>
              </w:rPr>
              <w:t>or</w:t>
            </w:r>
            <w:r w:rsidR="009954F0">
              <w:rPr>
                <w:rFonts w:eastAsia="MS Mincho" w:cs="Times New Roman"/>
                <w:noProof/>
                <w:szCs w:val="32"/>
              </w:rPr>
              <w:t>d</w:t>
            </w:r>
            <w:r>
              <w:rPr>
                <w:rFonts w:eastAsia="MS Mincho" w:cs="Times New Roman"/>
                <w:noProof/>
                <w:szCs w:val="32"/>
              </w:rPr>
              <w:t xml:space="preserve">er (MT509) mentions an intended settlement date which can be kept and communicated to the client, the advice of execution </w:t>
            </w:r>
            <w:r w:rsidR="002F13BF">
              <w:rPr>
                <w:rFonts w:eastAsia="MS Mincho" w:cs="Times New Roman"/>
                <w:noProof/>
                <w:szCs w:val="32"/>
              </w:rPr>
              <w:t xml:space="preserve">(MT515) as </w:t>
            </w:r>
            <w:r>
              <w:rPr>
                <w:rFonts w:eastAsia="MS Mincho" w:cs="Times New Roman"/>
                <w:noProof/>
                <w:szCs w:val="32"/>
              </w:rPr>
              <w:t>well as the settlement instruction sent to the market can be modified by the transfer agent.</w:t>
            </w:r>
          </w:p>
          <w:p w:rsidR="007408E6" w:rsidRPr="006731A4" w:rsidRDefault="006731A4" w:rsidP="008360C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731A4">
              <w:rPr>
                <w:rFonts w:eastAsia="MS Mincho" w:cs="Times New Roman"/>
                <w:noProof/>
                <w:szCs w:val="32"/>
              </w:rPr>
              <w:t xml:space="preserve">In case of force majeure (for instance </w:t>
            </w:r>
            <w:r>
              <w:rPr>
                <w:rFonts w:eastAsia="MS Mincho" w:cs="Times New Roman"/>
                <w:noProof/>
                <w:szCs w:val="32"/>
              </w:rPr>
              <w:t>in the absence of a NAV within the appropriate delays), it is recommended to modify the previously agreed upon intended settlement date, and to postpone to the next business day, to b</w:t>
            </w:r>
            <w:r w:rsidR="009954F0">
              <w:rPr>
                <w:rFonts w:eastAsia="MS Mincho" w:cs="Times New Roman"/>
                <w:noProof/>
                <w:szCs w:val="32"/>
              </w:rPr>
              <w:t>e defined by the transfer agent</w:t>
            </w:r>
            <w:r>
              <w:rPr>
                <w:rFonts w:eastAsia="MS Mincho" w:cs="Times New Roman"/>
                <w:noProof/>
                <w:szCs w:val="32"/>
              </w:rPr>
              <w:t xml:space="preserve">, </w:t>
            </w:r>
            <w:r w:rsidR="001979E7">
              <w:rPr>
                <w:rFonts w:eastAsia="MS Mincho" w:cs="Times New Roman"/>
                <w:noProof/>
                <w:szCs w:val="32"/>
              </w:rPr>
              <w:t>upon resolution of the incident.</w:t>
            </w:r>
          </w:p>
          <w:p w:rsidR="007408E6" w:rsidRPr="001979E7" w:rsidRDefault="001979E7" w:rsidP="008360C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979E7">
              <w:rPr>
                <w:rFonts w:eastAsia="MS Mincho" w:cs="Times New Roman"/>
                <w:noProof/>
                <w:szCs w:val="32"/>
              </w:rPr>
              <w:t>In this case, penalties may have to be paid by a party, depending on the</w:t>
            </w:r>
            <w:r>
              <w:rPr>
                <w:rFonts w:eastAsia="MS Mincho" w:cs="Times New Roman"/>
                <w:noProof/>
                <w:szCs w:val="32"/>
              </w:rPr>
              <w:t>ir</w:t>
            </w:r>
            <w:r w:rsidRPr="001979E7">
              <w:rPr>
                <w:rFonts w:eastAsia="MS Mincho" w:cs="Times New Roman"/>
                <w:noProof/>
                <w:szCs w:val="32"/>
              </w:rPr>
              <w:t xml:space="preserve"> </w:t>
            </w:r>
            <w:r>
              <w:rPr>
                <w:rFonts w:eastAsia="MS Mincho" w:cs="Times New Roman"/>
                <w:noProof/>
                <w:szCs w:val="32"/>
              </w:rPr>
              <w:t xml:space="preserve">level of </w:t>
            </w:r>
            <w:r w:rsidRPr="001979E7">
              <w:rPr>
                <w:rFonts w:eastAsia="MS Mincho" w:cs="Times New Roman"/>
                <w:noProof/>
                <w:szCs w:val="32"/>
              </w:rPr>
              <w:t>re</w:t>
            </w:r>
            <w:r>
              <w:rPr>
                <w:rFonts w:eastAsia="MS Mincho" w:cs="Times New Roman"/>
                <w:noProof/>
                <w:szCs w:val="32"/>
              </w:rPr>
              <w:t>sponsibility</w:t>
            </w:r>
            <w:r w:rsidRPr="001979E7">
              <w:rPr>
                <w:rFonts w:eastAsia="MS Mincho" w:cs="Times New Roman"/>
                <w:noProof/>
                <w:szCs w:val="32"/>
              </w:rPr>
              <w:t>.</w:t>
            </w:r>
          </w:p>
        </w:tc>
      </w:tr>
      <w:tr w:rsidR="00D103DA" w:rsidRPr="001979E7" w:rsidTr="008360C5">
        <w:tc>
          <w:tcPr>
            <w:tcW w:w="2092" w:type="dxa"/>
            <w:tcBorders>
              <w:left w:val="nil"/>
              <w:right w:val="nil"/>
            </w:tcBorders>
          </w:tcPr>
          <w:p w:rsidR="00EC776F" w:rsidRPr="001979E7" w:rsidRDefault="00EC776F" w:rsidP="00B2609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</w:tcPr>
          <w:p w:rsidR="00D103DA" w:rsidRPr="001979E7" w:rsidRDefault="00D103D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7408E6" w:rsidRPr="002F13BF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408E6" w:rsidRPr="007B216A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7B216A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7408E6" w:rsidRPr="002F13BF" w:rsidRDefault="001979E7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979E7">
              <w:rPr>
                <w:rFonts w:eastAsia="MS Mincho" w:cs="Times New Roman"/>
                <w:noProof/>
                <w:szCs w:val="32"/>
              </w:rPr>
              <w:t>The French market wishes to maintain this practice today in</w:t>
            </w:r>
            <w:r w:rsidR="009954F0">
              <w:rPr>
                <w:rFonts w:eastAsia="MS Mincho" w:cs="Times New Roman"/>
                <w:noProof/>
                <w:szCs w:val="32"/>
              </w:rPr>
              <w:t xml:space="preserve"> use across the Fr</w:t>
            </w:r>
            <w:r w:rsidRPr="001979E7">
              <w:rPr>
                <w:rFonts w:eastAsia="MS Mincho" w:cs="Times New Roman"/>
                <w:noProof/>
                <w:szCs w:val="32"/>
              </w:rPr>
              <w:t>e</w:t>
            </w:r>
            <w:r w:rsidR="009954F0">
              <w:rPr>
                <w:rFonts w:eastAsia="MS Mincho" w:cs="Times New Roman"/>
                <w:noProof/>
                <w:szCs w:val="32"/>
              </w:rPr>
              <w:t>n</w:t>
            </w:r>
            <w:r w:rsidRPr="001979E7">
              <w:rPr>
                <w:rFonts w:eastAsia="MS Mincho" w:cs="Times New Roman"/>
                <w:noProof/>
                <w:szCs w:val="32"/>
              </w:rPr>
              <w:t>ch fund market (</w:t>
            </w:r>
            <w:r>
              <w:rPr>
                <w:rFonts w:eastAsia="MS Mincho" w:cs="Times New Roman"/>
                <w:noProof/>
                <w:szCs w:val="32"/>
              </w:rPr>
              <w:t>see the ‘Charte des Bonnes Pratiques de la Centralisation des OPCVM’</w:t>
            </w:r>
            <w:r w:rsidRPr="001979E7">
              <w:rPr>
                <w:rFonts w:eastAsia="MS Mincho" w:cs="Times New Roman"/>
                <w:noProof/>
                <w:szCs w:val="32"/>
              </w:rPr>
              <w:t>)</w:t>
            </w:r>
            <w:r>
              <w:rPr>
                <w:rFonts w:eastAsia="MS Mincho" w:cs="Times New Roman"/>
                <w:noProof/>
                <w:szCs w:val="32"/>
              </w:rPr>
              <w:t xml:space="preserve">, in order to avoid </w:t>
            </w:r>
            <w:r w:rsidR="002F13BF">
              <w:rPr>
                <w:rFonts w:eastAsia="MS Mincho" w:cs="Times New Roman"/>
                <w:noProof/>
                <w:szCs w:val="32"/>
              </w:rPr>
              <w:t>regression, and extend</w:t>
            </w:r>
            <w:r>
              <w:rPr>
                <w:rFonts w:eastAsia="MS Mincho" w:cs="Times New Roman"/>
                <w:noProof/>
                <w:szCs w:val="32"/>
              </w:rPr>
              <w:t xml:space="preserve"> it to cross-CSD operations, </w:t>
            </w:r>
            <w:r w:rsidR="002F13BF">
              <w:rPr>
                <w:rFonts w:eastAsia="MS Mincho" w:cs="Times New Roman"/>
                <w:noProof/>
                <w:szCs w:val="32"/>
              </w:rPr>
              <w:t>either as an intermediary in the transmission of orders on foreign funds, or as a Correspondent Transfer Agent or Local Transfer Agent for orders coming from foreign investors.</w:t>
            </w:r>
          </w:p>
        </w:tc>
      </w:tr>
      <w:tr w:rsidR="007408E6" w:rsidRPr="002F13BF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7408E6" w:rsidRPr="002F13BF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7408E6" w:rsidRPr="002F13BF" w:rsidRDefault="007408E6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7408E6" w:rsidRPr="007408E6" w:rsidTr="008360C5">
        <w:tc>
          <w:tcPr>
            <w:tcW w:w="2092" w:type="dxa"/>
            <w:shd w:val="clear" w:color="auto" w:fill="BFBFBF" w:themeFill="background1" w:themeFillShade="BF"/>
          </w:tcPr>
          <w:p w:rsidR="007408E6" w:rsidRPr="000C4C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4" w:type="dxa"/>
          </w:tcPr>
          <w:p w:rsidR="007408E6" w:rsidRPr="009954F0" w:rsidRDefault="002F13BF" w:rsidP="00952FB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952FB5">
              <w:rPr>
                <w:rFonts w:eastAsia="MS Mincho" w:cs="Times New Roman"/>
                <w:noProof/>
                <w:szCs w:val="32"/>
              </w:rPr>
              <w:t xml:space="preserve">This practice </w:t>
            </w:r>
            <w:r w:rsidR="00952FB5" w:rsidRPr="00952FB5">
              <w:rPr>
                <w:rFonts w:eastAsia="MS Mincho" w:cs="Times New Roman"/>
                <w:noProof/>
                <w:szCs w:val="32"/>
              </w:rPr>
              <w:t>av</w:t>
            </w:r>
            <w:bookmarkStart w:id="0" w:name="_GoBack"/>
            <w:r w:rsidR="00952FB5" w:rsidRPr="00952FB5">
              <w:rPr>
                <w:rFonts w:eastAsia="MS Mincho" w:cs="Times New Roman"/>
                <w:noProof/>
                <w:szCs w:val="32"/>
              </w:rPr>
              <w:t>o</w:t>
            </w:r>
            <w:bookmarkEnd w:id="0"/>
            <w:r w:rsidR="00952FB5" w:rsidRPr="00952FB5">
              <w:rPr>
                <w:rFonts w:eastAsia="MS Mincho" w:cs="Times New Roman"/>
                <w:noProof/>
                <w:szCs w:val="32"/>
              </w:rPr>
              <w:t>ids regression, and the i</w:t>
            </w:r>
            <w:r w:rsidR="00952FB5">
              <w:rPr>
                <w:rFonts w:eastAsia="MS Mincho" w:cs="Times New Roman"/>
                <w:noProof/>
                <w:szCs w:val="32"/>
              </w:rPr>
              <w:t>nappropriate payment of settlem</w:t>
            </w:r>
            <w:r w:rsidR="00952FB5" w:rsidRPr="00952FB5">
              <w:rPr>
                <w:rFonts w:eastAsia="MS Mincho" w:cs="Times New Roman"/>
                <w:noProof/>
                <w:szCs w:val="32"/>
              </w:rPr>
              <w:t>e</w:t>
            </w:r>
            <w:r w:rsidR="00952FB5">
              <w:rPr>
                <w:rFonts w:eastAsia="MS Mincho" w:cs="Times New Roman"/>
                <w:noProof/>
                <w:szCs w:val="32"/>
              </w:rPr>
              <w:t>n</w:t>
            </w:r>
            <w:r w:rsidR="00952FB5" w:rsidRPr="00952FB5">
              <w:rPr>
                <w:rFonts w:eastAsia="MS Mincho" w:cs="Times New Roman"/>
                <w:noProof/>
                <w:szCs w:val="32"/>
              </w:rPr>
              <w:t>t penalties, applied by the CSD.</w:t>
            </w:r>
          </w:p>
        </w:tc>
      </w:tr>
      <w:tr w:rsidR="007408E6" w:rsidRPr="007408E6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7408E6" w:rsidRPr="009954F0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7408E6" w:rsidRPr="009954F0" w:rsidRDefault="007408E6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7408E6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7408E6" w:rsidRPr="003348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Description of the roles and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lastRenderedPageBreak/>
              <w:t>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7408E6" w:rsidRPr="00D103DA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4" w:type="dxa"/>
          </w:tcPr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408E6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7408E6" w:rsidRPr="0081511D" w:rsidRDefault="007408E6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7408E6" w:rsidRPr="0081511D" w:rsidTr="008360C5">
        <w:tc>
          <w:tcPr>
            <w:tcW w:w="2092" w:type="dxa"/>
            <w:shd w:val="clear" w:color="auto" w:fill="BFBFBF" w:themeFill="background1" w:themeFillShade="BF"/>
          </w:tcPr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4" w:type="dxa"/>
          </w:tcPr>
          <w:p w:rsidR="007408E6" w:rsidRPr="00FD2FD6" w:rsidRDefault="007408E6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408E6" w:rsidRPr="0081511D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4" w:type="dxa"/>
            <w:tcBorders>
              <w:left w:val="nil"/>
              <w:right w:val="nil"/>
            </w:tcBorders>
            <w:shd w:val="clear" w:color="auto" w:fill="auto"/>
          </w:tcPr>
          <w:p w:rsidR="007408E6" w:rsidRPr="0081511D" w:rsidRDefault="007408E6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7408E6" w:rsidRPr="008360C5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408E6" w:rsidRPr="003348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7408E6" w:rsidRPr="007408E6" w:rsidRDefault="007408E6" w:rsidP="003D75CA">
            <w:pPr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</w:tbl>
    <w:p w:rsidR="001E0D83" w:rsidRPr="007408E6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7408E6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7408E6" w:rsidRPr="004F6025" w:rsidRDefault="007408E6" w:rsidP="007408E6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05" w:type="dxa"/>
        <w:tblLook w:val="04A0" w:firstRow="1" w:lastRow="0" w:firstColumn="1" w:lastColumn="0" w:noHBand="0" w:noVBand="1"/>
      </w:tblPr>
      <w:tblGrid>
        <w:gridCol w:w="2092"/>
        <w:gridCol w:w="7513"/>
      </w:tblGrid>
      <w:tr w:rsidR="007408E6" w:rsidRPr="00952FB5" w:rsidTr="008360C5">
        <w:tc>
          <w:tcPr>
            <w:tcW w:w="2092" w:type="dxa"/>
            <w:shd w:val="clear" w:color="auto" w:fill="BFBFBF" w:themeFill="background1" w:themeFillShade="BF"/>
          </w:tcPr>
          <w:p w:rsidR="007408E6" w:rsidRPr="00D103DA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513" w:type="dxa"/>
          </w:tcPr>
          <w:p w:rsidR="007408E6" w:rsidRPr="00952FB5" w:rsidRDefault="00952FB5" w:rsidP="00952FB5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952FB5">
              <w:rPr>
                <w:rFonts w:eastAsia="MS Mincho" w:cs="Times New Roman"/>
                <w:noProof/>
                <w:szCs w:val="32"/>
              </w:rPr>
              <w:t xml:space="preserve">The recommendation is to keep the existing practice as described above. </w:t>
            </w:r>
          </w:p>
        </w:tc>
      </w:tr>
      <w:tr w:rsidR="007408E6" w:rsidRPr="00952FB5" w:rsidTr="008360C5">
        <w:tc>
          <w:tcPr>
            <w:tcW w:w="2092" w:type="dxa"/>
            <w:shd w:val="clear" w:color="auto" w:fill="BFBFBF" w:themeFill="background1" w:themeFillShade="BF"/>
          </w:tcPr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Reasons for the choice</w:t>
            </w:r>
          </w:p>
        </w:tc>
        <w:tc>
          <w:tcPr>
            <w:tcW w:w="7513" w:type="dxa"/>
          </w:tcPr>
          <w:p w:rsidR="007408E6" w:rsidRPr="00952FB5" w:rsidRDefault="00952FB5" w:rsidP="00952FB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952FB5">
              <w:rPr>
                <w:rFonts w:eastAsia="MS Mincho" w:cs="Times New Roman"/>
                <w:noProof/>
                <w:szCs w:val="32"/>
              </w:rPr>
              <w:t xml:space="preserve">Avoiding regressions and keeping the existing market practice, as well as extending it </w:t>
            </w:r>
            <w:r>
              <w:rPr>
                <w:rFonts w:eastAsia="MS Mincho" w:cs="Times New Roman"/>
                <w:noProof/>
                <w:szCs w:val="32"/>
              </w:rPr>
              <w:t>to cross-CSD operations, either as an intermediary in the transmission of orders on foreign funds, or as a Correspondent Transfer Agent or Local Transfer Agent for orders coming from foreign investors.</w:t>
            </w:r>
          </w:p>
        </w:tc>
      </w:tr>
      <w:tr w:rsidR="0081511D" w:rsidRPr="00952FB5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auto"/>
          </w:tcPr>
          <w:p w:rsidR="0081511D" w:rsidRPr="00952FB5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952FB5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7408E6" w:rsidTr="008360C5">
        <w:tc>
          <w:tcPr>
            <w:tcW w:w="20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408E6" w:rsidRPr="003348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7408E6" w:rsidRPr="00F370B0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408E6" w:rsidTr="008360C5">
        <w:tc>
          <w:tcPr>
            <w:tcW w:w="209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7408E6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408E6" w:rsidTr="008360C5">
        <w:tc>
          <w:tcPr>
            <w:tcW w:w="2092" w:type="dxa"/>
            <w:shd w:val="clear" w:color="auto" w:fill="BFBFBF" w:themeFill="background1" w:themeFillShade="BF"/>
          </w:tcPr>
          <w:p w:rsidR="007408E6" w:rsidRPr="00F370B0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7408E6" w:rsidRPr="00F370B0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408E6" w:rsidRDefault="007408E6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5743B" w:rsidRDefault="0085743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7408E6" w:rsidRPr="004F6025" w:rsidRDefault="007408E6" w:rsidP="007408E6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7408E6" w:rsidRPr="007408E6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7408E6" w:rsidRPr="00D103DA" w:rsidRDefault="007408E6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7408E6" w:rsidRPr="003348A6" w:rsidRDefault="007408E6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7408E6" w:rsidRPr="003348A6" w:rsidRDefault="007408E6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7408E6" w:rsidRPr="003348A6" w:rsidRDefault="007408E6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7408E6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408E6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408E6" w:rsidRPr="000C4CA6" w:rsidRDefault="007408E6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7408E6" w:rsidRPr="00922B9C" w:rsidRDefault="007408E6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  <w:r>
              <w:rPr>
                <w:lang w:val="fr-FR"/>
              </w:rPr>
              <w:t xml:space="preserve">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7408E6" w:rsidRPr="00E35B86" w:rsidRDefault="007408E6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7408E6" w:rsidRDefault="007408E6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69B" w:rsidRDefault="0048669B" w:rsidP="006D6846">
      <w:pPr>
        <w:spacing w:after="0" w:line="240" w:lineRule="auto"/>
      </w:pPr>
      <w:r>
        <w:separator/>
      </w:r>
    </w:p>
  </w:endnote>
  <w:endnote w:type="continuationSeparator" w:id="0">
    <w:p w:rsidR="0048669B" w:rsidRDefault="0048669B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77130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31675" w:rsidRDefault="00A31675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69B" w:rsidRDefault="0048669B" w:rsidP="006D6846">
      <w:pPr>
        <w:spacing w:after="0" w:line="240" w:lineRule="auto"/>
      </w:pPr>
      <w:r>
        <w:separator/>
      </w:r>
    </w:p>
  </w:footnote>
  <w:footnote w:type="continuationSeparator" w:id="0">
    <w:p w:rsidR="0048669B" w:rsidRDefault="0048669B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27"/>
      <w:gridCol w:w="3733"/>
    </w:tblGrid>
    <w:tr w:rsidR="00EC776F" w:rsidTr="00EC776F">
      <w:tc>
        <w:tcPr>
          <w:tcW w:w="5778" w:type="dxa"/>
          <w:vAlign w:val="center"/>
        </w:tcPr>
        <w:p w:rsidR="00120F1F" w:rsidRPr="005B1C9D" w:rsidRDefault="00120F1F" w:rsidP="00120F1F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9954F0" w:rsidRDefault="00120F1F" w:rsidP="00120F1F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3798" w:type="dxa"/>
          <w:vAlign w:val="center"/>
        </w:tcPr>
        <w:p w:rsidR="00EC776F" w:rsidRDefault="00EC776F" w:rsidP="00F11B91">
          <w:pPr>
            <w:pStyle w:val="En-tte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40906AA0" wp14:editId="7F574660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F11B91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45pt;height:42.6pt" o:ole="">
                <v:imagedata r:id="rId2" o:title=""/>
              </v:shape>
              <o:OLEObject Type="Embed" ProgID="PBrush" ShapeID="_x0000_i1025" DrawAspect="Content" ObjectID="_1524932259" r:id="rId3"/>
            </w:object>
          </w:r>
        </w:p>
      </w:tc>
    </w:tr>
    <w:tr w:rsidR="00EC776F" w:rsidRPr="008360C5" w:rsidTr="00EC776F">
      <w:tc>
        <w:tcPr>
          <w:tcW w:w="5778" w:type="dxa"/>
          <w:vAlign w:val="center"/>
        </w:tcPr>
        <w:p w:rsidR="00EC776F" w:rsidRPr="007408E6" w:rsidRDefault="007408E6" w:rsidP="00F11B91">
          <w:pPr>
            <w:pStyle w:val="En-tte"/>
            <w:jc w:val="cent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7408E6">
            <w:rPr>
              <w:i/>
            </w:rPr>
            <w:t xml:space="preserve">: </w:t>
          </w:r>
          <w:r w:rsidR="008360C5" w:rsidRPr="007408E6">
            <w:rPr>
              <w:i/>
            </w:rPr>
            <w:t>OP-SETTL-RETARD-01</w:t>
          </w:r>
        </w:p>
      </w:tc>
      <w:tc>
        <w:tcPr>
          <w:tcW w:w="3798" w:type="dxa"/>
          <w:vAlign w:val="center"/>
        </w:tcPr>
        <w:p w:rsidR="00EC776F" w:rsidRPr="007408E6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7408E6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318BD"/>
    <w:rsid w:val="0004065E"/>
    <w:rsid w:val="000706A3"/>
    <w:rsid w:val="000A6C94"/>
    <w:rsid w:val="000C1C9B"/>
    <w:rsid w:val="000D6F4D"/>
    <w:rsid w:val="000F3C24"/>
    <w:rsid w:val="00113071"/>
    <w:rsid w:val="00120F1F"/>
    <w:rsid w:val="00140482"/>
    <w:rsid w:val="00145ADA"/>
    <w:rsid w:val="001522A5"/>
    <w:rsid w:val="00162BBA"/>
    <w:rsid w:val="00183F7A"/>
    <w:rsid w:val="001979E7"/>
    <w:rsid w:val="001A26CA"/>
    <w:rsid w:val="001B0416"/>
    <w:rsid w:val="001B1E38"/>
    <w:rsid w:val="001C4C4C"/>
    <w:rsid w:val="001C7BAF"/>
    <w:rsid w:val="001D7830"/>
    <w:rsid w:val="001E0D83"/>
    <w:rsid w:val="001F3BB7"/>
    <w:rsid w:val="00211814"/>
    <w:rsid w:val="00217510"/>
    <w:rsid w:val="00283DDE"/>
    <w:rsid w:val="0028538B"/>
    <w:rsid w:val="002F13BF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3D75CA"/>
    <w:rsid w:val="003F4E04"/>
    <w:rsid w:val="00464015"/>
    <w:rsid w:val="004818D8"/>
    <w:rsid w:val="00482296"/>
    <w:rsid w:val="0048669B"/>
    <w:rsid w:val="00487A07"/>
    <w:rsid w:val="004F6025"/>
    <w:rsid w:val="005061BA"/>
    <w:rsid w:val="005067E0"/>
    <w:rsid w:val="0051485E"/>
    <w:rsid w:val="00567B1D"/>
    <w:rsid w:val="00575F36"/>
    <w:rsid w:val="005C2ACA"/>
    <w:rsid w:val="00622E8A"/>
    <w:rsid w:val="00625541"/>
    <w:rsid w:val="00652C13"/>
    <w:rsid w:val="006731A4"/>
    <w:rsid w:val="00683A1D"/>
    <w:rsid w:val="00694503"/>
    <w:rsid w:val="0069580E"/>
    <w:rsid w:val="006D6846"/>
    <w:rsid w:val="00701AE2"/>
    <w:rsid w:val="00714CE6"/>
    <w:rsid w:val="00727BF7"/>
    <w:rsid w:val="007408E6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60C5"/>
    <w:rsid w:val="00837334"/>
    <w:rsid w:val="00841E84"/>
    <w:rsid w:val="0085743B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52FB5"/>
    <w:rsid w:val="009606C4"/>
    <w:rsid w:val="00982218"/>
    <w:rsid w:val="009954F0"/>
    <w:rsid w:val="00995F65"/>
    <w:rsid w:val="009978DE"/>
    <w:rsid w:val="009A24A6"/>
    <w:rsid w:val="009A2F1A"/>
    <w:rsid w:val="009A64D1"/>
    <w:rsid w:val="00A133A7"/>
    <w:rsid w:val="00A20577"/>
    <w:rsid w:val="00A21489"/>
    <w:rsid w:val="00A31675"/>
    <w:rsid w:val="00A40ED4"/>
    <w:rsid w:val="00A45A45"/>
    <w:rsid w:val="00A678C0"/>
    <w:rsid w:val="00A746A0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75648"/>
    <w:rsid w:val="00B9491F"/>
    <w:rsid w:val="00BA66D3"/>
    <w:rsid w:val="00BA6B0A"/>
    <w:rsid w:val="00BC7577"/>
    <w:rsid w:val="00BE4C60"/>
    <w:rsid w:val="00C06869"/>
    <w:rsid w:val="00C070B0"/>
    <w:rsid w:val="00C1000A"/>
    <w:rsid w:val="00C20044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972D0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C776F"/>
    <w:rsid w:val="00F00BF4"/>
    <w:rsid w:val="00F11B91"/>
    <w:rsid w:val="00F358FF"/>
    <w:rsid w:val="00F35CCA"/>
    <w:rsid w:val="00F84B2D"/>
    <w:rsid w:val="00F86CD3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16533F-EE62-416E-94F9-F1BAA4BE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  <w:style w:type="paragraph" w:customStyle="1" w:styleId="FDNormal">
    <w:name w:val="FDNormal"/>
    <w:basedOn w:val="Normal"/>
    <w:link w:val="FDNormalCar"/>
    <w:rsid w:val="003D75CA"/>
    <w:pPr>
      <w:spacing w:after="120" w:line="240" w:lineRule="auto"/>
      <w:jc w:val="both"/>
    </w:pPr>
    <w:rPr>
      <w:rFonts w:ascii="Verdana" w:eastAsia="Times New Roman" w:hAnsi="Verdana" w:cs="Verdana"/>
      <w:sz w:val="20"/>
      <w:szCs w:val="20"/>
      <w:lang w:val="fr-FR" w:eastAsia="fr-FR"/>
    </w:rPr>
  </w:style>
  <w:style w:type="character" w:customStyle="1" w:styleId="FDNormalCar">
    <w:name w:val="FDNormal Car"/>
    <w:link w:val="FDNormal"/>
    <w:rsid w:val="003D75CA"/>
    <w:rPr>
      <w:rFonts w:ascii="Verdana" w:eastAsia="Times New Roman" w:hAnsi="Verdana" w:cs="Verdana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391379C3</Template>
  <TotalTime>2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 Sousa, Maria</cp:lastModifiedBy>
  <cp:revision>3</cp:revision>
  <cp:lastPrinted>2015-10-09T10:36:00Z</cp:lastPrinted>
  <dcterms:created xsi:type="dcterms:W3CDTF">2016-05-16T17:28:00Z</dcterms:created>
  <dcterms:modified xsi:type="dcterms:W3CDTF">2016-05-16T17:28:00Z</dcterms:modified>
</cp:coreProperties>
</file>